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B5CF" w14:textId="77777777" w:rsidR="008A3169" w:rsidRDefault="00000000">
      <w:pPr>
        <w:spacing w:before="2600"/>
        <w:jc w:val="center"/>
      </w:pPr>
      <w:r>
        <w:rPr>
          <w:b/>
          <w:bCs/>
          <w:color w:val="1F3A5F"/>
          <w:sz w:val="52"/>
          <w:szCs w:val="52"/>
        </w:rPr>
        <w:t>BEARINGWORLD.IO</w:t>
      </w:r>
    </w:p>
    <w:p w14:paraId="1938A104" w14:textId="77777777" w:rsidR="008A3169" w:rsidRDefault="00000000">
      <w:pPr>
        <w:spacing w:after="120"/>
        <w:jc w:val="center"/>
      </w:pPr>
      <w:r>
        <w:rPr>
          <w:b/>
          <w:bCs/>
          <w:color w:val="2E75B6"/>
          <w:sz w:val="24"/>
          <w:szCs w:val="24"/>
        </w:rPr>
        <w:t>LA PLATAFORMA</w:t>
      </w:r>
    </w:p>
    <w:p w14:paraId="2C85CFA0" w14:textId="77777777" w:rsidR="008A3169" w:rsidRDefault="00000000">
      <w:pPr>
        <w:spacing w:before="240"/>
        <w:jc w:val="center"/>
      </w:pPr>
      <w:r>
        <w:rPr>
          <w:b/>
          <w:bCs/>
          <w:color w:val="000000"/>
          <w:sz w:val="36"/>
          <w:szCs w:val="36"/>
        </w:rPr>
        <w:t>ANEXO — ESTRATEGIA DE DEPLOYMENT</w:t>
      </w:r>
    </w:p>
    <w:p w14:paraId="247AF74E" w14:textId="77777777" w:rsidR="008A3169" w:rsidRDefault="00000000">
      <w:pPr>
        <w:spacing w:after="240"/>
        <w:jc w:val="center"/>
      </w:pPr>
      <w:r>
        <w:rPr>
          <w:color w:val="2E75B6"/>
          <w:sz w:val="24"/>
          <w:szCs w:val="24"/>
        </w:rPr>
        <w:t>Secuencia de siembra de mercado y semáforo de densidad — v1.0</w:t>
      </w:r>
    </w:p>
    <w:p w14:paraId="1C6E3E6F" w14:textId="77777777" w:rsidR="008A3169" w:rsidRDefault="00000000">
      <w:pPr>
        <w:spacing w:before="360"/>
        <w:jc w:val="center"/>
      </w:pPr>
      <w:r>
        <w:rPr>
          <w:i/>
          <w:iCs/>
          <w:color w:val="555555"/>
          <w:sz w:val="22"/>
          <w:szCs w:val="22"/>
        </w:rPr>
        <w:t>Complemento al Stack Tecnológico v1.2</w:t>
      </w:r>
    </w:p>
    <w:p w14:paraId="4C5DECA9" w14:textId="77777777" w:rsidR="008A3169" w:rsidRDefault="00000000">
      <w:pPr>
        <w:spacing w:before="1400"/>
        <w:jc w:val="center"/>
      </w:pPr>
      <w:r>
        <w:rPr>
          <w:color w:val="555555"/>
          <w:sz w:val="22"/>
          <w:szCs w:val="22"/>
        </w:rPr>
        <w:t xml:space="preserve">Versión 1.0 · </w:t>
      </w:r>
      <w:proofErr w:type="gramStart"/>
      <w:r>
        <w:rPr>
          <w:color w:val="555555"/>
          <w:sz w:val="22"/>
          <w:szCs w:val="22"/>
        </w:rPr>
        <w:t>Junio</w:t>
      </w:r>
      <w:proofErr w:type="gramEnd"/>
      <w:r>
        <w:rPr>
          <w:color w:val="555555"/>
          <w:sz w:val="22"/>
          <w:szCs w:val="22"/>
        </w:rPr>
        <w:t xml:space="preserve"> 2026 · CONFIDENCIAL</w:t>
      </w:r>
    </w:p>
    <w:p w14:paraId="4A4CDC0C" w14:textId="77777777" w:rsidR="008A3169" w:rsidRDefault="00000000">
      <w:r>
        <w:br w:type="page"/>
      </w:r>
    </w:p>
    <w:p w14:paraId="01A28B3C" w14:textId="77777777" w:rsidR="008A3169" w:rsidRDefault="00000000">
      <w:pPr>
        <w:pStyle w:val="Ttulo1"/>
      </w:pPr>
      <w:bookmarkStart w:id="0" w:name="_Toc233635900"/>
      <w:r>
        <w:lastRenderedPageBreak/>
        <w:t>Índice</w:t>
      </w:r>
      <w:bookmarkEnd w:id="0"/>
    </w:p>
    <w:sdt>
      <w:sdtPr>
        <w:alias w:val="Tabla de contenidos"/>
        <w:id w:val="-1481606357"/>
      </w:sdtPr>
      <w:sdtContent>
        <w:p w14:paraId="53C42C3A" w14:textId="77777777" w:rsidR="000A62D0" w:rsidRDefault="00000000">
          <w:pPr>
            <w:pStyle w:val="TDC1"/>
            <w:tabs>
              <w:tab w:val="right" w:leader="dot" w:pos="9350"/>
            </w:tabs>
            <w:rPr>
              <w:noProof/>
            </w:rPr>
          </w:pPr>
          <w:r>
            <w:fldChar w:fldCharType="begin"/>
          </w:r>
          <w:r>
            <w:instrText>TOC \h \o "1-2"</w:instrText>
          </w:r>
          <w:r>
            <w:fldChar w:fldCharType="separate"/>
          </w:r>
          <w:hyperlink w:anchor="_Toc233635900" w:history="1">
            <w:r w:rsidR="000A62D0" w:rsidRPr="00103E22">
              <w:rPr>
                <w:rStyle w:val="Hipervnculo"/>
                <w:noProof/>
              </w:rPr>
              <w:t>Índice</w:t>
            </w:r>
            <w:r w:rsidR="000A62D0">
              <w:rPr>
                <w:noProof/>
              </w:rPr>
              <w:tab/>
            </w:r>
            <w:r w:rsidR="000A62D0">
              <w:rPr>
                <w:noProof/>
              </w:rPr>
              <w:fldChar w:fldCharType="begin"/>
            </w:r>
            <w:r w:rsidR="000A62D0">
              <w:rPr>
                <w:noProof/>
              </w:rPr>
              <w:instrText xml:space="preserve"> PAGEREF _Toc233635900 \h </w:instrText>
            </w:r>
            <w:r w:rsidR="000A62D0">
              <w:rPr>
                <w:noProof/>
              </w:rPr>
            </w:r>
            <w:r w:rsidR="000A62D0">
              <w:rPr>
                <w:noProof/>
              </w:rPr>
              <w:fldChar w:fldCharType="separate"/>
            </w:r>
            <w:r w:rsidR="000A62D0">
              <w:rPr>
                <w:noProof/>
              </w:rPr>
              <w:t>1</w:t>
            </w:r>
            <w:r w:rsidR="000A62D0">
              <w:rPr>
                <w:noProof/>
              </w:rPr>
              <w:fldChar w:fldCharType="end"/>
            </w:r>
          </w:hyperlink>
        </w:p>
        <w:p w14:paraId="27E18617" w14:textId="77777777" w:rsidR="000A62D0" w:rsidRDefault="000A62D0">
          <w:pPr>
            <w:pStyle w:val="TDC1"/>
            <w:tabs>
              <w:tab w:val="right" w:leader="dot" w:pos="9350"/>
            </w:tabs>
            <w:rPr>
              <w:noProof/>
            </w:rPr>
          </w:pPr>
          <w:hyperlink w:anchor="_Toc233635901" w:history="1">
            <w:r w:rsidRPr="00103E22">
              <w:rPr>
                <w:rStyle w:val="Hipervnculo"/>
                <w:noProof/>
              </w:rPr>
              <w:t>1. Tesis: el deployment es el diseño primario</w:t>
            </w:r>
            <w:r>
              <w:rPr>
                <w:noProof/>
              </w:rPr>
              <w:tab/>
            </w:r>
            <w:r>
              <w:rPr>
                <w:noProof/>
              </w:rPr>
              <w:fldChar w:fldCharType="begin"/>
            </w:r>
            <w:r>
              <w:rPr>
                <w:noProof/>
              </w:rPr>
              <w:instrText xml:space="preserve"> PAGEREF _Toc233635901 \h </w:instrText>
            </w:r>
            <w:r>
              <w:rPr>
                <w:noProof/>
              </w:rPr>
            </w:r>
            <w:r>
              <w:rPr>
                <w:noProof/>
              </w:rPr>
              <w:fldChar w:fldCharType="separate"/>
            </w:r>
            <w:r>
              <w:rPr>
                <w:noProof/>
              </w:rPr>
              <w:t>1</w:t>
            </w:r>
            <w:r>
              <w:rPr>
                <w:noProof/>
              </w:rPr>
              <w:fldChar w:fldCharType="end"/>
            </w:r>
          </w:hyperlink>
        </w:p>
        <w:p w14:paraId="11E1D735" w14:textId="77777777" w:rsidR="000A62D0" w:rsidRDefault="000A62D0">
          <w:pPr>
            <w:pStyle w:val="TDC1"/>
            <w:tabs>
              <w:tab w:val="right" w:leader="dot" w:pos="9350"/>
            </w:tabs>
            <w:rPr>
              <w:noProof/>
            </w:rPr>
          </w:pPr>
          <w:hyperlink w:anchor="_Toc233635902" w:history="1">
            <w:r w:rsidRPr="00103E22">
              <w:rPr>
                <w:rStyle w:val="Hipervnculo"/>
                <w:noProof/>
              </w:rPr>
              <w:t>2. El principio: el modelo de gravedad del comercio</w:t>
            </w:r>
            <w:r>
              <w:rPr>
                <w:noProof/>
              </w:rPr>
              <w:tab/>
            </w:r>
            <w:r>
              <w:rPr>
                <w:noProof/>
              </w:rPr>
              <w:fldChar w:fldCharType="begin"/>
            </w:r>
            <w:r>
              <w:rPr>
                <w:noProof/>
              </w:rPr>
              <w:instrText xml:space="preserve"> PAGEREF _Toc233635902 \h </w:instrText>
            </w:r>
            <w:r>
              <w:rPr>
                <w:noProof/>
              </w:rPr>
            </w:r>
            <w:r>
              <w:rPr>
                <w:noProof/>
              </w:rPr>
              <w:fldChar w:fldCharType="separate"/>
            </w:r>
            <w:r>
              <w:rPr>
                <w:noProof/>
              </w:rPr>
              <w:t>1</w:t>
            </w:r>
            <w:r>
              <w:rPr>
                <w:noProof/>
              </w:rPr>
              <w:fldChar w:fldCharType="end"/>
            </w:r>
          </w:hyperlink>
        </w:p>
        <w:p w14:paraId="2009BE3C" w14:textId="77777777" w:rsidR="000A62D0" w:rsidRDefault="000A62D0">
          <w:pPr>
            <w:pStyle w:val="TDC1"/>
            <w:tabs>
              <w:tab w:val="right" w:leader="dot" w:pos="9350"/>
            </w:tabs>
            <w:rPr>
              <w:noProof/>
            </w:rPr>
          </w:pPr>
          <w:hyperlink w:anchor="_Toc233635903" w:history="1">
            <w:r w:rsidRPr="00103E22">
              <w:rPr>
                <w:rStyle w:val="Hipervnculo"/>
                <w:noProof/>
              </w:rPr>
              <w:t>3. Análisis del mercado: distribución de los 2.028 miembros</w:t>
            </w:r>
            <w:r>
              <w:rPr>
                <w:noProof/>
              </w:rPr>
              <w:tab/>
            </w:r>
            <w:r>
              <w:rPr>
                <w:noProof/>
              </w:rPr>
              <w:fldChar w:fldCharType="begin"/>
            </w:r>
            <w:r>
              <w:rPr>
                <w:noProof/>
              </w:rPr>
              <w:instrText xml:space="preserve"> PAGEREF _Toc233635903 \h </w:instrText>
            </w:r>
            <w:r>
              <w:rPr>
                <w:noProof/>
              </w:rPr>
            </w:r>
            <w:r>
              <w:rPr>
                <w:noProof/>
              </w:rPr>
              <w:fldChar w:fldCharType="separate"/>
            </w:r>
            <w:r>
              <w:rPr>
                <w:noProof/>
              </w:rPr>
              <w:t>1</w:t>
            </w:r>
            <w:r>
              <w:rPr>
                <w:noProof/>
              </w:rPr>
              <w:fldChar w:fldCharType="end"/>
            </w:r>
          </w:hyperlink>
        </w:p>
        <w:p w14:paraId="30D3BD31" w14:textId="77777777" w:rsidR="000A62D0" w:rsidRDefault="000A62D0">
          <w:pPr>
            <w:pStyle w:val="TDC1"/>
            <w:tabs>
              <w:tab w:val="right" w:leader="dot" w:pos="9350"/>
            </w:tabs>
            <w:rPr>
              <w:noProof/>
            </w:rPr>
          </w:pPr>
          <w:hyperlink w:anchor="_Toc233635904" w:history="1">
            <w:r w:rsidRPr="00103E22">
              <w:rPr>
                <w:rStyle w:val="Hipervnculo"/>
                <w:noProof/>
              </w:rPr>
              <w:t>4. Decisión de ancla: Alemania / Centroeuropa</w:t>
            </w:r>
            <w:r>
              <w:rPr>
                <w:noProof/>
              </w:rPr>
              <w:tab/>
            </w:r>
            <w:r>
              <w:rPr>
                <w:noProof/>
              </w:rPr>
              <w:fldChar w:fldCharType="begin"/>
            </w:r>
            <w:r>
              <w:rPr>
                <w:noProof/>
              </w:rPr>
              <w:instrText xml:space="preserve"> PAGEREF _Toc233635904 \h </w:instrText>
            </w:r>
            <w:r>
              <w:rPr>
                <w:noProof/>
              </w:rPr>
            </w:r>
            <w:r>
              <w:rPr>
                <w:noProof/>
              </w:rPr>
              <w:fldChar w:fldCharType="separate"/>
            </w:r>
            <w:r>
              <w:rPr>
                <w:noProof/>
              </w:rPr>
              <w:t>1</w:t>
            </w:r>
            <w:r>
              <w:rPr>
                <w:noProof/>
              </w:rPr>
              <w:fldChar w:fldCharType="end"/>
            </w:r>
          </w:hyperlink>
        </w:p>
        <w:p w14:paraId="460DDFE2" w14:textId="77777777" w:rsidR="000A62D0" w:rsidRDefault="000A62D0">
          <w:pPr>
            <w:pStyle w:val="TDC1"/>
            <w:tabs>
              <w:tab w:val="right" w:leader="dot" w:pos="9350"/>
            </w:tabs>
            <w:rPr>
              <w:noProof/>
            </w:rPr>
          </w:pPr>
          <w:hyperlink w:anchor="_Toc233635905" w:history="1">
            <w:r w:rsidRPr="00103E22">
              <w:rPr>
                <w:rStyle w:val="Hipervnculo"/>
                <w:noProof/>
              </w:rPr>
              <w:t>5. Secuencia de despliegue en anillos concéntricos</w:t>
            </w:r>
            <w:r>
              <w:rPr>
                <w:noProof/>
              </w:rPr>
              <w:tab/>
            </w:r>
            <w:r>
              <w:rPr>
                <w:noProof/>
              </w:rPr>
              <w:fldChar w:fldCharType="begin"/>
            </w:r>
            <w:r>
              <w:rPr>
                <w:noProof/>
              </w:rPr>
              <w:instrText xml:space="preserve"> PAGEREF _Toc233635905 \h </w:instrText>
            </w:r>
            <w:r>
              <w:rPr>
                <w:noProof/>
              </w:rPr>
            </w:r>
            <w:r>
              <w:rPr>
                <w:noProof/>
              </w:rPr>
              <w:fldChar w:fldCharType="separate"/>
            </w:r>
            <w:r>
              <w:rPr>
                <w:noProof/>
              </w:rPr>
              <w:t>1</w:t>
            </w:r>
            <w:r>
              <w:rPr>
                <w:noProof/>
              </w:rPr>
              <w:fldChar w:fldCharType="end"/>
            </w:r>
          </w:hyperlink>
        </w:p>
        <w:p w14:paraId="1D52CE33" w14:textId="77777777" w:rsidR="000A62D0" w:rsidRDefault="000A62D0">
          <w:pPr>
            <w:pStyle w:val="TDC1"/>
            <w:tabs>
              <w:tab w:val="right" w:leader="dot" w:pos="9350"/>
            </w:tabs>
            <w:rPr>
              <w:noProof/>
            </w:rPr>
          </w:pPr>
          <w:hyperlink w:anchor="_Toc233635906" w:history="1">
            <w:r w:rsidRPr="00103E22">
              <w:rPr>
                <w:rStyle w:val="Hipervnculo"/>
                <w:noProof/>
              </w:rPr>
              <w:t>6. Semáforo de densidad mínima viable</w:t>
            </w:r>
            <w:r>
              <w:rPr>
                <w:noProof/>
              </w:rPr>
              <w:tab/>
            </w:r>
            <w:r>
              <w:rPr>
                <w:noProof/>
              </w:rPr>
              <w:fldChar w:fldCharType="begin"/>
            </w:r>
            <w:r>
              <w:rPr>
                <w:noProof/>
              </w:rPr>
              <w:instrText xml:space="preserve"> PAGEREF _Toc233635906 \h </w:instrText>
            </w:r>
            <w:r>
              <w:rPr>
                <w:noProof/>
              </w:rPr>
            </w:r>
            <w:r>
              <w:rPr>
                <w:noProof/>
              </w:rPr>
              <w:fldChar w:fldCharType="separate"/>
            </w:r>
            <w:r>
              <w:rPr>
                <w:noProof/>
              </w:rPr>
              <w:t>1</w:t>
            </w:r>
            <w:r>
              <w:rPr>
                <w:noProof/>
              </w:rPr>
              <w:fldChar w:fldCharType="end"/>
            </w:r>
          </w:hyperlink>
        </w:p>
        <w:p w14:paraId="0CBD3FFD" w14:textId="77777777" w:rsidR="000A62D0" w:rsidRDefault="000A62D0">
          <w:pPr>
            <w:pStyle w:val="TDC1"/>
            <w:tabs>
              <w:tab w:val="right" w:leader="dot" w:pos="9350"/>
            </w:tabs>
            <w:rPr>
              <w:noProof/>
            </w:rPr>
          </w:pPr>
          <w:hyperlink w:anchor="_Toc233635907" w:history="1">
            <w:r w:rsidRPr="00103E22">
              <w:rPr>
                <w:rStyle w:val="Hipervnculo"/>
                <w:noProof/>
              </w:rPr>
              <w:t>7. Coordinación con la arquitectura: Anillo 1 = primer sprint de evolución</w:t>
            </w:r>
            <w:r>
              <w:rPr>
                <w:noProof/>
              </w:rPr>
              <w:tab/>
            </w:r>
            <w:r>
              <w:rPr>
                <w:noProof/>
              </w:rPr>
              <w:fldChar w:fldCharType="begin"/>
            </w:r>
            <w:r>
              <w:rPr>
                <w:noProof/>
              </w:rPr>
              <w:instrText xml:space="preserve"> PAGEREF _Toc233635907 \h </w:instrText>
            </w:r>
            <w:r>
              <w:rPr>
                <w:noProof/>
              </w:rPr>
            </w:r>
            <w:r>
              <w:rPr>
                <w:noProof/>
              </w:rPr>
              <w:fldChar w:fldCharType="separate"/>
            </w:r>
            <w:r>
              <w:rPr>
                <w:noProof/>
              </w:rPr>
              <w:t>1</w:t>
            </w:r>
            <w:r>
              <w:rPr>
                <w:noProof/>
              </w:rPr>
              <w:fldChar w:fldCharType="end"/>
            </w:r>
          </w:hyperlink>
        </w:p>
        <w:p w14:paraId="534C8EFF" w14:textId="77777777" w:rsidR="000A62D0" w:rsidRDefault="000A62D0">
          <w:pPr>
            <w:pStyle w:val="TDC1"/>
            <w:tabs>
              <w:tab w:val="right" w:leader="dot" w:pos="9350"/>
            </w:tabs>
            <w:rPr>
              <w:noProof/>
            </w:rPr>
          </w:pPr>
          <w:hyperlink w:anchor="_Toc233635908" w:history="1">
            <w:r w:rsidRPr="00103E22">
              <w:rPr>
                <w:rStyle w:val="Hipervnculo"/>
                <w:noProof/>
              </w:rPr>
              <w:t>8. Estrategia de pruebas de carga (validación por anillo)</w:t>
            </w:r>
            <w:r>
              <w:rPr>
                <w:noProof/>
              </w:rPr>
              <w:tab/>
            </w:r>
            <w:r>
              <w:rPr>
                <w:noProof/>
              </w:rPr>
              <w:fldChar w:fldCharType="begin"/>
            </w:r>
            <w:r>
              <w:rPr>
                <w:noProof/>
              </w:rPr>
              <w:instrText xml:space="preserve"> PAGEREF _Toc233635908 \h </w:instrText>
            </w:r>
            <w:r>
              <w:rPr>
                <w:noProof/>
              </w:rPr>
            </w:r>
            <w:r>
              <w:rPr>
                <w:noProof/>
              </w:rPr>
              <w:fldChar w:fldCharType="separate"/>
            </w:r>
            <w:r>
              <w:rPr>
                <w:noProof/>
              </w:rPr>
              <w:t>1</w:t>
            </w:r>
            <w:r>
              <w:rPr>
                <w:noProof/>
              </w:rPr>
              <w:fldChar w:fldCharType="end"/>
            </w:r>
          </w:hyperlink>
        </w:p>
        <w:p w14:paraId="3B16AE6B" w14:textId="77777777" w:rsidR="000A62D0" w:rsidRDefault="000A62D0">
          <w:pPr>
            <w:pStyle w:val="TDC1"/>
            <w:tabs>
              <w:tab w:val="right" w:leader="dot" w:pos="9350"/>
            </w:tabs>
            <w:rPr>
              <w:noProof/>
            </w:rPr>
          </w:pPr>
          <w:hyperlink w:anchor="_Toc233635909" w:history="1">
            <w:r w:rsidRPr="00103E22">
              <w:rPr>
                <w:rStyle w:val="Hipervnculo"/>
                <w:noProof/>
              </w:rPr>
              <w:t>9. Las restricciones que de verdad limitan el ritmo</w:t>
            </w:r>
            <w:r>
              <w:rPr>
                <w:noProof/>
              </w:rPr>
              <w:tab/>
            </w:r>
            <w:r>
              <w:rPr>
                <w:noProof/>
              </w:rPr>
              <w:fldChar w:fldCharType="begin"/>
            </w:r>
            <w:r>
              <w:rPr>
                <w:noProof/>
              </w:rPr>
              <w:instrText xml:space="preserve"> PAGEREF _Toc233635909 \h </w:instrText>
            </w:r>
            <w:r>
              <w:rPr>
                <w:noProof/>
              </w:rPr>
            </w:r>
            <w:r>
              <w:rPr>
                <w:noProof/>
              </w:rPr>
              <w:fldChar w:fldCharType="separate"/>
            </w:r>
            <w:r>
              <w:rPr>
                <w:noProof/>
              </w:rPr>
              <w:t>1</w:t>
            </w:r>
            <w:r>
              <w:rPr>
                <w:noProof/>
              </w:rPr>
              <w:fldChar w:fldCharType="end"/>
            </w:r>
          </w:hyperlink>
        </w:p>
        <w:p w14:paraId="702E1A48" w14:textId="77777777" w:rsidR="000A62D0" w:rsidRDefault="000A62D0">
          <w:pPr>
            <w:pStyle w:val="TDC1"/>
            <w:tabs>
              <w:tab w:val="right" w:leader="dot" w:pos="9350"/>
            </w:tabs>
            <w:rPr>
              <w:noProof/>
            </w:rPr>
          </w:pPr>
          <w:hyperlink w:anchor="_Toc233635910" w:history="1">
            <w:r w:rsidRPr="00103E22">
              <w:rPr>
                <w:rStyle w:val="Hipervnculo"/>
                <w:noProof/>
              </w:rPr>
              <w:t>10. Nota legal sobre la captación</w:t>
            </w:r>
            <w:r>
              <w:rPr>
                <w:noProof/>
              </w:rPr>
              <w:tab/>
            </w:r>
            <w:r>
              <w:rPr>
                <w:noProof/>
              </w:rPr>
              <w:fldChar w:fldCharType="begin"/>
            </w:r>
            <w:r>
              <w:rPr>
                <w:noProof/>
              </w:rPr>
              <w:instrText xml:space="preserve"> PAGEREF _Toc233635910 \h </w:instrText>
            </w:r>
            <w:r>
              <w:rPr>
                <w:noProof/>
              </w:rPr>
            </w:r>
            <w:r>
              <w:rPr>
                <w:noProof/>
              </w:rPr>
              <w:fldChar w:fldCharType="separate"/>
            </w:r>
            <w:r>
              <w:rPr>
                <w:noProof/>
              </w:rPr>
              <w:t>1</w:t>
            </w:r>
            <w:r>
              <w:rPr>
                <w:noProof/>
              </w:rPr>
              <w:fldChar w:fldCharType="end"/>
            </w:r>
          </w:hyperlink>
        </w:p>
        <w:p w14:paraId="33B32D13" w14:textId="77777777" w:rsidR="000A62D0" w:rsidRDefault="000A62D0">
          <w:pPr>
            <w:pStyle w:val="TDC1"/>
            <w:tabs>
              <w:tab w:val="right" w:leader="dot" w:pos="9350"/>
            </w:tabs>
            <w:rPr>
              <w:noProof/>
            </w:rPr>
          </w:pPr>
          <w:hyperlink w:anchor="_Toc233635911" w:history="1">
            <w:r w:rsidRPr="00103E22">
              <w:rPr>
                <w:rStyle w:val="Hipervnculo"/>
                <w:noProof/>
              </w:rPr>
              <w:t>11. Síntesis</w:t>
            </w:r>
            <w:r>
              <w:rPr>
                <w:noProof/>
              </w:rPr>
              <w:tab/>
            </w:r>
            <w:r>
              <w:rPr>
                <w:noProof/>
              </w:rPr>
              <w:fldChar w:fldCharType="begin"/>
            </w:r>
            <w:r>
              <w:rPr>
                <w:noProof/>
              </w:rPr>
              <w:instrText xml:space="preserve"> PAGEREF _Toc233635911 \h </w:instrText>
            </w:r>
            <w:r>
              <w:rPr>
                <w:noProof/>
              </w:rPr>
            </w:r>
            <w:r>
              <w:rPr>
                <w:noProof/>
              </w:rPr>
              <w:fldChar w:fldCharType="separate"/>
            </w:r>
            <w:r>
              <w:rPr>
                <w:noProof/>
              </w:rPr>
              <w:t>1</w:t>
            </w:r>
            <w:r>
              <w:rPr>
                <w:noProof/>
              </w:rPr>
              <w:fldChar w:fldCharType="end"/>
            </w:r>
          </w:hyperlink>
        </w:p>
        <w:p w14:paraId="7BD5018C" w14:textId="77777777" w:rsidR="008A3169" w:rsidRDefault="00000000">
          <w:r>
            <w:fldChar w:fldCharType="end"/>
          </w:r>
        </w:p>
      </w:sdtContent>
    </w:sdt>
    <w:p w14:paraId="35A95B49" w14:textId="77777777" w:rsidR="008A3169" w:rsidRDefault="00000000">
      <w:r>
        <w:br w:type="page"/>
      </w:r>
    </w:p>
    <w:p w14:paraId="3D1FCA13" w14:textId="77777777" w:rsidR="008A3169" w:rsidRDefault="00000000">
      <w:pPr>
        <w:pStyle w:val="Ttulo1"/>
      </w:pPr>
      <w:bookmarkStart w:id="1" w:name="_Toc233635901"/>
      <w:r>
        <w:lastRenderedPageBreak/>
        <w:t xml:space="preserve">1. Tesis: el </w:t>
      </w:r>
      <w:proofErr w:type="spellStart"/>
      <w:r>
        <w:t>deployment</w:t>
      </w:r>
      <w:proofErr w:type="spellEnd"/>
      <w:r>
        <w:t xml:space="preserve"> es el diseño primario</w:t>
      </w:r>
      <w:bookmarkEnd w:id="1"/>
    </w:p>
    <w:p w14:paraId="07980A7B" w14:textId="77777777" w:rsidR="008A3169" w:rsidRDefault="00000000">
      <w:pPr>
        <w:spacing w:after="120" w:line="276" w:lineRule="auto"/>
      </w:pPr>
      <w:r>
        <w:t xml:space="preserve">En un </w:t>
      </w:r>
      <w:proofErr w:type="spellStart"/>
      <w:r>
        <w:t>marketplace</w:t>
      </w:r>
      <w:proofErr w:type="spellEnd"/>
      <w:r>
        <w:t xml:space="preserve"> de bienes físicos, el valor no reside en lo que se transacciona sino en lo que está </w:t>
      </w:r>
      <w:r>
        <w:rPr>
          <w:b/>
          <w:bCs/>
        </w:rPr>
        <w:t>listado</w:t>
      </w:r>
      <w:r>
        <w:t xml:space="preserve">. </w:t>
      </w:r>
      <w:proofErr w:type="spellStart"/>
      <w:r>
        <w:t>BearingNet</w:t>
      </w:r>
      <w:proofErr w:type="spellEnd"/>
      <w:r>
        <w:t xml:space="preserve"> no domina por tecnología —su </w:t>
      </w:r>
      <w:proofErr w:type="spellStart"/>
      <w:r>
        <w:t>stack</w:t>
      </w:r>
      <w:proofErr w:type="spellEnd"/>
      <w:r>
        <w:t xml:space="preserve"> es antiguo— sino por haber acumulado </w:t>
      </w:r>
      <w:r>
        <w:rPr>
          <w:b/>
          <w:bCs/>
        </w:rPr>
        <w:t>18,6 millones de líneas de stock en 30 años</w:t>
      </w:r>
      <w:r>
        <w:t xml:space="preserve">. Ese inventario es el foso. Por tanto, la decisión de mayor impacto del proyecto no es una elección de </w:t>
      </w:r>
      <w:proofErr w:type="spellStart"/>
      <w:r>
        <w:t>stack</w:t>
      </w:r>
      <w:proofErr w:type="spellEnd"/>
      <w:r>
        <w:t xml:space="preserve">, sino </w:t>
      </w:r>
      <w:r>
        <w:rPr>
          <w:b/>
          <w:bCs/>
        </w:rPr>
        <w:t>la secuencia con la que se siembra la densidad de stock</w:t>
      </w:r>
      <w:r>
        <w:t>: a quién se capta, en qué orden y en qué clúster geográfico.</w:t>
      </w:r>
    </w:p>
    <w:p w14:paraId="6ED6C069" w14:textId="77777777" w:rsidR="008A3169" w:rsidRDefault="00000000">
      <w:pPr>
        <w:spacing w:after="120" w:line="276" w:lineRule="auto"/>
      </w:pPr>
      <w:r>
        <w:t>Este anexo fija esa secuencia y define el criterio cuantitativo para avanzar de una etapa a la siguiente. Es el complemento de mercado del Stack Tecnológico v1.2 y condiciona directamente la escalabilidad y los costes descritos en aquel documento.</w:t>
      </w:r>
    </w:p>
    <w:p w14:paraId="3FA07108" w14:textId="77777777" w:rsidR="008A3169" w:rsidRDefault="00000000">
      <w:pPr>
        <w:pStyle w:val="Ttulo3"/>
      </w:pPr>
      <w:r>
        <w:t>El KPI norte</w:t>
      </w:r>
    </w:p>
    <w:p w14:paraId="091D2789" w14:textId="77777777" w:rsidR="008A3169" w:rsidRDefault="00000000">
      <w:pPr>
        <w:spacing w:after="120" w:line="276" w:lineRule="auto"/>
      </w:pPr>
      <w:r>
        <w:t xml:space="preserve">El objetivo único que guía todo el plan: </w:t>
      </w:r>
      <w:r>
        <w:rPr>
          <w:b/>
          <w:bCs/>
        </w:rPr>
        <w:t>tener los ~2.028 distribuidores de la base con su stock subido para el mes 12</w:t>
      </w:r>
      <w:r>
        <w:t xml:space="preserve"> — es decir, replicar el foso de inventario del incumbente, ahora sobre arquitectura </w:t>
      </w:r>
      <w:proofErr w:type="spellStart"/>
      <w:r>
        <w:t>zero-knowledge</w:t>
      </w:r>
      <w:proofErr w:type="spellEnd"/>
      <w:r>
        <w:t xml:space="preserve"> y con IA. Matiz clave: el KPI es </w:t>
      </w:r>
      <w:r>
        <w:rPr>
          <w:b/>
          <w:bCs/>
        </w:rPr>
        <w:t>stock subido (densidad)</w:t>
      </w:r>
      <w:r>
        <w:t>, no usuarios transaccionando. Subir el inventario es un evento de ingesta puntual y ligero para el sistema; es lo que crea el valor.</w:t>
      </w:r>
    </w:p>
    <w:p w14:paraId="3E826E43" w14:textId="77777777" w:rsidR="008A3169" w:rsidRDefault="00000000">
      <w:pPr>
        <w:pStyle w:val="Ttulo1"/>
      </w:pPr>
      <w:bookmarkStart w:id="2" w:name="_Toc233635902"/>
      <w:r>
        <w:t>2. El principio: el modelo de gravedad del comercio</w:t>
      </w:r>
      <w:bookmarkEnd w:id="2"/>
    </w:p>
    <w:p w14:paraId="2CCCE2B9" w14:textId="77777777" w:rsidR="008A3169" w:rsidRDefault="00000000">
      <w:pPr>
        <w:spacing w:after="120" w:line="276" w:lineRule="auto"/>
      </w:pPr>
      <w:r>
        <w:t xml:space="preserve">La probabilidad de que una transacción ocurra cae con la distancia y con el coste logístico (su reflejo directo). Un comprador busca, por este orden: </w:t>
      </w:r>
      <w:r>
        <w:rPr>
          <w:b/>
          <w:bCs/>
        </w:rPr>
        <w:t>dentro de su país</w:t>
      </w:r>
      <w:r>
        <w:t xml:space="preserve"> (coste logístico mínimo), luego </w:t>
      </w:r>
      <w:r>
        <w:rPr>
          <w:b/>
          <w:bCs/>
        </w:rPr>
        <w:t>en su continente</w:t>
      </w:r>
      <w:r>
        <w:t xml:space="preserve">, y solo como último recurso </w:t>
      </w:r>
      <w:r>
        <w:rPr>
          <w:b/>
          <w:bCs/>
        </w:rPr>
        <w:t>en otro continente</w:t>
      </w:r>
      <w:r>
        <w:t>. Las transacciones intercontinentales son una fracción ínfima del total porque son la última opción del usuario.</w:t>
      </w:r>
    </w:p>
    <w:p w14:paraId="4B2299A4" w14:textId="77777777" w:rsidR="008A3169" w:rsidRDefault="00000000">
      <w:pPr>
        <w:spacing w:after="120" w:line="276" w:lineRule="auto"/>
      </w:pPr>
      <w:r>
        <w:t xml:space="preserve">Consecuencia: </w:t>
      </w:r>
      <w:r>
        <w:rPr>
          <w:b/>
          <w:bCs/>
        </w:rPr>
        <w:t>la densidad de stock solo aporta valor donde hay demanda real</w:t>
      </w:r>
      <w:r>
        <w:t>. Saturar un país entrega a sus distribuidores la mayor parte del valor que llegarán a usar nunca, porque el grueso de sus búsquedas con intención de compra es nacional o de vecindad. El stock lejano que falta en una fase temprana es justo el que casi nunca se compraba.</w:t>
      </w:r>
    </w:p>
    <w:p w14:paraId="096CF888" w14:textId="77777777" w:rsidR="008A3169" w:rsidRDefault="00000000">
      <w:pPr>
        <w:pStyle w:val="Ttulo3"/>
      </w:pPr>
      <w:r>
        <w:t xml:space="preserve">Implicación para el </w:t>
      </w:r>
      <w:proofErr w:type="spellStart"/>
      <w:r>
        <w:t>stack</w:t>
      </w:r>
      <w:proofErr w:type="spellEnd"/>
      <w:r>
        <w:t xml:space="preserve"> técnico</w:t>
      </w:r>
    </w:p>
    <w:p w14:paraId="3487259D" w14:textId="77777777" w:rsidR="008A3169" w:rsidRDefault="00000000">
      <w:pPr>
        <w:spacing w:after="120" w:line="276" w:lineRule="auto"/>
      </w:pPr>
      <w:r>
        <w:t>El modelo de gravedad reordena dónde está el peso técnico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3169" w14:paraId="200D467E"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FBAD851" w14:textId="77777777" w:rsidR="008A3169" w:rsidRDefault="00000000">
            <w:pPr>
              <w:spacing w:line="252" w:lineRule="auto"/>
            </w:pPr>
            <w:r>
              <w:rPr>
                <w:b/>
                <w:bCs/>
                <w:color w:val="FFFFFF"/>
              </w:rPr>
              <w:t>Mitad del sistema</w:t>
            </w:r>
          </w:p>
        </w:tc>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E0984EC" w14:textId="77777777" w:rsidR="008A3169" w:rsidRDefault="00000000">
            <w:pPr>
              <w:spacing w:line="252" w:lineRule="auto"/>
            </w:pPr>
            <w:r>
              <w:rPr>
                <w:b/>
                <w:bCs/>
                <w:color w:val="FFFFFF"/>
              </w:rPr>
              <w:t>Volumen</w:t>
            </w:r>
          </w:p>
        </w:tc>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4E3D4858" w14:textId="77777777" w:rsidR="008A3169" w:rsidRDefault="00000000">
            <w:pPr>
              <w:spacing w:line="252" w:lineRule="auto"/>
            </w:pPr>
            <w:r>
              <w:rPr>
                <w:b/>
                <w:bCs/>
                <w:color w:val="FFFFFF"/>
              </w:rPr>
              <w:t>Componentes</w:t>
            </w:r>
          </w:p>
        </w:tc>
      </w:tr>
      <w:tr w:rsidR="008A3169" w14:paraId="48EC7389"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56002E" w14:textId="77777777" w:rsidR="008A3169" w:rsidRDefault="00000000">
            <w:pPr>
              <w:spacing w:line="252" w:lineRule="auto"/>
            </w:pPr>
            <w:r>
              <w:rPr>
                <w:b/>
                <w:bCs/>
                <w:color w:val="000000"/>
              </w:rPr>
              <w:t>Descubrimiento (alta carga)</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51A539" w14:textId="77777777" w:rsidR="008A3169" w:rsidRDefault="00000000">
            <w:pPr>
              <w:spacing w:line="252" w:lineRule="auto"/>
            </w:pPr>
            <w:r>
              <w:t xml:space="preserve">Alto y de lectura — </w:t>
            </w:r>
            <w:proofErr w:type="spellStart"/>
            <w:r>
              <w:t>cacheable</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3C649C" w14:textId="77777777" w:rsidR="008A3169" w:rsidRDefault="00000000">
            <w:pPr>
              <w:spacing w:line="252" w:lineRule="auto"/>
            </w:pPr>
            <w:r>
              <w:t xml:space="preserve">Ingesta inteligente + índice </w:t>
            </w:r>
            <w:proofErr w:type="spellStart"/>
            <w:r>
              <w:t>Typesense</w:t>
            </w:r>
            <w:proofErr w:type="spellEnd"/>
            <w:r>
              <w:t xml:space="preserve"> + reglas de visibilidad (RLS)</w:t>
            </w:r>
          </w:p>
        </w:tc>
      </w:tr>
      <w:tr w:rsidR="008A3169" w14:paraId="5E7C7FC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21937D2" w14:textId="77777777" w:rsidR="008A3169" w:rsidRDefault="00000000">
            <w:pPr>
              <w:spacing w:line="252" w:lineRule="auto"/>
            </w:pPr>
            <w:r>
              <w:rPr>
                <w:b/>
                <w:bCs/>
                <w:color w:val="000000"/>
              </w:rPr>
              <w:t>Negociación (baja carga)</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7F4018" w14:textId="77777777" w:rsidR="008A3169" w:rsidRDefault="00000000">
            <w:pPr>
              <w:spacing w:line="252" w:lineRule="auto"/>
            </w:pPr>
            <w:r>
              <w:rPr>
                <w:color w:val="000000"/>
              </w:rPr>
              <w:t>Bajo — intercambios limitados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8CA932B" w14:textId="77777777" w:rsidR="008A3169" w:rsidRDefault="00000000">
            <w:pPr>
              <w:spacing w:line="252" w:lineRule="auto"/>
            </w:pPr>
            <w:r>
              <w:rPr>
                <w:color w:val="000000"/>
              </w:rPr>
              <w:t>Mensajería E2EE (la parte criptográficamente cara vive en el camino de menos tráfico)</w:t>
            </w:r>
          </w:p>
        </w:tc>
      </w:tr>
    </w:tbl>
    <w:p w14:paraId="694001F6" w14:textId="77777777" w:rsidR="008A3169" w:rsidRDefault="00000000">
      <w:pPr>
        <w:spacing w:after="120" w:line="276" w:lineRule="auto"/>
      </w:pPr>
      <w:r>
        <w:rPr>
          <w:i/>
          <w:iCs/>
          <w:color w:val="555555"/>
        </w:rPr>
        <w:t xml:space="preserve">La parte compleja —el </w:t>
      </w:r>
      <w:proofErr w:type="spellStart"/>
      <w:r>
        <w:rPr>
          <w:i/>
          <w:iCs/>
          <w:color w:val="555555"/>
        </w:rPr>
        <w:t>zero-knowledge</w:t>
      </w:r>
      <w:proofErr w:type="spellEnd"/>
      <w:r>
        <w:rPr>
          <w:i/>
          <w:iCs/>
          <w:color w:val="555555"/>
        </w:rPr>
        <w:t>— recae sobre el tráfico de menor volumen, mientras que la de alto volumen —la búsqueda— es la más fácil de escalar (lectura + caché + índice). La arquitectura tiene la complejidad en el sitio correcto.</w:t>
      </w:r>
    </w:p>
    <w:p w14:paraId="57982B6F" w14:textId="77777777" w:rsidR="008A3169" w:rsidRDefault="00000000">
      <w:pPr>
        <w:pStyle w:val="Ttulo1"/>
      </w:pPr>
      <w:bookmarkStart w:id="3" w:name="_Toc233635903"/>
      <w:r>
        <w:t>3. Análisis del mercado: distribución de los 2.028 miembros</w:t>
      </w:r>
      <w:bookmarkEnd w:id="3"/>
    </w:p>
    <w:p w14:paraId="03C71ED7" w14:textId="77777777" w:rsidR="008A3169" w:rsidRDefault="00000000">
      <w:pPr>
        <w:spacing w:after="120" w:line="276" w:lineRule="auto"/>
      </w:pPr>
      <w:r>
        <w:lastRenderedPageBreak/>
        <w:t xml:space="preserve">Repartiendo la base de </w:t>
      </w:r>
      <w:proofErr w:type="spellStart"/>
      <w:r>
        <w:t>BearingNet</w:t>
      </w:r>
      <w:proofErr w:type="spellEnd"/>
      <w:r>
        <w:t xml:space="preserve"> por bloque de gravedad real (mercado común contiguo), el mapa es inequívoco: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700"/>
        <w:gridCol w:w="2960"/>
      </w:tblGrid>
      <w:tr w:rsidR="008A3169" w14:paraId="10C4A140"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8F6C599" w14:textId="77777777" w:rsidR="008A3169" w:rsidRDefault="00000000">
            <w:pPr>
              <w:spacing w:line="252" w:lineRule="auto"/>
            </w:pPr>
            <w:r>
              <w:rPr>
                <w:b/>
                <w:bCs/>
                <w:color w:val="FFFFFF"/>
              </w:rPr>
              <w:t>Región</w:t>
            </w:r>
          </w:p>
        </w:tc>
        <w:tc>
          <w:tcPr>
            <w:tcW w:w="17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E07277D" w14:textId="77777777" w:rsidR="008A3169" w:rsidRDefault="00000000">
            <w:pPr>
              <w:spacing w:line="252" w:lineRule="auto"/>
            </w:pPr>
            <w:r>
              <w:rPr>
                <w:b/>
                <w:bCs/>
                <w:color w:val="FFFFFF"/>
              </w:rPr>
              <w:t>Miembros</w:t>
            </w:r>
          </w:p>
        </w:tc>
        <w:tc>
          <w:tcPr>
            <w:tcW w:w="17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382ED5A" w14:textId="77777777" w:rsidR="008A3169" w:rsidRDefault="00000000">
            <w:pPr>
              <w:spacing w:line="252" w:lineRule="auto"/>
            </w:pPr>
            <w:r>
              <w:rPr>
                <w:b/>
                <w:bCs/>
                <w:color w:val="FFFFFF"/>
              </w:rPr>
              <w:t>% total</w:t>
            </w:r>
          </w:p>
        </w:tc>
        <w:tc>
          <w:tcPr>
            <w:tcW w:w="296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0D89B26" w14:textId="77777777" w:rsidR="008A3169" w:rsidRDefault="00000000">
            <w:pPr>
              <w:spacing w:line="252" w:lineRule="auto"/>
            </w:pPr>
            <w:r>
              <w:rPr>
                <w:b/>
                <w:bCs/>
                <w:color w:val="FFFFFF"/>
              </w:rPr>
              <w:t>¿Mercado común contiguo?</w:t>
            </w:r>
          </w:p>
        </w:tc>
      </w:tr>
      <w:tr w:rsidR="008A3169" w14:paraId="44BAA57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26AE0AD" w14:textId="77777777" w:rsidR="008A3169" w:rsidRDefault="00000000">
            <w:pPr>
              <w:spacing w:line="252" w:lineRule="auto"/>
            </w:pPr>
            <w:r>
              <w:rPr>
                <w:b/>
                <w:bCs/>
                <w:color w:val="000000"/>
              </w:rPr>
              <w:t>Europa</w:t>
            </w:r>
          </w:p>
        </w:tc>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393A3CAE" w14:textId="77777777" w:rsidR="008A3169" w:rsidRDefault="00000000">
            <w:pPr>
              <w:spacing w:line="252" w:lineRule="auto"/>
            </w:pPr>
            <w:r>
              <w:rPr>
                <w:b/>
                <w:bCs/>
                <w:color w:val="000000"/>
              </w:rPr>
              <w:t>~1.345</w:t>
            </w:r>
          </w:p>
        </w:tc>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0A36A9B1" w14:textId="77777777" w:rsidR="008A3169" w:rsidRDefault="00000000">
            <w:pPr>
              <w:spacing w:line="252" w:lineRule="auto"/>
            </w:pPr>
            <w:r>
              <w:rPr>
                <w:b/>
                <w:bCs/>
                <w:color w:val="000000"/>
              </w:rPr>
              <w:t>66%</w:t>
            </w:r>
          </w:p>
        </w:tc>
        <w:tc>
          <w:tcPr>
            <w:tcW w:w="296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E18B3E7" w14:textId="77777777" w:rsidR="008A3169" w:rsidRDefault="00000000">
            <w:pPr>
              <w:spacing w:line="252" w:lineRule="auto"/>
            </w:pPr>
            <w:r>
              <w:rPr>
                <w:color w:val="000000"/>
              </w:rPr>
              <w:t>Sí — UE = mercado único, sin aduanas</w:t>
            </w:r>
          </w:p>
        </w:tc>
      </w:tr>
      <w:tr w:rsidR="008A3169" w14:paraId="137AE53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6BC749" w14:textId="77777777" w:rsidR="008A3169" w:rsidRDefault="00000000">
            <w:pPr>
              <w:spacing w:line="252" w:lineRule="auto"/>
            </w:pPr>
            <w:r>
              <w:t>Norteamérica (USA+CA+MX)</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C926AC" w14:textId="77777777" w:rsidR="008A3169" w:rsidRDefault="00000000">
            <w:pPr>
              <w:spacing w:line="252" w:lineRule="auto"/>
            </w:pPr>
            <w:r>
              <w:t>267</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DD3E39" w14:textId="77777777" w:rsidR="008A3169" w:rsidRDefault="00000000">
            <w:pPr>
              <w:spacing w:line="252" w:lineRule="auto"/>
            </w:pPr>
            <w:r>
              <w:t>13%</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A8CADB" w14:textId="77777777" w:rsidR="008A3169" w:rsidRDefault="00000000">
            <w:pPr>
              <w:spacing w:line="252" w:lineRule="auto"/>
            </w:pPr>
            <w:r>
              <w:t>Sí (USMCA), pero aislada del resto</w:t>
            </w:r>
          </w:p>
        </w:tc>
      </w:tr>
      <w:tr w:rsidR="008A3169" w14:paraId="1D9C987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B9190B" w14:textId="77777777" w:rsidR="008A3169" w:rsidRDefault="00000000">
            <w:pPr>
              <w:spacing w:line="252" w:lineRule="auto"/>
            </w:pPr>
            <w:r>
              <w:t>Asia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02AA91" w14:textId="77777777" w:rsidR="008A3169" w:rsidRDefault="00000000">
            <w:pPr>
              <w:spacing w:line="252" w:lineRule="auto"/>
            </w:pPr>
            <w:r>
              <w:t>~170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5641FC" w14:textId="77777777" w:rsidR="008A3169" w:rsidRDefault="00000000">
            <w:pPr>
              <w:spacing w:line="252" w:lineRule="auto"/>
            </w:pPr>
            <w:r>
              <w:t>8%</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92E3B10" w14:textId="77777777" w:rsidR="008A3169" w:rsidRDefault="00000000">
            <w:pPr>
              <w:spacing w:line="252" w:lineRule="auto"/>
            </w:pPr>
            <w:r>
              <w:t>No — China (99) domina y aislada</w:t>
            </w:r>
          </w:p>
        </w:tc>
      </w:tr>
      <w:tr w:rsidR="008A3169" w14:paraId="3DF0ED4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92349F" w14:textId="77777777" w:rsidR="008A3169" w:rsidRDefault="00000000">
            <w:pPr>
              <w:spacing w:line="252" w:lineRule="auto"/>
            </w:pPr>
            <w:r>
              <w:t>Turquía + Oriente Medio</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F9895C" w14:textId="77777777" w:rsidR="008A3169" w:rsidRDefault="00000000">
            <w:pPr>
              <w:spacing w:line="252" w:lineRule="auto"/>
            </w:pPr>
            <w:r>
              <w:t>~99</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1760D8" w14:textId="77777777" w:rsidR="008A3169" w:rsidRDefault="00000000">
            <w:pPr>
              <w:spacing w:line="252" w:lineRule="auto"/>
            </w:pPr>
            <w:r>
              <w:t>5%</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EB10D0" w14:textId="77777777" w:rsidR="008A3169" w:rsidRDefault="00000000">
            <w:pPr>
              <w:spacing w:line="252" w:lineRule="auto"/>
            </w:pPr>
            <w:r>
              <w:t>Parcial</w:t>
            </w:r>
          </w:p>
        </w:tc>
      </w:tr>
      <w:tr w:rsidR="008A3169" w14:paraId="09BA374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CC98FC" w14:textId="77777777" w:rsidR="008A3169" w:rsidRDefault="00000000">
            <w:pPr>
              <w:spacing w:line="252" w:lineRule="auto"/>
            </w:pPr>
            <w:r>
              <w:t>Latinoamérica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15D89B" w14:textId="77777777" w:rsidR="008A3169" w:rsidRDefault="00000000">
            <w:pPr>
              <w:spacing w:line="252" w:lineRule="auto"/>
            </w:pPr>
            <w:r>
              <w:t>~84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23A313" w14:textId="77777777" w:rsidR="008A3169" w:rsidRDefault="00000000">
            <w:pPr>
              <w:spacing w:line="252" w:lineRule="auto"/>
            </w:pPr>
            <w:r>
              <w:t>4%</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33F7E7" w14:textId="77777777" w:rsidR="008A3169" w:rsidRDefault="00000000">
            <w:pPr>
              <w:spacing w:line="252" w:lineRule="auto"/>
            </w:pPr>
            <w:r>
              <w:t>Fragmentada</w:t>
            </w:r>
          </w:p>
        </w:tc>
      </w:tr>
      <w:tr w:rsidR="008A3169" w14:paraId="55D718F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E68664" w14:textId="77777777" w:rsidR="008A3169" w:rsidRDefault="00000000">
            <w:pPr>
              <w:spacing w:line="252" w:lineRule="auto"/>
            </w:pPr>
            <w:r>
              <w:t>Oceanía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BE72A2" w14:textId="77777777" w:rsidR="008A3169" w:rsidRDefault="00000000">
            <w:pPr>
              <w:spacing w:line="252" w:lineRule="auto"/>
            </w:pPr>
            <w:r>
              <w:t>43</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40958E" w14:textId="77777777" w:rsidR="008A3169" w:rsidRDefault="00000000">
            <w:pPr>
              <w:spacing w:line="252" w:lineRule="auto"/>
            </w:pPr>
            <w:r>
              <w:t>2%</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B64738" w14:textId="77777777" w:rsidR="008A3169" w:rsidRDefault="00000000">
            <w:pPr>
              <w:spacing w:line="252" w:lineRule="auto"/>
            </w:pPr>
            <w:r>
              <w:t>Aislada</w:t>
            </w:r>
          </w:p>
        </w:tc>
      </w:tr>
      <w:tr w:rsidR="008A3169" w14:paraId="26AACD8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E6A69C" w14:textId="77777777" w:rsidR="008A3169" w:rsidRDefault="00000000">
            <w:pPr>
              <w:spacing w:line="252" w:lineRule="auto"/>
            </w:pPr>
            <w:r>
              <w:t>África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927C73" w14:textId="77777777" w:rsidR="008A3169" w:rsidRDefault="00000000">
            <w:pPr>
              <w:spacing w:line="252" w:lineRule="auto"/>
            </w:pPr>
            <w:r>
              <w:t>~19</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BD1015" w14:textId="77777777" w:rsidR="008A3169" w:rsidRDefault="00000000">
            <w:pPr>
              <w:spacing w:line="252" w:lineRule="auto"/>
            </w:pPr>
            <w:r>
              <w:t>1%</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1EDA55" w14:textId="77777777" w:rsidR="008A3169" w:rsidRDefault="00000000">
            <w:pPr>
              <w:spacing w:line="252" w:lineRule="auto"/>
            </w:pPr>
            <w:r>
              <w:t>Mínima</w:t>
            </w:r>
          </w:p>
        </w:tc>
      </w:tr>
    </w:tbl>
    <w:p w14:paraId="019B043E" w14:textId="77777777" w:rsidR="008A3169" w:rsidRDefault="008A3169">
      <w:pPr>
        <w:spacing w:after="60"/>
      </w:pPr>
    </w:p>
    <w:p w14:paraId="32FE7659" w14:textId="77777777" w:rsidR="008A3169" w:rsidRDefault="00000000">
      <w:pPr>
        <w:spacing w:after="120" w:line="276" w:lineRule="auto"/>
      </w:pPr>
      <w:r>
        <w:t xml:space="preserve">El dato que lo decide todo: </w:t>
      </w:r>
      <w:r>
        <w:rPr>
          <w:b/>
          <w:bCs/>
        </w:rPr>
        <w:t>Europa es dos tercios del mercado, contiguo y sin fricción aduanera</w:t>
      </w:r>
      <w:r>
        <w:t xml:space="preserve">. Un comprador alemán trae de Polonia, Chequia, Países Bajos, Austria o Italia en un día de camión y, en buena parte, en euros. En términos de gravedad, </w:t>
      </w:r>
      <w:r>
        <w:rPr>
          <w:b/>
          <w:bCs/>
        </w:rPr>
        <w:t>Europa entera funciona como un único mercado profundo</w:t>
      </w:r>
      <w:r>
        <w:t>. Saturar Europa primero replica la mayor parte del foso del incumbente.</w:t>
      </w:r>
    </w:p>
    <w:p w14:paraId="670EF42C" w14:textId="77777777" w:rsidR="008A3169" w:rsidRDefault="00000000">
      <w:pPr>
        <w:pStyle w:val="Ttulo1"/>
      </w:pPr>
      <w:bookmarkStart w:id="4" w:name="_Toc233635904"/>
      <w:r>
        <w:t>4. Decisión de ancla: Alemania / Centroeuropa</w:t>
      </w:r>
      <w:bookmarkEnd w:id="4"/>
    </w:p>
    <w:p w14:paraId="43BA1809" w14:textId="77777777" w:rsidR="008A3169" w:rsidRDefault="00000000">
      <w:pPr>
        <w:spacing w:after="120" w:line="276" w:lineRule="auto"/>
      </w:pPr>
      <w:r>
        <w:t xml:space="preserve">Se evaluó Norteamérica como punto de partida y se descartó a la luz de los datos. La tabla la desinfla: Norteamérica es, en la práctica, </w:t>
      </w:r>
      <w:r>
        <w:rPr>
          <w:b/>
          <w:bCs/>
        </w:rPr>
        <w:t>solo EE. UU. (220)</w:t>
      </w:r>
      <w:r>
        <w:t>; Canadá (26) y México (21) suman apenas 47, y el bloque está aislado por un océano del 87% restante del mercado. Anclar ahí significa sembrar densidad en el 13% del mercado, lejos de todo lo demás.</w:t>
      </w:r>
    </w:p>
    <w:p w14:paraId="5538DD8C" w14:textId="77777777" w:rsidR="008A3169" w:rsidRDefault="00000000">
      <w:pPr>
        <w:spacing w:after="120" w:line="276" w:lineRule="auto"/>
      </w:pPr>
      <w:r>
        <w:t xml:space="preserve">La propia lógica de gravedad apunta a </w:t>
      </w:r>
      <w:r>
        <w:rPr>
          <w:b/>
          <w:bCs/>
        </w:rPr>
        <w:t>Alemania (229)</w:t>
      </w:r>
      <w:r>
        <w:t>, el país más denso y el centro geográfico del clúster europeo. Creciendo en anillos concéntricos:</w:t>
      </w:r>
    </w:p>
    <w:p w14:paraId="01981A41" w14:textId="77777777" w:rsidR="008A3169" w:rsidRDefault="00000000">
      <w:pPr>
        <w:spacing w:after="120" w:line="276" w:lineRule="auto"/>
      </w:pPr>
      <w:r>
        <w:t xml:space="preserve">El primer anillo alrededor de Alemania —Países Bajos, Bélgica, Francia, Polonia, Chequia, Austria, Suiza, Dinamarca, Luxemburgo— suma </w:t>
      </w:r>
      <w:r>
        <w:rPr>
          <w:b/>
          <w:bCs/>
        </w:rPr>
        <w:t>~630 miembros, todos en zona UE sin fricción</w:t>
      </w:r>
      <w:r>
        <w:t xml:space="preserve">. Es decir: el primer anillo europeo ya es </w:t>
      </w:r>
      <w:r>
        <w:rPr>
          <w:b/>
          <w:bCs/>
        </w:rPr>
        <w:t>más del doble que todo el continente norteamericano (267)</w:t>
      </w:r>
      <w:r>
        <w:t>, y accesible por carretera.</w:t>
      </w:r>
    </w:p>
    <w:p w14:paraId="4333F3A6" w14:textId="77777777" w:rsidR="008A3169" w:rsidRDefault="00000000">
      <w:pPr>
        <w:pStyle w:val="Ttulo3"/>
      </w:pPr>
      <w:r>
        <w:t xml:space="preserve">El </w:t>
      </w:r>
      <w:proofErr w:type="spellStart"/>
      <w:r>
        <w:t>trade</w:t>
      </w:r>
      <w:proofErr w:type="spellEnd"/>
      <w:r>
        <w:t>-off, expuesto con honestidad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3169" w14:paraId="4A28AC13"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B16FE73" w14:textId="77777777" w:rsidR="008A3169" w:rsidRDefault="00000000">
            <w:pPr>
              <w:spacing w:line="252" w:lineRule="auto"/>
            </w:pPr>
            <w:r>
              <w:rPr>
                <w:b/>
                <w:bCs/>
                <w:color w:val="FFFFFF"/>
              </w:rPr>
              <w:t>Anclar en Norteamérica (EE. UU.)</w:t>
            </w:r>
          </w:p>
        </w:tc>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C2C4A3B" w14:textId="77777777" w:rsidR="008A3169" w:rsidRDefault="00000000">
            <w:pPr>
              <w:spacing w:line="252" w:lineRule="auto"/>
            </w:pPr>
            <w:r>
              <w:rPr>
                <w:b/>
                <w:bCs/>
                <w:color w:val="FFFFFF"/>
              </w:rPr>
              <w:t>Anclar en Alemania / Centroeuropa</w:t>
            </w:r>
          </w:p>
        </w:tc>
      </w:tr>
      <w:tr w:rsidR="008A3169" w14:paraId="46F152DD"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5E2B73" w14:textId="77777777" w:rsidR="008A3169" w:rsidRDefault="00000000">
            <w:pPr>
              <w:spacing w:line="252" w:lineRule="auto"/>
            </w:pPr>
            <w:r>
              <w:t xml:space="preserve">A favor: operar en un solo idioma (inglés) simplifica manual, soporte y VERA; posible ataque de flanco si </w:t>
            </w:r>
            <w:proofErr w:type="spellStart"/>
            <w:r>
              <w:t>BearingNet</w:t>
            </w:r>
            <w:proofErr w:type="spellEnd"/>
            <w:r>
              <w:t xml:space="preserve"> está más atrincherado en Europa.</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B58662" w14:textId="77777777" w:rsidR="008A3169" w:rsidRDefault="00000000">
            <w:pPr>
              <w:spacing w:line="252" w:lineRule="auto"/>
            </w:pPr>
            <w:r>
              <w:t>A favor: arranca dentro del 66% del mercado, contiguo y sin fricción; el primer anillo (~630) supera a toda Norteamérica; conquista Europa desde dentro.</w:t>
            </w:r>
          </w:p>
        </w:tc>
      </w:tr>
      <w:tr w:rsidR="008A3169" w14:paraId="6171430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304CC64" w14:textId="77777777" w:rsidR="008A3169" w:rsidRDefault="00000000">
            <w:pPr>
              <w:spacing w:line="252" w:lineRule="auto"/>
            </w:pPr>
            <w:r>
              <w:rPr>
                <w:color w:val="000000"/>
              </w:rPr>
              <w:lastRenderedPageBreak/>
              <w:t>En contra: siembra una isla del 13% lejos del grueso del mercado; cruzar el Atlántico queda para tarde; cambia la postura RGPD a US-</w:t>
            </w:r>
            <w:proofErr w:type="spellStart"/>
            <w:r>
              <w:rPr>
                <w:color w:val="000000"/>
              </w:rPr>
              <w:t>first</w:t>
            </w:r>
            <w:proofErr w:type="spellEnd"/>
            <w:r>
              <w:rPr>
                <w:color w:val="000000"/>
              </w:rPr>
              <w: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A21E594" w14:textId="77777777" w:rsidR="008A3169" w:rsidRDefault="00000000">
            <w:pPr>
              <w:spacing w:line="252" w:lineRule="auto"/>
            </w:pPr>
            <w:r>
              <w:rPr>
                <w:color w:val="000000"/>
              </w:rPr>
              <w:t>En contra: operación multilingüe (alemán, polaco, italiano…), aunque VERA es multilingüe nativo y el B2B europeo usa inglés con frecuencia.</w:t>
            </w:r>
          </w:p>
        </w:tc>
      </w:tr>
    </w:tbl>
    <w:p w14:paraId="5124F201" w14:textId="77777777" w:rsidR="008A3169" w:rsidRDefault="00000000">
      <w:pPr>
        <w:spacing w:after="120" w:line="276" w:lineRule="auto"/>
      </w:pPr>
      <w:r>
        <w:rPr>
          <w:b/>
          <w:bCs/>
        </w:rPr>
        <w:t xml:space="preserve">Veredicto: </w:t>
      </w:r>
      <w:r>
        <w:t xml:space="preserve">el premio europeo es </w:t>
      </w:r>
      <w:proofErr w:type="gramStart"/>
      <w:r>
        <w:t>demasiado grande y demasiado contiguo</w:t>
      </w:r>
      <w:proofErr w:type="gramEnd"/>
      <w:r>
        <w:t xml:space="preserve"> para no empezar dentro. La simplicidad del inglés no compensa renunciar a arrancar en dos tercios del mercado. Para el objetivo de los 2.028 en el mes 12, Europa hay que conquistarla en todo caso; la única pregunta es si se ataca desde dentro (Alemania) o desde fuera (EE. UU., cruzando tarde). Se elige desde dentro.</w:t>
      </w:r>
    </w:p>
    <w:p w14:paraId="1164EC61" w14:textId="77777777" w:rsidR="008A3169" w:rsidRDefault="00000000">
      <w:pPr>
        <w:pStyle w:val="Ttulo1"/>
      </w:pPr>
      <w:bookmarkStart w:id="5" w:name="_Toc233635905"/>
      <w:r>
        <w:t>5. Secuencia de despliegue en anillos concéntricos</w:t>
      </w:r>
      <w:bookmarkEnd w:id="5"/>
    </w:p>
    <w:p w14:paraId="67CCFACF" w14:textId="77777777" w:rsidR="008A3169" w:rsidRDefault="00000000">
      <w:pPr>
        <w:spacing w:after="120" w:line="276" w:lineRule="auto"/>
      </w:pPr>
      <w:r>
        <w:t xml:space="preserve">Principio operativo: </w:t>
      </w:r>
      <w:r>
        <w:rPr>
          <w:b/>
          <w:bCs/>
        </w:rPr>
        <w:t>secuencial para APRENDER, paralelo para ESCALAR</w:t>
      </w:r>
      <w:r>
        <w:t xml:space="preserve">. Se fabrica el manual de </w:t>
      </w:r>
      <w:proofErr w:type="spellStart"/>
      <w:r>
        <w:t>onboarding</w:t>
      </w:r>
      <w:proofErr w:type="spellEnd"/>
      <w:r>
        <w:t xml:space="preserve"> en un país ancla, en serie; una vez probado, se aplica a varios países a la vez sin repetir el aprendizaje lento.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3415"/>
        <w:gridCol w:w="1791"/>
        <w:gridCol w:w="2027"/>
      </w:tblGrid>
      <w:tr w:rsidR="008A3169" w14:paraId="6B55EBE0"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DBED288" w14:textId="77777777" w:rsidR="008A3169" w:rsidRDefault="00000000">
            <w:pPr>
              <w:spacing w:line="252" w:lineRule="auto"/>
            </w:pPr>
            <w:r>
              <w:rPr>
                <w:b/>
                <w:bCs/>
                <w:color w:val="FFFFFF"/>
              </w:rPr>
              <w:t>Fase</w:t>
            </w:r>
          </w:p>
        </w:tc>
        <w:tc>
          <w:tcPr>
            <w:tcW w:w="305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C9F847F" w14:textId="77777777" w:rsidR="008A3169" w:rsidRDefault="00000000">
            <w:pPr>
              <w:spacing w:line="252" w:lineRule="auto"/>
            </w:pPr>
            <w:r>
              <w:rPr>
                <w:b/>
                <w:bCs/>
                <w:color w:val="FFFFFF"/>
              </w:rPr>
              <w:t>Alcance</w:t>
            </w:r>
          </w:p>
        </w:tc>
        <w:tc>
          <w:tcPr>
            <w:tcW w:w="16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EAAD4D9" w14:textId="77777777" w:rsidR="008A3169" w:rsidRDefault="00000000">
            <w:pPr>
              <w:spacing w:line="252" w:lineRule="auto"/>
            </w:pPr>
            <w:r>
              <w:rPr>
                <w:b/>
                <w:bCs/>
                <w:color w:val="FFFFFF"/>
              </w:rPr>
              <w:t>Acumulado</w:t>
            </w:r>
          </w:p>
        </w:tc>
        <w:tc>
          <w:tcPr>
            <w:tcW w:w="181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AB48B6F" w14:textId="77777777" w:rsidR="008A3169" w:rsidRDefault="00000000">
            <w:pPr>
              <w:spacing w:line="252" w:lineRule="auto"/>
            </w:pPr>
            <w:r>
              <w:rPr>
                <w:b/>
                <w:bCs/>
                <w:color w:val="FFFFFF"/>
              </w:rPr>
              <w:t>Objetivo</w:t>
            </w:r>
          </w:p>
        </w:tc>
      </w:tr>
      <w:tr w:rsidR="008A3169" w14:paraId="16156233"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46E650" w14:textId="77777777" w:rsidR="008A3169" w:rsidRDefault="00000000">
            <w:pPr>
              <w:spacing w:line="252" w:lineRule="auto"/>
            </w:pPr>
            <w:r>
              <w:rPr>
                <w:b/>
                <w:bCs/>
                <w:color w:val="000000"/>
              </w:rPr>
              <w:t>Ancla · M1-3</w:t>
            </w:r>
          </w:p>
        </w:tc>
        <w:tc>
          <w:tcPr>
            <w:tcW w:w="3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FE614D" w14:textId="77777777" w:rsidR="008A3169" w:rsidRDefault="00000000">
            <w:pPr>
              <w:spacing w:line="252" w:lineRule="auto"/>
            </w:pPr>
            <w:r>
              <w:t>Alemania (229)</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E7C9CB" w14:textId="77777777" w:rsidR="008A3169" w:rsidRDefault="00000000">
            <w:pPr>
              <w:spacing w:line="252" w:lineRule="auto"/>
            </w:pPr>
            <w:r>
              <w:t>~229</w:t>
            </w:r>
          </w:p>
        </w:tc>
        <w:tc>
          <w:tcPr>
            <w:tcW w:w="1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3576A4" w14:textId="77777777" w:rsidR="008A3169" w:rsidRDefault="00000000">
            <w:pPr>
              <w:spacing w:line="252" w:lineRule="auto"/>
            </w:pPr>
            <w:r>
              <w:t xml:space="preserve">Fabricar el manual de </w:t>
            </w:r>
            <w:proofErr w:type="spellStart"/>
            <w:r>
              <w:t>onboarding</w:t>
            </w:r>
            <w:proofErr w:type="spellEnd"/>
            <w:r>
              <w:t xml:space="preserve"> (no el número)</w:t>
            </w:r>
          </w:p>
        </w:tc>
      </w:tr>
      <w:tr w:rsidR="008A3169" w14:paraId="599ECEB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D64F23A" w14:textId="77777777" w:rsidR="008A3169" w:rsidRDefault="00000000">
            <w:pPr>
              <w:spacing w:line="252" w:lineRule="auto"/>
            </w:pPr>
            <w:r>
              <w:rPr>
                <w:b/>
                <w:bCs/>
                <w:color w:val="000000"/>
              </w:rPr>
              <w:t>Anillo 1 · M3-7</w:t>
            </w:r>
          </w:p>
        </w:tc>
        <w:tc>
          <w:tcPr>
            <w:tcW w:w="3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4AD81A6" w14:textId="77777777" w:rsidR="008A3169" w:rsidRPr="000A62D0" w:rsidRDefault="00000000">
            <w:pPr>
              <w:spacing w:line="252" w:lineRule="auto"/>
              <w:rPr>
                <w:lang w:val="en-US"/>
              </w:rPr>
            </w:pPr>
            <w:r w:rsidRPr="000A62D0">
              <w:rPr>
                <w:color w:val="000000"/>
                <w:lang w:val="en-US"/>
              </w:rPr>
              <w:t>NL, BE, FR, PL, CZ, AT, CH, DK, IT — vecinos sin fricción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F538A54" w14:textId="77777777" w:rsidR="008A3169" w:rsidRDefault="00000000">
            <w:pPr>
              <w:spacing w:line="252" w:lineRule="auto"/>
            </w:pPr>
            <w:r>
              <w:rPr>
                <w:color w:val="000000"/>
              </w:rPr>
              <w:t>~785</w:t>
            </w:r>
          </w:p>
        </w:tc>
        <w:tc>
          <w:tcPr>
            <w:tcW w:w="18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EEAE3A" w14:textId="77777777" w:rsidR="008A3169" w:rsidRDefault="00000000">
            <w:pPr>
              <w:spacing w:line="252" w:lineRule="auto"/>
            </w:pPr>
            <w:r>
              <w:rPr>
                <w:color w:val="000000"/>
              </w:rPr>
              <w:t>Aplicar el manual en paralelo; recuperar ritmo</w:t>
            </w:r>
          </w:p>
        </w:tc>
      </w:tr>
      <w:tr w:rsidR="008A3169" w14:paraId="3BDDBF7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6C6485" w14:textId="77777777" w:rsidR="008A3169" w:rsidRDefault="00000000">
            <w:pPr>
              <w:spacing w:line="252" w:lineRule="auto"/>
            </w:pPr>
            <w:r>
              <w:rPr>
                <w:b/>
                <w:bCs/>
                <w:color w:val="000000"/>
              </w:rPr>
              <w:t>Anillo 2 · M7-10</w:t>
            </w:r>
          </w:p>
        </w:tc>
        <w:tc>
          <w:tcPr>
            <w:tcW w:w="3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5924B3" w14:textId="77777777" w:rsidR="008A3169" w:rsidRDefault="00000000">
            <w:pPr>
              <w:spacing w:line="252" w:lineRule="auto"/>
            </w:pPr>
            <w:r>
              <w:t xml:space="preserve">Resto de la UE + Reino Unido + nórdicos, bálticos y </w:t>
            </w:r>
            <w:proofErr w:type="spellStart"/>
            <w:r>
              <w:t>balcanes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E1AD75" w14:textId="77777777" w:rsidR="008A3169" w:rsidRDefault="00000000">
            <w:pPr>
              <w:spacing w:line="252" w:lineRule="auto"/>
            </w:pPr>
            <w:r>
              <w:t>~1.345</w:t>
            </w:r>
          </w:p>
        </w:tc>
        <w:tc>
          <w:tcPr>
            <w:tcW w:w="1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C857D1" w14:textId="77777777" w:rsidR="008A3169" w:rsidRDefault="00000000">
            <w:pPr>
              <w:spacing w:line="252" w:lineRule="auto"/>
            </w:pPr>
            <w:r>
              <w:t>Dos tercios del foso replicados (toda Europa)</w:t>
            </w:r>
          </w:p>
        </w:tc>
      </w:tr>
      <w:tr w:rsidR="008A3169" w14:paraId="161D8E89"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5084B6B" w14:textId="77777777" w:rsidR="008A3169" w:rsidRDefault="00000000">
            <w:pPr>
              <w:spacing w:line="252" w:lineRule="auto"/>
            </w:pPr>
            <w:r>
              <w:rPr>
                <w:b/>
                <w:bCs/>
                <w:color w:val="000000"/>
              </w:rPr>
              <w:t>Anillo 3 · M10-12</w:t>
            </w:r>
          </w:p>
        </w:tc>
        <w:tc>
          <w:tcPr>
            <w:tcW w:w="3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A42315E" w14:textId="77777777" w:rsidR="008A3169" w:rsidRDefault="00000000">
            <w:pPr>
              <w:spacing w:line="252" w:lineRule="auto"/>
            </w:pPr>
            <w:r>
              <w:rPr>
                <w:color w:val="000000"/>
              </w:rPr>
              <w:t>Otros continentes: Turquía, China, Norteamérica, Latinoamérica, Oceanía, África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86CD9C3" w14:textId="77777777" w:rsidR="008A3169" w:rsidRDefault="00000000">
            <w:pPr>
              <w:spacing w:line="252" w:lineRule="auto"/>
            </w:pPr>
            <w:r>
              <w:rPr>
                <w:color w:val="000000"/>
              </w:rPr>
              <w:t>~2.028</w:t>
            </w:r>
          </w:p>
        </w:tc>
        <w:tc>
          <w:tcPr>
            <w:tcW w:w="18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2EAD5EC" w14:textId="77777777" w:rsidR="008A3169" w:rsidRDefault="00000000">
            <w:pPr>
              <w:spacing w:line="252" w:lineRule="auto"/>
            </w:pPr>
            <w:r>
              <w:rPr>
                <w:color w:val="000000"/>
              </w:rPr>
              <w:t>Cierre del KPI: base completa subida</w:t>
            </w:r>
          </w:p>
        </w:tc>
      </w:tr>
    </w:tbl>
    <w:p w14:paraId="06F1E268" w14:textId="77777777" w:rsidR="008A3169" w:rsidRDefault="00000000">
      <w:pPr>
        <w:spacing w:after="120" w:line="276" w:lineRule="auto"/>
      </w:pPr>
      <w:r>
        <w:rPr>
          <w:i/>
          <w:iCs/>
          <w:color w:val="555555"/>
        </w:rPr>
        <w:t>Anclando en Europa, el grueso del mercado cae pronto, no al final. Norteamérica —que estuvo a punto de ser el punto de partida— queda donde su peso real la coloca: una oleada del Anillo 3.</w:t>
      </w:r>
    </w:p>
    <w:p w14:paraId="088771F2" w14:textId="77777777" w:rsidR="008A3169" w:rsidRDefault="00000000">
      <w:pPr>
        <w:pStyle w:val="Ttulo1"/>
      </w:pPr>
      <w:bookmarkStart w:id="6" w:name="_Toc233635906"/>
      <w:r>
        <w:t>6. Semáforo de densidad mínima viable</w:t>
      </w:r>
      <w:bookmarkEnd w:id="6"/>
    </w:p>
    <w:p w14:paraId="4F2B134D" w14:textId="77777777" w:rsidR="008A3169" w:rsidRDefault="00000000">
      <w:pPr>
        <w:spacing w:after="120" w:line="276" w:lineRule="auto"/>
      </w:pPr>
      <w:r>
        <w:t xml:space="preserve">La densidad mínima viable no es de verdad un número de distribuidores: es una </w:t>
      </w:r>
      <w:r>
        <w:rPr>
          <w:b/>
          <w:bCs/>
        </w:rPr>
        <w:t>tasa de éxito de búsqueda</w:t>
      </w:r>
      <w:r>
        <w:t xml:space="preserve">. El </w:t>
      </w:r>
      <w:proofErr w:type="spellStart"/>
      <w:r>
        <w:t>headcount</w:t>
      </w:r>
      <w:proofErr w:type="spellEnd"/>
      <w:r>
        <w:t xml:space="preserve"> es solo un proxy de planificación. Se derivan ambos.</w:t>
      </w:r>
    </w:p>
    <w:p w14:paraId="42904844" w14:textId="77777777" w:rsidR="008A3169" w:rsidRDefault="00000000">
      <w:pPr>
        <w:pStyle w:val="Ttulo3"/>
      </w:pPr>
      <w:r>
        <w:t>El modelo</w:t>
      </w:r>
    </w:p>
    <w:p w14:paraId="343123A2" w14:textId="77777777" w:rsidR="008A3169" w:rsidRDefault="00000000">
      <w:pPr>
        <w:spacing w:after="120" w:line="276" w:lineRule="auto"/>
      </w:pPr>
      <w:r>
        <w:t xml:space="preserve">Para una referencia buscada, las ofertas esperadas son </w:t>
      </w:r>
      <w:r>
        <w:rPr>
          <w:b/>
          <w:bCs/>
        </w:rPr>
        <w:t>Ofertas ≈ N × p</w:t>
      </w:r>
      <w:r>
        <w:t>, donde N = distribuidores con stock vivo y p = probabilidad de que un distribuidor cualquiera tenga esa referencia. Se busca que el resultado dé 3-5. El problema es que p varía enormemente según la popularidad de la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A3169" w14:paraId="7FAD14BF"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C30C9E7" w14:textId="77777777" w:rsidR="008A3169" w:rsidRDefault="00000000">
            <w:pPr>
              <w:spacing w:line="252" w:lineRule="auto"/>
            </w:pPr>
            <w:r>
              <w:rPr>
                <w:b/>
                <w:bCs/>
                <w:color w:val="FFFFFF"/>
              </w:rPr>
              <w:lastRenderedPageBreak/>
              <w:t>Tipo de referencia</w:t>
            </w:r>
          </w:p>
        </w:tc>
        <w:tc>
          <w:tcPr>
            <w:tcW w:w="28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6BE8AC4" w14:textId="77777777" w:rsidR="008A3169" w:rsidRDefault="00000000">
            <w:pPr>
              <w:spacing w:line="252" w:lineRule="auto"/>
            </w:pPr>
            <w:r>
              <w:rPr>
                <w:b/>
                <w:bCs/>
                <w:color w:val="FFFFFF"/>
              </w:rPr>
              <w:t xml:space="preserve">p (% que la </w:t>
            </w:r>
            <w:proofErr w:type="spellStart"/>
            <w:r>
              <w:rPr>
                <w:b/>
                <w:bCs/>
                <w:color w:val="FFFFFF"/>
              </w:rPr>
              <w:t>stockean</w:t>
            </w:r>
            <w:proofErr w:type="spellEnd"/>
            <w:r>
              <w:rPr>
                <w:b/>
                <w:bCs/>
                <w:color w:val="FFFFFF"/>
              </w:rPr>
              <w:t>)</w:t>
            </w:r>
          </w:p>
        </w:tc>
        <w:tc>
          <w:tcPr>
            <w:tcW w:w="28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6DE77F6" w14:textId="77777777" w:rsidR="008A3169" w:rsidRDefault="00000000">
            <w:pPr>
              <w:spacing w:line="252" w:lineRule="auto"/>
            </w:pPr>
            <w:r>
              <w:rPr>
                <w:b/>
                <w:bCs/>
                <w:color w:val="FFFFFF"/>
              </w:rPr>
              <w:t>N para 3-5 ofertas</w:t>
            </w:r>
          </w:p>
        </w:tc>
      </w:tr>
      <w:tr w:rsidR="008A3169" w14:paraId="29039DF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01D14F" w14:textId="77777777" w:rsidR="008A3169" w:rsidRDefault="00000000">
            <w:pPr>
              <w:spacing w:line="252" w:lineRule="auto"/>
            </w:pPr>
            <w:r>
              <w:t>Comodín (p. ej. 6205 2RS)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C78929" w14:textId="77777777" w:rsidR="008A3169" w:rsidRDefault="00000000">
            <w:pPr>
              <w:spacing w:line="252" w:lineRule="auto"/>
            </w:pPr>
            <w:r>
              <w:t>~40-60%</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E5ABFA" w14:textId="77777777" w:rsidR="008A3169" w:rsidRDefault="00000000">
            <w:pPr>
              <w:spacing w:line="252" w:lineRule="auto"/>
            </w:pPr>
            <w:r>
              <w:t>6-12</w:t>
            </w:r>
          </w:p>
        </w:tc>
      </w:tr>
      <w:tr w:rsidR="008A3169" w14:paraId="2343B0EA"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ACFE839" w14:textId="77777777" w:rsidR="008A3169" w:rsidRDefault="00000000">
            <w:pPr>
              <w:spacing w:line="252" w:lineRule="auto"/>
            </w:pPr>
            <w:r>
              <w:rPr>
                <w:b/>
                <w:bCs/>
                <w:color w:val="000000"/>
              </w:rPr>
              <w:t>Media (la búsqueda típica)</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50C7DDD" w14:textId="77777777" w:rsidR="008A3169" w:rsidRDefault="00000000">
            <w:pPr>
              <w:spacing w:line="252" w:lineRule="auto"/>
            </w:pPr>
            <w:r>
              <w:rPr>
                <w:b/>
                <w:bCs/>
                <w:color w:val="000000"/>
              </w:rPr>
              <w:t>~8-12%</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45791A" w14:textId="77777777" w:rsidR="008A3169" w:rsidRDefault="00000000">
            <w:pPr>
              <w:spacing w:line="252" w:lineRule="auto"/>
            </w:pPr>
            <w:r>
              <w:rPr>
                <w:b/>
                <w:bCs/>
                <w:color w:val="000000"/>
              </w:rPr>
              <w:t>30-50</w:t>
            </w:r>
          </w:p>
        </w:tc>
      </w:tr>
      <w:tr w:rsidR="008A3169" w14:paraId="037E01B2"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E6CC02" w14:textId="77777777" w:rsidR="008A3169" w:rsidRDefault="00000000">
            <w:pPr>
              <w:spacing w:line="252" w:lineRule="auto"/>
            </w:pPr>
            <w:r>
              <w:t>Rara / especialidad</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2D621D" w14:textId="77777777" w:rsidR="008A3169" w:rsidRDefault="00000000">
            <w:pPr>
              <w:spacing w:line="252" w:lineRule="auto"/>
            </w:pPr>
            <w:r>
              <w:t>~1-3%</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19AFE6" w14:textId="77777777" w:rsidR="008A3169" w:rsidRDefault="00000000">
            <w:pPr>
              <w:spacing w:line="252" w:lineRule="auto"/>
            </w:pPr>
            <w:r>
              <w:t>100-300+</w:t>
            </w:r>
          </w:p>
        </w:tc>
      </w:tr>
    </w:tbl>
    <w:p w14:paraId="1413B5CD" w14:textId="77777777" w:rsidR="008A3169" w:rsidRDefault="00000000">
      <w:pPr>
        <w:spacing w:after="120" w:line="276" w:lineRule="auto"/>
      </w:pPr>
      <w:r>
        <w:t xml:space="preserve">La franja que gobierna el semáforo es la </w:t>
      </w:r>
      <w:r>
        <w:rPr>
          <w:b/>
          <w:bCs/>
        </w:rPr>
        <w:t>media</w:t>
      </w:r>
      <w:r>
        <w:t xml:space="preserve">, que representa la búsqueda típica con intención de compra. Para que devuelva 3-5 ofertas se necesitan </w:t>
      </w:r>
      <w:r>
        <w:rPr>
          <w:b/>
          <w:bCs/>
        </w:rPr>
        <w:t>~30-50 distribuidores con stock vivo y fresco</w:t>
      </w:r>
      <w:r>
        <w:t xml:space="preserve">. Ajustando por realidad: no todos suben stock ni lo mantienen al día (supuesto ~75% en la cohorte ancla de migrantes motivados con CSV de </w:t>
      </w:r>
      <w:proofErr w:type="spellStart"/>
      <w:r>
        <w:t>BearingNet</w:t>
      </w:r>
      <w:proofErr w:type="spellEnd"/>
      <w:r>
        <w:t xml:space="preserve"> ya hecho), 40 vivos ÷ 0,75 ≈ 53 reclutados.</w:t>
      </w:r>
    </w:p>
    <w:p w14:paraId="53322C6C" w14:textId="77777777" w:rsidR="008A3169" w:rsidRDefault="00000000">
      <w:pPr>
        <w:pStyle w:val="Ttulo3"/>
      </w:pPr>
      <w:r>
        <w:t>Luz verde para Alemania</w:t>
      </w:r>
    </w:p>
    <w:p w14:paraId="46DF18DB" w14:textId="77777777" w:rsidR="008A3169" w:rsidRDefault="00000000">
      <w:pPr>
        <w:spacing w:after="120" w:line="276" w:lineRule="auto"/>
      </w:pPr>
      <w:r>
        <w:t xml:space="preserve">Cifra de trabajo: </w:t>
      </w:r>
      <w:r>
        <w:rPr>
          <w:b/>
          <w:bCs/>
        </w:rPr>
        <w:t>~40-65 distribuidores alemanes reclutados (≈ 50)</w:t>
      </w:r>
      <w:r>
        <w:t xml:space="preserve">, solo el </w:t>
      </w:r>
      <w:r>
        <w:rPr>
          <w:b/>
          <w:bCs/>
        </w:rPr>
        <w:t>~20-25% del pool de 229</w:t>
      </w:r>
      <w:r>
        <w:t xml:space="preserve"> — alcanzable de sobra en la fase ancla de 3 meses.</w:t>
      </w:r>
    </w:p>
    <w:p w14:paraId="77C9596E" w14:textId="77777777" w:rsidR="008A3169" w:rsidRDefault="00000000">
      <w:pPr>
        <w:pStyle w:val="Ttulo3"/>
      </w:pPr>
      <w:r>
        <w:t>La regla real: medir, no contar</w:t>
      </w:r>
    </w:p>
    <w:p w14:paraId="0278C2EE" w14:textId="77777777" w:rsidR="008A3169" w:rsidRDefault="00000000">
      <w:pPr>
        <w:spacing w:after="120" w:line="276" w:lineRule="auto"/>
      </w:pPr>
      <w:r>
        <w:t>Como las p son estimaciones, el semáforo definitivo debe ser empírico:</w:t>
      </w:r>
    </w:p>
    <w:p w14:paraId="6DDAE293" w14:textId="77777777" w:rsidR="008A3169" w:rsidRDefault="00000000">
      <w:pPr>
        <w:shd w:val="clear" w:color="auto" w:fill="DCE6F1"/>
        <w:spacing w:before="60" w:after="120" w:line="276" w:lineRule="auto"/>
      </w:pPr>
      <w:r>
        <w:rPr>
          <w:b/>
          <w:bCs/>
        </w:rPr>
        <w:t xml:space="preserve">Abrir el anillo siguiente cuando </w:t>
      </w:r>
      <w:r>
        <w:rPr>
          <w:b/>
          <w:bCs/>
          <w:color w:val="2E7D32"/>
        </w:rPr>
        <w:t>≥ 70-80% de las búsquedas reales devuelvan ≥ 3 ofertas</w:t>
      </w:r>
      <w:r>
        <w:rPr>
          <w:b/>
          <w:bCs/>
        </w:rPr>
        <w:t>, medido sobre una ventana móvil de 2 semanas.</w:t>
      </w:r>
    </w:p>
    <w:p w14:paraId="01331180" w14:textId="77777777" w:rsidR="008A3169" w:rsidRDefault="00000000">
      <w:pPr>
        <w:spacing w:after="120" w:line="276" w:lineRule="auto"/>
      </w:pPr>
      <w:r>
        <w:t>Esa métrica se autocorrige: mida cual sea la verdadera distribución de p en rodamientos, captura lo único que importa —que el producto sea útil—. El ~50 sirve para planificar la captación; el 70-80% para decidir el salto. El mismo semáforo se repite en cada anillo.</w:t>
      </w:r>
    </w:p>
    <w:p w14:paraId="1F331BDE" w14:textId="77777777" w:rsidR="008A3169" w:rsidRDefault="00000000">
      <w:pPr>
        <w:pStyle w:val="Ttulo3"/>
      </w:pPr>
      <w:r>
        <w:t>Táctica de arranque: evitar el frío dentro del clúster</w:t>
      </w:r>
    </w:p>
    <w:p w14:paraId="06C0C841" w14:textId="77777777" w:rsidR="008A3169" w:rsidRDefault="00000000">
      <w:pPr>
        <w:spacing w:after="120" w:line="276" w:lineRule="auto"/>
      </w:pPr>
      <w:r>
        <w:t xml:space="preserve">Con 5-10 distribuidores casi todas las búsquedas salen vacías y la gente se va. Por eso conviene </w:t>
      </w:r>
      <w:r>
        <w:rPr>
          <w:b/>
          <w:bCs/>
        </w:rPr>
        <w:t>sembrar oferta antes de empujar demanda</w:t>
      </w:r>
      <w:r>
        <w:t xml:space="preserve">, y concentrar la primera siembra en un </w:t>
      </w:r>
      <w:proofErr w:type="spellStart"/>
      <w:r>
        <w:rPr>
          <w:b/>
          <w:bCs/>
        </w:rPr>
        <w:t>sub-clúster</w:t>
      </w:r>
      <w:proofErr w:type="spellEnd"/>
      <w:r>
        <w:rPr>
          <w:b/>
          <w:bCs/>
        </w:rPr>
        <w:t xml:space="preserve"> denso</w:t>
      </w:r>
      <w:r>
        <w:t xml:space="preserve"> —una región industrial alemana (p. ej. Renania del Norte-Westfalia o Baden-Wurtemberg) o una familia de producto— en lugar de diluir 50 distribuidores por toda Alemania. Se alcanza el umbral de utilidad en un nicho primero.</w:t>
      </w:r>
    </w:p>
    <w:p w14:paraId="2CCF11DC" w14:textId="77777777" w:rsidR="008A3169" w:rsidRDefault="00000000">
      <w:pPr>
        <w:pStyle w:val="Ttulo1"/>
      </w:pPr>
      <w:bookmarkStart w:id="7" w:name="_Toc233635907"/>
      <w:r>
        <w:t>7. Coordinación con la arquitectura: Anillo 1 = primer sprint de evolución</w:t>
      </w:r>
      <w:bookmarkEnd w:id="7"/>
    </w:p>
    <w:p w14:paraId="1EECF582" w14:textId="77777777" w:rsidR="008A3169" w:rsidRDefault="00000000">
      <w:pPr>
        <w:spacing w:after="120" w:line="276" w:lineRule="auto"/>
      </w:pPr>
      <w:r>
        <w:t xml:space="preserve">El plan de </w:t>
      </w:r>
      <w:proofErr w:type="spellStart"/>
      <w:r>
        <w:t>deployment</w:t>
      </w:r>
      <w:proofErr w:type="spellEnd"/>
      <w:r>
        <w:t xml:space="preserve"> no contradice el </w:t>
      </w:r>
      <w:proofErr w:type="spellStart"/>
      <w:r>
        <w:t>stack</w:t>
      </w:r>
      <w:proofErr w:type="spellEnd"/>
      <w:r>
        <w:t xml:space="preserve"> «lean» del documento de arquitectura: </w:t>
      </w:r>
      <w:proofErr w:type="gramStart"/>
      <w:r>
        <w:rPr>
          <w:b/>
          <w:bCs/>
        </w:rPr>
        <w:t>le</w:t>
      </w:r>
      <w:proofErr w:type="gramEnd"/>
      <w:r>
        <w:rPr>
          <w:b/>
          <w:bCs/>
        </w:rPr>
        <w:t xml:space="preserve"> pone calendario a sus disparadores de escala</w:t>
      </w:r>
      <w:r>
        <w:t xml:space="preserve">. El </w:t>
      </w:r>
      <w:proofErr w:type="spellStart"/>
      <w:r>
        <w:t>stack</w:t>
      </w:r>
      <w:proofErr w:type="spellEnd"/>
      <w:r>
        <w:t xml:space="preserve"> se diseñó para evolucionar en </w:t>
      </w:r>
      <w:proofErr w:type="spellStart"/>
      <w:r>
        <w:t>triggers</w:t>
      </w:r>
      <w:proofErr w:type="spellEnd"/>
      <w:r>
        <w:t xml:space="preserve"> concretos a través de costuras ya construidas; el </w:t>
      </w:r>
      <w:proofErr w:type="spellStart"/>
      <w:r>
        <w:t>deployment</w:t>
      </w:r>
      <w:proofErr w:type="spellEnd"/>
      <w:r>
        <w:t xml:space="preserve"> es lo que agenda esos </w:t>
      </w:r>
      <w:proofErr w:type="spellStart"/>
      <w:r>
        <w:t>triggers</w:t>
      </w:r>
      <w:proofErr w:type="spellEnd"/>
      <w:r>
        <w:t xml:space="preserve"> con fecha.</w:t>
      </w:r>
    </w:p>
    <w:p w14:paraId="0393507D" w14:textId="77777777" w:rsidR="008A3169" w:rsidRDefault="00000000">
      <w:pPr>
        <w:spacing w:after="120" w:line="276" w:lineRule="auto"/>
      </w:pPr>
      <w:r>
        <w:t xml:space="preserve">Clave para entenderlo: entre los meses 3-7 (Anillo 1) la base pasa de ~229 a ~785 distribuidores, pero lo que crece no es la concurrencia de transacciones —la criptografía pesada vive en el navegador de cada usuario y los intercambios son limitados— sino </w:t>
      </w:r>
      <w:r>
        <w:rPr>
          <w:b/>
          <w:bCs/>
        </w:rPr>
        <w:t>el tamaño del índice de búsqueda (monótono y predecible) y las ráfagas de ingesta</w:t>
      </w:r>
      <w:r>
        <w:t>. Es presión de tipo índice grande, no de tipo avalancha de usuarios, y el crecimiento predecible es el fácil de provisionar por adelantado.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500"/>
        <w:gridCol w:w="5810"/>
      </w:tblGrid>
      <w:tr w:rsidR="008A3169" w14:paraId="48112C86" w14:textId="77777777">
        <w:tblPrEx>
          <w:tblCellMar>
            <w:top w:w="0" w:type="dxa"/>
            <w:bottom w:w="0" w:type="dxa"/>
          </w:tblCellMar>
        </w:tblPrEx>
        <w:trPr>
          <w:tblHeader/>
        </w:trPr>
        <w:tc>
          <w:tcPr>
            <w:tcW w:w="205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4583757B" w14:textId="77777777" w:rsidR="008A3169" w:rsidRDefault="00000000">
            <w:pPr>
              <w:spacing w:line="252" w:lineRule="auto"/>
            </w:pPr>
            <w:r>
              <w:rPr>
                <w:b/>
                <w:bCs/>
                <w:color w:val="FFFFFF"/>
              </w:rPr>
              <w:lastRenderedPageBreak/>
              <w:t>Etapa</w:t>
            </w:r>
          </w:p>
        </w:tc>
        <w:tc>
          <w:tcPr>
            <w:tcW w:w="15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F3EDC5E" w14:textId="77777777" w:rsidR="008A3169" w:rsidRDefault="00000000">
            <w:pPr>
              <w:spacing w:line="252" w:lineRule="auto"/>
            </w:pPr>
            <w:r>
              <w:rPr>
                <w:b/>
                <w:bCs/>
                <w:color w:val="FFFFFF"/>
              </w:rPr>
              <w:t>Escala</w:t>
            </w:r>
          </w:p>
        </w:tc>
        <w:tc>
          <w:tcPr>
            <w:tcW w:w="581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998DADE" w14:textId="77777777" w:rsidR="008A3169" w:rsidRDefault="00000000">
            <w:pPr>
              <w:spacing w:line="252" w:lineRule="auto"/>
            </w:pPr>
            <w:r>
              <w:rPr>
                <w:b/>
                <w:bCs/>
                <w:color w:val="FFFFFF"/>
              </w:rPr>
              <w:t>Evolución de arquitectura que dispara</w:t>
            </w:r>
          </w:p>
        </w:tc>
      </w:tr>
      <w:tr w:rsidR="008A3169" w14:paraId="06657EA2"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E5DB28" w14:textId="77777777" w:rsidR="008A3169" w:rsidRDefault="00000000">
            <w:pPr>
              <w:spacing w:line="252" w:lineRule="auto"/>
            </w:pPr>
            <w:r>
              <w:t>Ancla · M1-3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157C7F" w14:textId="77777777" w:rsidR="008A3169" w:rsidRDefault="00000000">
            <w:pPr>
              <w:spacing w:line="252" w:lineRule="auto"/>
            </w:pPr>
            <w:r>
              <w:t>~229</w:t>
            </w:r>
          </w:p>
        </w:tc>
        <w:tc>
          <w:tcPr>
            <w:tcW w:w="5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5614B7" w14:textId="77777777" w:rsidR="008A3169" w:rsidRDefault="00000000">
            <w:pPr>
              <w:spacing w:line="252" w:lineRule="auto"/>
            </w:pPr>
            <w:r>
              <w:t xml:space="preserve">Stack base lean: monolito modular, </w:t>
            </w:r>
            <w:proofErr w:type="spellStart"/>
            <w:r>
              <w:t>pgmq</w:t>
            </w:r>
            <w:proofErr w:type="spellEnd"/>
            <w:r>
              <w:t xml:space="preserve">, host de contenedores, </w:t>
            </w:r>
            <w:proofErr w:type="spellStart"/>
            <w:r>
              <w:t>Typesense</w:t>
            </w:r>
            <w:proofErr w:type="spellEnd"/>
            <w:r>
              <w:t xml:space="preserve"> en nodo único.</w:t>
            </w:r>
          </w:p>
        </w:tc>
      </w:tr>
      <w:tr w:rsidR="008A3169" w14:paraId="4D20DC06"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7EB7D1A2" w14:textId="77777777" w:rsidR="008A3169" w:rsidRDefault="00000000">
            <w:pPr>
              <w:spacing w:line="252" w:lineRule="auto"/>
            </w:pPr>
            <w:r>
              <w:rPr>
                <w:b/>
                <w:bCs/>
                <w:color w:val="000000"/>
              </w:rPr>
              <w:t>Anillo 1 · M3-7</w:t>
            </w:r>
          </w:p>
        </w:tc>
        <w:tc>
          <w:tcPr>
            <w:tcW w:w="15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CF22A50" w14:textId="77777777" w:rsidR="008A3169" w:rsidRDefault="00000000">
            <w:pPr>
              <w:spacing w:line="252" w:lineRule="auto"/>
            </w:pPr>
            <w:r>
              <w:rPr>
                <w:b/>
                <w:bCs/>
                <w:color w:val="000000"/>
              </w:rPr>
              <w:t>~785</w:t>
            </w:r>
          </w:p>
        </w:tc>
        <w:tc>
          <w:tcPr>
            <w:tcW w:w="581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214E1FA6" w14:textId="77777777" w:rsidR="008A3169" w:rsidRDefault="00000000">
            <w:pPr>
              <w:spacing w:line="252" w:lineRule="auto"/>
            </w:pPr>
            <w:r>
              <w:rPr>
                <w:color w:val="000000"/>
              </w:rPr>
              <w:t xml:space="preserve">Primer sprint de evolución: subir </w:t>
            </w:r>
            <w:proofErr w:type="spellStart"/>
            <w:r>
              <w:rPr>
                <w:color w:val="000000"/>
              </w:rPr>
              <w:t>Typesense</w:t>
            </w:r>
            <w:proofErr w:type="spellEnd"/>
            <w:r>
              <w:rPr>
                <w:color w:val="000000"/>
              </w:rPr>
              <w:t xml:space="preserve"> + activar actualizaciones incrementales y réplica caliente (listo ANTES de abrir el anillo); extraer Búsqueda y Alertas a </w:t>
            </w:r>
            <w:proofErr w:type="spellStart"/>
            <w:r>
              <w:rPr>
                <w:color w:val="000000"/>
              </w:rPr>
              <w:t>Go</w:t>
            </w:r>
            <w:proofErr w:type="spellEnd"/>
            <w:r>
              <w:rPr>
                <w:color w:val="000000"/>
              </w:rPr>
              <w:t xml:space="preserve"> (~mes 5-6, se cruza el umbral de ~500); subir </w:t>
            </w:r>
            <w:proofErr w:type="spellStart"/>
            <w:r>
              <w:rPr>
                <w:color w:val="000000"/>
              </w:rPr>
              <w:t>Postgres</w:t>
            </w:r>
            <w:proofErr w:type="spellEnd"/>
            <w:r>
              <w:rPr>
                <w:color w:val="000000"/>
              </w:rPr>
              <w:t xml:space="preserve"> y contenedores. Kafka todavía NO.</w:t>
            </w:r>
          </w:p>
        </w:tc>
      </w:tr>
      <w:tr w:rsidR="008A3169" w14:paraId="1B890F5A"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A5BF48" w14:textId="77777777" w:rsidR="008A3169" w:rsidRDefault="00000000">
            <w:pPr>
              <w:spacing w:line="252" w:lineRule="auto"/>
            </w:pPr>
            <w:r>
              <w:t>Anillo 2 · M7-10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A7CC40" w14:textId="77777777" w:rsidR="008A3169" w:rsidRDefault="00000000">
            <w:pPr>
              <w:spacing w:line="252" w:lineRule="auto"/>
            </w:pPr>
            <w:r>
              <w:t>~1.345</w:t>
            </w:r>
          </w:p>
        </w:tc>
        <w:tc>
          <w:tcPr>
            <w:tcW w:w="5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539BB3" w14:textId="77777777" w:rsidR="008A3169" w:rsidRDefault="00000000">
            <w:pPr>
              <w:spacing w:line="252" w:lineRule="auto"/>
            </w:pPr>
            <w:r>
              <w:t xml:space="preserve">Vigilar </w:t>
            </w:r>
            <w:proofErr w:type="spellStart"/>
            <w:r>
              <w:t>pgmq</w:t>
            </w:r>
            <w:proofErr w:type="spellEnd"/>
            <w:r>
              <w:t xml:space="preserve"> vs </w:t>
            </w:r>
            <w:proofErr w:type="spellStart"/>
            <w:r>
              <w:t>Postgres</w:t>
            </w:r>
            <w:proofErr w:type="spellEnd"/>
            <w:r>
              <w:t xml:space="preserve"> (indicador adelantado de Kafka); réplicas de lectura; posible inicio de dual-</w:t>
            </w:r>
            <w:proofErr w:type="spellStart"/>
            <w:r>
              <w:t>write</w:t>
            </w:r>
            <w:proofErr w:type="spellEnd"/>
            <w:r>
              <w:t xml:space="preserve"> a un </w:t>
            </w:r>
            <w:proofErr w:type="spellStart"/>
            <w:r>
              <w:t>broker</w:t>
            </w:r>
            <w:proofErr w:type="spellEnd"/>
            <w:r>
              <w:t xml:space="preserve"> si las métricas lo piden.</w:t>
            </w:r>
          </w:p>
        </w:tc>
      </w:tr>
      <w:tr w:rsidR="008A3169" w14:paraId="2E9DDCC0"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41EA3B1" w14:textId="77777777" w:rsidR="008A3169" w:rsidRDefault="00000000">
            <w:pPr>
              <w:spacing w:line="252" w:lineRule="auto"/>
            </w:pPr>
            <w:r>
              <w:rPr>
                <w:color w:val="000000"/>
              </w:rPr>
              <w:t>Anillo 3 · M10-12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67ABFC0" w14:textId="77777777" w:rsidR="008A3169" w:rsidRDefault="00000000">
            <w:pPr>
              <w:spacing w:line="252" w:lineRule="auto"/>
            </w:pPr>
            <w:r>
              <w:rPr>
                <w:color w:val="000000"/>
              </w:rPr>
              <w:t>~2.028</w:t>
            </w:r>
          </w:p>
        </w:tc>
        <w:tc>
          <w:tcPr>
            <w:tcW w:w="58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E1B0BBB" w14:textId="77777777" w:rsidR="008A3169" w:rsidRDefault="00000000">
            <w:pPr>
              <w:spacing w:line="252" w:lineRule="auto"/>
            </w:pPr>
            <w:r>
              <w:rPr>
                <w:color w:val="000000"/>
              </w:rPr>
              <w:t>Consolidar a escala de incumbente; decisión Kafka / EKS según métricas reales, no por calendario.</w:t>
            </w:r>
          </w:p>
        </w:tc>
      </w:tr>
    </w:tbl>
    <w:p w14:paraId="792A8717" w14:textId="77777777" w:rsidR="008A3169" w:rsidRDefault="00000000">
      <w:pPr>
        <w:spacing w:after="120" w:line="276" w:lineRule="auto"/>
      </w:pPr>
      <w:r>
        <w:t xml:space="preserve">Regla que se mantiene intacta: </w:t>
      </w:r>
      <w:r>
        <w:rPr>
          <w:b/>
          <w:bCs/>
        </w:rPr>
        <w:t>el calendario es el plan, la métrica es el gatillo</w:t>
      </w:r>
      <w:r>
        <w:t xml:space="preserve">. Se provisiona mirando el calendario del </w:t>
      </w:r>
      <w:proofErr w:type="spellStart"/>
      <w:r>
        <w:t>deployment</w:t>
      </w:r>
      <w:proofErr w:type="spellEnd"/>
      <w:r>
        <w:t>, pero se aprieta el botón de cada evolución cuando la métrica real lo confirma. Nota de tesorería: la cohorte ancla alemana sale de su trial de 3 meses justo cuando arranca el Anillo 1 y empieza a pagar por transferencia, lo que amortigua en parte la quema de caja del nuevo anillo.</w:t>
      </w:r>
    </w:p>
    <w:p w14:paraId="6F8D7949" w14:textId="77777777" w:rsidR="008A3169" w:rsidRDefault="00000000">
      <w:pPr>
        <w:pStyle w:val="Ttulo1"/>
      </w:pPr>
      <w:bookmarkStart w:id="8" w:name="_Toc233635908"/>
      <w:r>
        <w:t>8. Estrategia de pruebas de carga (validación por anillo)</w:t>
      </w:r>
      <w:bookmarkEnd w:id="8"/>
    </w:p>
    <w:p w14:paraId="2172D025" w14:textId="77777777" w:rsidR="008A3169" w:rsidRDefault="00000000">
      <w:pPr>
        <w:spacing w:after="120" w:line="276" w:lineRule="auto"/>
      </w:pPr>
      <w:r>
        <w:t xml:space="preserve">Las piezas ya están en el </w:t>
      </w:r>
      <w:proofErr w:type="spellStart"/>
      <w:r>
        <w:t>stack</w:t>
      </w:r>
      <w:proofErr w:type="spellEnd"/>
      <w:r>
        <w:t xml:space="preserve">: </w:t>
      </w:r>
      <w:r>
        <w:rPr>
          <w:b/>
          <w:bCs/>
        </w:rPr>
        <w:t>k6</w:t>
      </w:r>
      <w:r>
        <w:t xml:space="preserve"> (Capa 9) como generador de carga, </w:t>
      </w:r>
      <w:r>
        <w:rPr>
          <w:b/>
          <w:bCs/>
        </w:rPr>
        <w:t xml:space="preserve">Faker.js + </w:t>
      </w:r>
      <w:proofErr w:type="spellStart"/>
      <w:r>
        <w:rPr>
          <w:b/>
          <w:bCs/>
        </w:rPr>
        <w:t>seeds</w:t>
      </w:r>
      <w:proofErr w:type="spellEnd"/>
      <w:r>
        <w:rPr>
          <w:b/>
          <w:bCs/>
        </w:rPr>
        <w:t xml:space="preserve"> de </w:t>
      </w:r>
      <w:proofErr w:type="spellStart"/>
      <w:r>
        <w:rPr>
          <w:b/>
          <w:bCs/>
        </w:rPr>
        <w:t>Supabase</w:t>
      </w:r>
      <w:proofErr w:type="spellEnd"/>
      <w:r>
        <w:t xml:space="preserve"> (Capa 11) para poblar datos sintéticos a escala, y el </w:t>
      </w:r>
      <w:r>
        <w:rPr>
          <w:b/>
          <w:bCs/>
        </w:rPr>
        <w:t xml:space="preserve">entorno de </w:t>
      </w:r>
      <w:proofErr w:type="spellStart"/>
      <w:r>
        <w:rPr>
          <w:b/>
          <w:bCs/>
        </w:rPr>
        <w:t>staging</w:t>
      </w:r>
      <w:proofErr w:type="spellEnd"/>
      <w:r>
        <w:t xml:space="preserve"> (Capa 7) donde se ejecuta. Lo que faltaba era la estrategia de qué probar.</w:t>
      </w:r>
    </w:p>
    <w:p w14:paraId="4CA7E133" w14:textId="77777777" w:rsidR="008A3169" w:rsidRDefault="00000000">
      <w:pPr>
        <w:spacing w:after="120" w:line="276" w:lineRule="auto"/>
      </w:pPr>
      <w:r>
        <w:t xml:space="preserve">Principio: usar la prueba de carga como una </w:t>
      </w:r>
      <w:r>
        <w:rPr>
          <w:b/>
          <w:bCs/>
        </w:rPr>
        <w:t>máquina del tiempo</w:t>
      </w:r>
      <w:r>
        <w:t xml:space="preserve"> — poblar </w:t>
      </w:r>
      <w:proofErr w:type="spellStart"/>
      <w:r>
        <w:t>staging</w:t>
      </w:r>
      <w:proofErr w:type="spellEnd"/>
      <w:r>
        <w:t xml:space="preserve"> con la carga proyectada de un anillo futuro y vivirlo antes de que lleguen usuarios reales. Se evita </w:t>
      </w:r>
      <w:proofErr w:type="gramStart"/>
      <w:r>
        <w:t>el test</w:t>
      </w:r>
      <w:proofErr w:type="gramEnd"/>
      <w:r>
        <w:t xml:space="preserve"> vanidoso de miles de usuarios concurrentes, que daría un verde tranquilizador sobre el eje en el que este sistema no se rompe. Se prueban los ejes que de verdad lo atan: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60"/>
        <w:gridCol w:w="3000"/>
      </w:tblGrid>
      <w:tr w:rsidR="008A3169" w14:paraId="65C20F96" w14:textId="77777777">
        <w:tblPrEx>
          <w:tblCellMar>
            <w:top w:w="0" w:type="dxa"/>
            <w:bottom w:w="0" w:type="dxa"/>
          </w:tblCellMar>
        </w:tblPrEx>
        <w:trPr>
          <w:tblHeader/>
        </w:trPr>
        <w:tc>
          <w:tcPr>
            <w:tcW w:w="33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F773F7C" w14:textId="77777777" w:rsidR="008A3169" w:rsidRDefault="00000000">
            <w:pPr>
              <w:spacing w:line="252" w:lineRule="auto"/>
            </w:pPr>
            <w:r>
              <w:rPr>
                <w:b/>
                <w:bCs/>
                <w:color w:val="FFFFFF"/>
              </w:rPr>
              <w:t xml:space="preserve">Escenario (en </w:t>
            </w:r>
            <w:proofErr w:type="spellStart"/>
            <w:r>
              <w:rPr>
                <w:b/>
                <w:bCs/>
                <w:color w:val="FFFFFF"/>
              </w:rPr>
              <w:t>staging</w:t>
            </w:r>
            <w:proofErr w:type="spellEnd"/>
            <w:r>
              <w:rPr>
                <w:b/>
                <w:bCs/>
                <w:color w:val="FFFFFF"/>
              </w:rPr>
              <w:t>)</w:t>
            </w:r>
          </w:p>
        </w:tc>
        <w:tc>
          <w:tcPr>
            <w:tcW w:w="306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CCB6FB4" w14:textId="77777777" w:rsidR="008A3169" w:rsidRDefault="00000000">
            <w:pPr>
              <w:spacing w:line="252" w:lineRule="auto"/>
            </w:pPr>
            <w:r>
              <w:rPr>
                <w:b/>
                <w:bCs/>
                <w:color w:val="FFFFFF"/>
              </w:rPr>
              <w:t>Qué mide</w:t>
            </w:r>
          </w:p>
        </w:tc>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3894FAB" w14:textId="77777777" w:rsidR="008A3169" w:rsidRDefault="00000000">
            <w:pPr>
              <w:spacing w:line="252" w:lineRule="auto"/>
            </w:pPr>
            <w:r>
              <w:rPr>
                <w:b/>
                <w:bCs/>
                <w:color w:val="FFFFFF"/>
              </w:rPr>
              <w:t>Umbral que valida el salto</w:t>
            </w:r>
          </w:p>
        </w:tc>
      </w:tr>
      <w:tr w:rsidR="008A3169" w14:paraId="576834E3"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DCDDBC" w14:textId="77777777" w:rsidR="008A3169" w:rsidRDefault="00000000">
            <w:pPr>
              <w:spacing w:line="252" w:lineRule="auto"/>
            </w:pPr>
            <w:proofErr w:type="spellStart"/>
            <w:r>
              <w:t>Typesense</w:t>
            </w:r>
            <w:proofErr w:type="spellEnd"/>
            <w:r>
              <w:t xml:space="preserve"> al tamaño de índice del anillo</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3352E3" w14:textId="77777777" w:rsidR="008A3169" w:rsidRDefault="00000000">
            <w:pPr>
              <w:spacing w:line="252" w:lineRule="auto"/>
            </w:pPr>
            <w:r>
              <w:t xml:space="preserve">Latencia de búsqueda (p95) y tiempo de </w:t>
            </w:r>
            <w:proofErr w:type="spellStart"/>
            <w:r>
              <w:t>rebuild</w:t>
            </w:r>
            <w:proofErr w:type="spellEnd"/>
            <w:r>
              <w:t xml:space="preserve"> del índice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FF7CEC" w14:textId="77777777" w:rsidR="008A3169" w:rsidRDefault="00000000">
            <w:pPr>
              <w:spacing w:line="252" w:lineRule="auto"/>
            </w:pPr>
            <w:r>
              <w:t xml:space="preserve">Búsqueda instantánea bajo carga; </w:t>
            </w:r>
            <w:proofErr w:type="spellStart"/>
            <w:r>
              <w:t>rebuild</w:t>
            </w:r>
            <w:proofErr w:type="spellEnd"/>
            <w:r>
              <w:t xml:space="preserve"> sin </w:t>
            </w:r>
            <w:proofErr w:type="spellStart"/>
            <w:r>
              <w:t>downtime</w:t>
            </w:r>
            <w:proofErr w:type="spellEnd"/>
            <w:r>
              <w:t xml:space="preserve"> gracias a la réplica caliente</w:t>
            </w:r>
          </w:p>
        </w:tc>
      </w:tr>
      <w:tr w:rsidR="008A3169" w14:paraId="605EBA62"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3C1C96C" w14:textId="77777777" w:rsidR="008A3169" w:rsidRDefault="00000000">
            <w:pPr>
              <w:spacing w:line="252" w:lineRule="auto"/>
            </w:pPr>
            <w:r>
              <w:rPr>
                <w:color w:val="000000"/>
              </w:rPr>
              <w:t>Ráfaga de ingesta (oleada de CSV simultáneos)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C590FB9" w14:textId="77777777" w:rsidR="008A3169" w:rsidRDefault="00000000">
            <w:pPr>
              <w:spacing w:line="252" w:lineRule="auto"/>
            </w:pPr>
            <w:r>
              <w:rPr>
                <w:color w:val="000000"/>
              </w:rPr>
              <w:t>Pipeline de ingesta + mapeo con IA bajo subidas a la vez</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BCFDBB" w14:textId="77777777" w:rsidR="008A3169" w:rsidRDefault="00000000">
            <w:pPr>
              <w:spacing w:line="252" w:lineRule="auto"/>
            </w:pPr>
            <w:r>
              <w:rPr>
                <w:color w:val="000000"/>
              </w:rPr>
              <w:t xml:space="preserve">La cola se absorbe sin atascos ni </w:t>
            </w:r>
            <w:proofErr w:type="spellStart"/>
            <w:r>
              <w:rPr>
                <w:color w:val="000000"/>
              </w:rPr>
              <w:t>timeouts</w:t>
            </w:r>
            <w:proofErr w:type="spellEnd"/>
          </w:p>
        </w:tc>
      </w:tr>
      <w:tr w:rsidR="008A3169" w14:paraId="039C5B81"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213E6F" w14:textId="77777777" w:rsidR="008A3169" w:rsidRDefault="00000000">
            <w:pPr>
              <w:spacing w:line="252" w:lineRule="auto"/>
            </w:pPr>
            <w:r>
              <w:t xml:space="preserve">Eventos </w:t>
            </w:r>
            <w:proofErr w:type="spellStart"/>
            <w:r>
              <w:t>pgmq</w:t>
            </w:r>
            <w:proofErr w:type="spellEnd"/>
            <w:r>
              <w:t xml:space="preserve"> al volumen del Anillo 2</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64F353" w14:textId="77777777" w:rsidR="008A3169" w:rsidRDefault="00000000">
            <w:pPr>
              <w:spacing w:line="252" w:lineRule="auto"/>
            </w:pPr>
            <w:proofErr w:type="gramStart"/>
            <w:r>
              <w:t>Cuándo</w:t>
            </w:r>
            <w:proofErr w:type="gramEnd"/>
            <w:r>
              <w:t xml:space="preserve"> el tablón de eventos penaliza a </w:t>
            </w:r>
            <w:proofErr w:type="spellStart"/>
            <w:r>
              <w:t>Postgres</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D7B08A" w14:textId="77777777" w:rsidR="008A3169" w:rsidRDefault="00000000">
            <w:pPr>
              <w:spacing w:line="252" w:lineRule="auto"/>
            </w:pPr>
            <w:r>
              <w:t>Dato empírico para decidir el salto a Kafka</w:t>
            </w:r>
          </w:p>
        </w:tc>
      </w:tr>
      <w:tr w:rsidR="008A3169" w14:paraId="0437BFC5"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06F0E46" w14:textId="77777777" w:rsidR="008A3169" w:rsidRDefault="00000000">
            <w:pPr>
              <w:spacing w:line="252" w:lineRule="auto"/>
            </w:pPr>
            <w:r>
              <w:rPr>
                <w:color w:val="000000"/>
              </w:rPr>
              <w:t xml:space="preserve">Oleada de </w:t>
            </w:r>
            <w:proofErr w:type="spellStart"/>
            <w:r>
              <w:rPr>
                <w:color w:val="000000"/>
              </w:rPr>
              <w:t>onboarding</w:t>
            </w:r>
            <w:proofErr w:type="spellEnd"/>
            <w:r>
              <w:rPr>
                <w:color w:val="000000"/>
              </w:rPr>
              <w:t xml:space="preserve"> (50-100 altas simultáneas)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F8365ED" w14:textId="77777777" w:rsidR="008A3169" w:rsidRPr="000A62D0" w:rsidRDefault="00000000">
            <w:pPr>
              <w:spacing w:line="252" w:lineRule="auto"/>
              <w:rPr>
                <w:lang w:val="en-US"/>
              </w:rPr>
            </w:pPr>
            <w:r w:rsidRPr="000A62D0">
              <w:rPr>
                <w:color w:val="000000"/>
                <w:lang w:val="en-US"/>
              </w:rPr>
              <w:t>Endpoint de backup de clave + rate-limit del recovery</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EEA0E69" w14:textId="77777777" w:rsidR="008A3169" w:rsidRDefault="00000000">
            <w:pPr>
              <w:spacing w:line="252" w:lineRule="auto"/>
            </w:pPr>
            <w:r>
              <w:rPr>
                <w:color w:val="000000"/>
              </w:rPr>
              <w:t xml:space="preserve">Sin errores; </w:t>
            </w:r>
            <w:proofErr w:type="spellStart"/>
            <w:r>
              <w:rPr>
                <w:color w:val="000000"/>
              </w:rPr>
              <w:t>rate-limit</w:t>
            </w:r>
            <w:proofErr w:type="spellEnd"/>
            <w:r>
              <w:rPr>
                <w:color w:val="000000"/>
              </w:rPr>
              <w:t xml:space="preserve"> </w:t>
            </w:r>
            <w:proofErr w:type="gramStart"/>
            <w:r>
              <w:rPr>
                <w:color w:val="000000"/>
              </w:rPr>
              <w:t>server</w:t>
            </w:r>
            <w:proofErr w:type="gramEnd"/>
            <w:r>
              <w:rPr>
                <w:color w:val="000000"/>
              </w:rPr>
              <w:t>-</w:t>
            </w:r>
            <w:proofErr w:type="spellStart"/>
            <w:r>
              <w:rPr>
                <w:color w:val="000000"/>
              </w:rPr>
              <w:t>side</w:t>
            </w:r>
            <w:proofErr w:type="spellEnd"/>
            <w:r>
              <w:rPr>
                <w:color w:val="000000"/>
              </w:rPr>
              <w:t xml:space="preserve"> correcto</w:t>
            </w:r>
          </w:p>
        </w:tc>
      </w:tr>
      <w:tr w:rsidR="008A3169" w14:paraId="6B5834D8"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C49213" w14:textId="77777777" w:rsidR="008A3169" w:rsidRDefault="00000000">
            <w:pPr>
              <w:spacing w:line="252" w:lineRule="auto"/>
            </w:pPr>
            <w:proofErr w:type="spellStart"/>
            <w:r>
              <w:t>WebSocket</w:t>
            </w:r>
            <w:proofErr w:type="spellEnd"/>
            <w:r>
              <w:t xml:space="preserve"> concurrente</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24D4DF" w14:textId="77777777" w:rsidR="008A3169" w:rsidRDefault="00000000">
            <w:pPr>
              <w:spacing w:line="252" w:lineRule="auto"/>
            </w:pPr>
            <w:r>
              <w:t>Techo de conexiones de chat en vivo</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072D0D" w14:textId="77777777" w:rsidR="008A3169" w:rsidRDefault="00000000">
            <w:pPr>
              <w:spacing w:line="252" w:lineRule="auto"/>
            </w:pPr>
            <w:r>
              <w:t>Conexiones estables al objetivo de cada anillo</w:t>
            </w:r>
          </w:p>
        </w:tc>
      </w:tr>
    </w:tbl>
    <w:p w14:paraId="31F03C9A" w14:textId="77777777" w:rsidR="008A3169" w:rsidRDefault="00000000">
      <w:pPr>
        <w:spacing w:after="120" w:line="276" w:lineRule="auto"/>
      </w:pPr>
      <w:r>
        <w:rPr>
          <w:b/>
          <w:bCs/>
          <w:color w:val="B26A00"/>
        </w:rPr>
        <w:t xml:space="preserve">Aviso importante: </w:t>
      </w:r>
      <w:r>
        <w:t xml:space="preserve">k6 prueba el lado servidor. El coste de Argon2id (~0,5-1 s) vive en el navegador de cada usuario, así que NO lo mide k6 — necesita una prueba aparte en dispositivos reales de </w:t>
      </w:r>
      <w:r>
        <w:lastRenderedPageBreak/>
        <w:t>gama media, para confirmar que el cifrado no congela la interfaz a un usuario con un equipo modesto. Son dos pruebas distintas.</w:t>
      </w:r>
    </w:p>
    <w:p w14:paraId="6851BCC8" w14:textId="77777777" w:rsidR="008A3169" w:rsidRDefault="00000000">
      <w:pPr>
        <w:spacing w:after="120" w:line="276" w:lineRule="auto"/>
      </w:pPr>
      <w:r>
        <w:t xml:space="preserve">Cómo conecta con el </w:t>
      </w:r>
      <w:proofErr w:type="spellStart"/>
      <w:r>
        <w:t>deployment</w:t>
      </w:r>
      <w:proofErr w:type="spellEnd"/>
      <w:r>
        <w:t xml:space="preserve">: estas pruebas </w:t>
      </w:r>
      <w:r>
        <w:rPr>
          <w:b/>
          <w:bCs/>
        </w:rPr>
        <w:t>validan en seco el calendario de evolución de la sección 7</w:t>
      </w:r>
      <w:r>
        <w:t xml:space="preserve"> — confirman, antes de que lleguen usuarios reales, que lo previsto para cada anillo (subir </w:t>
      </w:r>
      <w:proofErr w:type="spellStart"/>
      <w:r>
        <w:t>Typesense</w:t>
      </w:r>
      <w:proofErr w:type="spellEnd"/>
      <w:r>
        <w:t xml:space="preserve">, extraer </w:t>
      </w:r>
      <w:proofErr w:type="spellStart"/>
      <w:r>
        <w:t>Go</w:t>
      </w:r>
      <w:proofErr w:type="spellEnd"/>
      <w:r>
        <w:t xml:space="preserve">, etc.) es suficiente. </w:t>
      </w:r>
      <w:proofErr w:type="spellStart"/>
      <w:r>
        <w:t>De-riesgan</w:t>
      </w:r>
      <w:proofErr w:type="spellEnd"/>
      <w:r>
        <w:t xml:space="preserve"> la hoja de ruta entera y afinan el momento de cada salto.</w:t>
      </w:r>
    </w:p>
    <w:p w14:paraId="22C42085" w14:textId="77777777" w:rsidR="008A3169" w:rsidRDefault="00000000">
      <w:pPr>
        <w:pStyle w:val="Ttulo1"/>
      </w:pPr>
      <w:bookmarkStart w:id="9" w:name="_Toc233635909"/>
      <w:r>
        <w:t>9. Las restricciones que de verdad limitan el ritmo</w:t>
      </w:r>
      <w:bookmarkEnd w:id="9"/>
    </w:p>
    <w:p w14:paraId="59205C51" w14:textId="77777777" w:rsidR="008A3169" w:rsidRDefault="00000000">
      <w:pPr>
        <w:spacing w:after="120" w:line="276" w:lineRule="auto"/>
      </w:pPr>
      <w:r>
        <w:t xml:space="preserve">El análisis de escenarios de crecimiento acelerado (500 activos en semana 4; 1.000 en semana 6) mostró que </w:t>
      </w:r>
      <w:r>
        <w:rPr>
          <w:b/>
          <w:bCs/>
        </w:rPr>
        <w:t>lo que se tensiona no es la arquitectura, sino tres límites no técnicos</w:t>
      </w:r>
      <w:r>
        <w:t xml:space="preserve">. El grifo del </w:t>
      </w:r>
      <w:proofErr w:type="spellStart"/>
      <w:r>
        <w:t>deployment</w:t>
      </w:r>
      <w:proofErr w:type="spellEnd"/>
      <w:r>
        <w:t xml:space="preserve"> es precisamente lo que los mantiene a raya.</w:t>
      </w:r>
    </w:p>
    <w:p w14:paraId="49826CA3" w14:textId="77777777" w:rsidR="008A3169" w:rsidRDefault="00000000">
      <w:pPr>
        <w:pStyle w:val="Prrafodelista"/>
        <w:numPr>
          <w:ilvl w:val="0"/>
          <w:numId w:val="2"/>
        </w:numPr>
        <w:spacing w:after="80"/>
      </w:pPr>
      <w:r>
        <w:rPr>
          <w:b/>
          <w:bCs/>
          <w:color w:val="B26A00"/>
        </w:rPr>
        <w:t xml:space="preserve">Caja (quema durante el trial). </w:t>
      </w:r>
      <w:r>
        <w:t>Cada cohorte está 3 meses en prueba gratuita, con uso de IA que puede triplicar la media y cero ingresos. A 1.000 usuarios simultáneos en trial, la sola factura de VERA sube a miles de € al mes sin contrapartida. El crecimiento debe ir al ritmo que la caja pueda financiar.</w:t>
      </w:r>
    </w:p>
    <w:p w14:paraId="2B8E818F" w14:textId="77777777" w:rsidR="008A3169" w:rsidRDefault="00000000">
      <w:pPr>
        <w:pStyle w:val="Prrafodelista"/>
        <w:numPr>
          <w:ilvl w:val="0"/>
          <w:numId w:val="2"/>
        </w:numPr>
        <w:spacing w:after="80"/>
      </w:pPr>
      <w:r>
        <w:rPr>
          <w:b/>
          <w:bCs/>
          <w:color w:val="B26A00"/>
        </w:rPr>
        <w:t>El operador humano (</w:t>
      </w:r>
      <w:proofErr w:type="spellStart"/>
      <w:r>
        <w:rPr>
          <w:b/>
          <w:bCs/>
          <w:color w:val="B26A00"/>
        </w:rPr>
        <w:t>onboarding</w:t>
      </w:r>
      <w:proofErr w:type="spellEnd"/>
      <w:r>
        <w:rPr>
          <w:b/>
          <w:bCs/>
          <w:color w:val="B26A00"/>
        </w:rPr>
        <w:t xml:space="preserve"> manual). </w:t>
      </w:r>
      <w:r>
        <w:t>Sin pasarela de pago, el operador aprueba a mano cada alta y confirma cada transferencia. Una persona no escala a cientos de altas por semana. El despliegue por oleadas controladas (~20-30 captaciones cada vez) mantiene esto manejable.</w:t>
      </w:r>
    </w:p>
    <w:p w14:paraId="150D0459" w14:textId="77777777" w:rsidR="008A3169" w:rsidRDefault="00000000">
      <w:pPr>
        <w:pStyle w:val="Prrafodelista"/>
        <w:numPr>
          <w:ilvl w:val="0"/>
          <w:numId w:val="2"/>
        </w:numPr>
        <w:spacing w:after="80"/>
      </w:pPr>
      <w:r>
        <w:rPr>
          <w:b/>
          <w:bCs/>
          <w:color w:val="B00020"/>
        </w:rPr>
        <w:t xml:space="preserve">El riesgo de comprometer la seguridad por prisas. </w:t>
      </w:r>
      <w:r>
        <w:t>Meter con calzador cambios estructurales urgentes multiplica el riesgo de un bug en las capas de cifrado E2EE o de visibilidad (RLS). Un fallo ahí destruye lo único que la plataforma vende —la garantía— y en un sector pequeño donde todos se conocen, esa confianza no se recupera. La velocidad es enemiga de la promesa central.</w:t>
      </w:r>
    </w:p>
    <w:p w14:paraId="2F6C830E" w14:textId="77777777" w:rsidR="008A3169" w:rsidRDefault="00000000">
      <w:pPr>
        <w:spacing w:after="120" w:line="276" w:lineRule="auto"/>
      </w:pPr>
      <w:r>
        <w:t xml:space="preserve">Conclusión: el </w:t>
      </w:r>
      <w:proofErr w:type="spellStart"/>
      <w:r>
        <w:t>deployment</w:t>
      </w:r>
      <w:proofErr w:type="spellEnd"/>
      <w:r>
        <w:t xml:space="preserve"> denso y escalonado no es solo la jugada estratégica óptima (mejor producto por densidad) — es también el mecanismo que protege la caja, al operador y la integridad de la garantía. </w:t>
      </w:r>
      <w:r>
        <w:rPr>
          <w:b/>
          <w:bCs/>
        </w:rPr>
        <w:t>El éxito no es crecer rápido; es no crecer más rápido de lo que se puede absorber sin romper la promesa.</w:t>
      </w:r>
    </w:p>
    <w:p w14:paraId="70EC76D1" w14:textId="77777777" w:rsidR="008A3169" w:rsidRDefault="00000000">
      <w:pPr>
        <w:pStyle w:val="Ttulo1"/>
      </w:pPr>
      <w:bookmarkStart w:id="10" w:name="_Toc233635910"/>
      <w:r>
        <w:t>10. Nota legal sobre la captación</w:t>
      </w:r>
      <w:bookmarkEnd w:id="10"/>
    </w:p>
    <w:p w14:paraId="3A971BC0" w14:textId="77777777" w:rsidR="008A3169" w:rsidRDefault="00000000">
      <w:pPr>
        <w:spacing w:after="120" w:line="276" w:lineRule="auto"/>
      </w:pPr>
      <w:proofErr w:type="gramStart"/>
      <w:r>
        <w:t>La base objetivo</w:t>
      </w:r>
      <w:proofErr w:type="gramEnd"/>
      <w:r>
        <w:t xml:space="preserve"> son miembros actuales de </w:t>
      </w:r>
      <w:proofErr w:type="spellStart"/>
      <w:r>
        <w:t>BearingNet</w:t>
      </w:r>
      <w:proofErr w:type="spellEnd"/>
      <w:r>
        <w:t xml:space="preserve">, lo que elimina el arranque en frío (ya entienden el producto y tienen su stock digitalizado en formato exportable). Pero usar sus datos de contacto para difusión roza los </w:t>
      </w:r>
      <w:r>
        <w:rPr>
          <w:b/>
          <w:bCs/>
        </w:rPr>
        <w:t xml:space="preserve">Términos de Servicio de </w:t>
      </w:r>
      <w:proofErr w:type="spellStart"/>
      <w:r>
        <w:rPr>
          <w:b/>
          <w:bCs/>
        </w:rPr>
        <w:t>BearingNet</w:t>
      </w:r>
      <w:proofErr w:type="spellEnd"/>
      <w:r>
        <w:rPr>
          <w:b/>
          <w:bCs/>
        </w:rPr>
        <w:t xml:space="preserve"> y el RGPD</w:t>
      </w:r>
      <w:r>
        <w:t xml:space="preserve"> (riesgo ya señalado en el PRD §9). El primer contacto debe apoyarse en datos obtenidos de forma independiente (directorios públicos, LinkedIn, ferias del sector) y con revisión legal antes de la primera oleada.</w:t>
      </w:r>
    </w:p>
    <w:p w14:paraId="521056E9" w14:textId="77777777" w:rsidR="008A3169" w:rsidRDefault="00000000">
      <w:pPr>
        <w:pStyle w:val="Ttulo1"/>
      </w:pPr>
      <w:bookmarkStart w:id="11" w:name="_Toc233635911"/>
      <w:r>
        <w:t>11. Síntesis</w:t>
      </w:r>
      <w:bookmarkEnd w:id="11"/>
    </w:p>
    <w:p w14:paraId="57E31165" w14:textId="77777777" w:rsidR="008A3169" w:rsidRDefault="00000000">
      <w:pPr>
        <w:pStyle w:val="Prrafodelista"/>
        <w:numPr>
          <w:ilvl w:val="0"/>
          <w:numId w:val="3"/>
        </w:numPr>
        <w:spacing w:after="60"/>
      </w:pPr>
      <w:r>
        <w:t xml:space="preserve">El valor del producto es la densidad de stock, no las transacciones; el </w:t>
      </w:r>
      <w:proofErr w:type="spellStart"/>
      <w:r>
        <w:t>deployment</w:t>
      </w:r>
      <w:proofErr w:type="spellEnd"/>
      <w:r>
        <w:t xml:space="preserve"> es, por tanto, el diseño primario del que cuelga la escalabilidad y el coste.</w:t>
      </w:r>
    </w:p>
    <w:p w14:paraId="3D1F26FC" w14:textId="77777777" w:rsidR="008A3169" w:rsidRDefault="00000000">
      <w:pPr>
        <w:pStyle w:val="Prrafodelista"/>
        <w:numPr>
          <w:ilvl w:val="0"/>
          <w:numId w:val="3"/>
        </w:numPr>
        <w:spacing w:after="60"/>
      </w:pPr>
      <w:r>
        <w:t>La gravedad logística (local → continental → intercontinental) ordena la secuencia: se siembra denso, no amplio.</w:t>
      </w:r>
    </w:p>
    <w:p w14:paraId="6F275C79" w14:textId="77777777" w:rsidR="008A3169" w:rsidRDefault="00000000">
      <w:pPr>
        <w:pStyle w:val="Prrafodelista"/>
        <w:numPr>
          <w:ilvl w:val="0"/>
          <w:numId w:val="3"/>
        </w:numPr>
        <w:spacing w:after="60"/>
      </w:pPr>
      <w:r>
        <w:lastRenderedPageBreak/>
        <w:t>Los datos sitúan el ancla en Alemania / Centroeuropa: Europa es el 66% del mercado, contiguo y sin fricción; el primer anillo (~630) duplica a toda Norteamérica.</w:t>
      </w:r>
    </w:p>
    <w:p w14:paraId="5413805F" w14:textId="77777777" w:rsidR="008A3169" w:rsidRDefault="00000000">
      <w:pPr>
        <w:pStyle w:val="Prrafodelista"/>
        <w:numPr>
          <w:ilvl w:val="0"/>
          <w:numId w:val="3"/>
        </w:numPr>
        <w:spacing w:after="60"/>
      </w:pPr>
      <w:r>
        <w:t>Despliegue en anillos concéntricos: ancla en serie (manual), anillos en paralelo (escala), hasta cubrir los ~2.028 en el mes 12.</w:t>
      </w:r>
    </w:p>
    <w:p w14:paraId="0B30A471" w14:textId="77777777" w:rsidR="008A3169" w:rsidRDefault="00000000">
      <w:pPr>
        <w:pStyle w:val="Prrafodelista"/>
        <w:numPr>
          <w:ilvl w:val="0"/>
          <w:numId w:val="3"/>
        </w:numPr>
        <w:spacing w:after="60"/>
      </w:pPr>
      <w:r>
        <w:t>Semáforo de avance: ≥70-80% de búsquedas con ≥3 ofertas en 2 semanas (proxy de planificación: ~50 distribuidores alemanes, ~22% del país).</w:t>
      </w:r>
    </w:p>
    <w:p w14:paraId="6421340D" w14:textId="77777777" w:rsidR="008A3169" w:rsidRDefault="00000000">
      <w:pPr>
        <w:pStyle w:val="Prrafodelista"/>
        <w:numPr>
          <w:ilvl w:val="0"/>
          <w:numId w:val="3"/>
        </w:numPr>
        <w:spacing w:after="60"/>
      </w:pPr>
      <w:r>
        <w:t xml:space="preserve">El </w:t>
      </w:r>
      <w:proofErr w:type="spellStart"/>
      <w:r>
        <w:t>deployment</w:t>
      </w:r>
      <w:proofErr w:type="spellEnd"/>
      <w:r>
        <w:t xml:space="preserve"> no contradice el </w:t>
      </w:r>
      <w:proofErr w:type="spellStart"/>
      <w:r>
        <w:t>stack</w:t>
      </w:r>
      <w:proofErr w:type="spellEnd"/>
      <w:r>
        <w:t xml:space="preserve"> lean: le pone calendario a sus </w:t>
      </w:r>
      <w:proofErr w:type="spellStart"/>
      <w:r>
        <w:t>triggers</w:t>
      </w:r>
      <w:proofErr w:type="spellEnd"/>
      <w:r>
        <w:t>. Anillo 1 (M3-7) es el primer sprint de evolución (</w:t>
      </w:r>
      <w:proofErr w:type="spellStart"/>
      <w:r>
        <w:t>Typesense</w:t>
      </w:r>
      <w:proofErr w:type="spellEnd"/>
      <w:r>
        <w:t xml:space="preserve"> incremental + réplica caliente, extracción de Búsqueda/Alertas a </w:t>
      </w:r>
      <w:proofErr w:type="spellStart"/>
      <w:r>
        <w:t>Go</w:t>
      </w:r>
      <w:proofErr w:type="spellEnd"/>
      <w:r>
        <w:t>).</w:t>
      </w:r>
    </w:p>
    <w:p w14:paraId="68D6CEFB" w14:textId="77777777" w:rsidR="008A3169" w:rsidRDefault="00000000">
      <w:pPr>
        <w:pStyle w:val="Prrafodelista"/>
        <w:numPr>
          <w:ilvl w:val="0"/>
          <w:numId w:val="3"/>
        </w:numPr>
        <w:spacing w:after="60"/>
      </w:pPr>
      <w:r>
        <w:t xml:space="preserve">Las pruebas de carga (k6 + Faker en </w:t>
      </w:r>
      <w:proofErr w:type="spellStart"/>
      <w:r>
        <w:t>staging</w:t>
      </w:r>
      <w:proofErr w:type="spellEnd"/>
      <w:r>
        <w:t xml:space="preserve">) ensayan la carga proyectada de cada anillo antes de que lleguen usuarios reales, validando y </w:t>
      </w:r>
      <w:proofErr w:type="spellStart"/>
      <w:r>
        <w:t>de-riesgando</w:t>
      </w:r>
      <w:proofErr w:type="spellEnd"/>
      <w:r>
        <w:t xml:space="preserve"> el calendario de evolución.</w:t>
      </w:r>
    </w:p>
    <w:p w14:paraId="13CF617B" w14:textId="77777777" w:rsidR="008A3169" w:rsidRDefault="00000000">
      <w:pPr>
        <w:pStyle w:val="Prrafodelista"/>
        <w:numPr>
          <w:ilvl w:val="0"/>
          <w:numId w:val="3"/>
        </w:numPr>
        <w:spacing w:after="60"/>
      </w:pPr>
      <w:r>
        <w:t xml:space="preserve">El ritmo lo limitan la caja, el operador humano y el riesgo de seguridad por prisas — no la arquitectura. El grifo del </w:t>
      </w:r>
      <w:proofErr w:type="spellStart"/>
      <w:r>
        <w:t>deployment</w:t>
      </w:r>
      <w:proofErr w:type="spellEnd"/>
      <w:r>
        <w:t xml:space="preserve"> los gobierna.</w:t>
      </w:r>
    </w:p>
    <w:p w14:paraId="15DB6D8C" w14:textId="77777777" w:rsidR="008A3169" w:rsidRDefault="008A3169">
      <w:pPr>
        <w:spacing w:after="60"/>
      </w:pPr>
    </w:p>
    <w:p w14:paraId="1E0660BD" w14:textId="77777777" w:rsidR="008A3169" w:rsidRDefault="00000000">
      <w:pPr>
        <w:spacing w:after="120" w:line="276" w:lineRule="auto"/>
      </w:pPr>
      <w:r>
        <w:rPr>
          <w:b/>
          <w:bCs/>
          <w:color w:val="B26A00"/>
        </w:rPr>
        <w:t xml:space="preserve">Salvedad metodológica: </w:t>
      </w:r>
      <w:r>
        <w:rPr>
          <w:i/>
          <w:iCs/>
        </w:rPr>
        <w:t>los valores de p por tipo de referencia son una estimación razonada del sector, no un dato medido. La cohorte ancla de Alemania es la que producirá los números reales para recalibrar el modelo; trátese como hipótesis de partida con un bucle de medir y ajustar incorporado.</w:t>
      </w:r>
    </w:p>
    <w:sectPr w:rsidR="008A31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9C09F" w14:textId="77777777" w:rsidR="00951490" w:rsidRDefault="00951490">
      <w:r>
        <w:separator/>
      </w:r>
    </w:p>
  </w:endnote>
  <w:endnote w:type="continuationSeparator" w:id="0">
    <w:p w14:paraId="4B61350C" w14:textId="77777777" w:rsidR="00951490" w:rsidRDefault="00951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FCDF" w14:textId="77777777" w:rsidR="008A3169" w:rsidRDefault="00000000">
    <w:pPr>
      <w:jc w:val="center"/>
    </w:pPr>
    <w:proofErr w:type="spellStart"/>
    <w:r>
      <w:rPr>
        <w:color w:val="999999"/>
        <w:sz w:val="16"/>
        <w:szCs w:val="16"/>
      </w:rPr>
      <w:t>Pagina</w:t>
    </w:r>
    <w:proofErr w:type="spellEnd"/>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0A62D0">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0A62D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02F5" w14:textId="77777777" w:rsidR="00951490" w:rsidRDefault="00951490">
      <w:r>
        <w:separator/>
      </w:r>
    </w:p>
  </w:footnote>
  <w:footnote w:type="continuationSeparator" w:id="0">
    <w:p w14:paraId="414D140B" w14:textId="77777777" w:rsidR="00951490" w:rsidRDefault="00951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1C8C" w14:textId="77777777" w:rsidR="008A3169" w:rsidRDefault="00000000">
    <w:pPr>
      <w:jc w:val="right"/>
    </w:pPr>
    <w:r>
      <w:rPr>
        <w:color w:val="999999"/>
        <w:sz w:val="16"/>
        <w:szCs w:val="16"/>
      </w:rPr>
      <w:t xml:space="preserve">Bearingworld.io - Anexo Estrategia de </w:t>
    </w:r>
    <w:proofErr w:type="spellStart"/>
    <w:r>
      <w:rPr>
        <w:color w:val="999999"/>
        <w:sz w:val="16"/>
        <w:szCs w:val="16"/>
      </w:rPr>
      <w:t>Deployment</w:t>
    </w:r>
    <w:proofErr w:type="spellEnd"/>
    <w:r>
      <w:rPr>
        <w:color w:val="999999"/>
        <w:sz w:val="16"/>
        <w:szCs w:val="16"/>
      </w:rPr>
      <w:t xml:space="preserve"> v1.1 -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2D33"/>
    <w:multiLevelType w:val="hybridMultilevel"/>
    <w:tmpl w:val="7DEC6442"/>
    <w:lvl w:ilvl="0" w:tplc="B39AACF0">
      <w:start w:val="1"/>
      <w:numFmt w:val="bullet"/>
      <w:lvlText w:val="●"/>
      <w:lvlJc w:val="left"/>
      <w:pPr>
        <w:ind w:left="720" w:hanging="360"/>
      </w:pPr>
    </w:lvl>
    <w:lvl w:ilvl="1" w:tplc="EF5AF93C">
      <w:start w:val="1"/>
      <w:numFmt w:val="bullet"/>
      <w:lvlText w:val="○"/>
      <w:lvlJc w:val="left"/>
      <w:pPr>
        <w:ind w:left="1440" w:hanging="360"/>
      </w:pPr>
    </w:lvl>
    <w:lvl w:ilvl="2" w:tplc="F8ACA54E">
      <w:start w:val="1"/>
      <w:numFmt w:val="bullet"/>
      <w:lvlText w:val="■"/>
      <w:lvlJc w:val="left"/>
      <w:pPr>
        <w:ind w:left="2160" w:hanging="360"/>
      </w:pPr>
    </w:lvl>
    <w:lvl w:ilvl="3" w:tplc="0EA09594">
      <w:start w:val="1"/>
      <w:numFmt w:val="bullet"/>
      <w:lvlText w:val="●"/>
      <w:lvlJc w:val="left"/>
      <w:pPr>
        <w:ind w:left="2880" w:hanging="360"/>
      </w:pPr>
    </w:lvl>
    <w:lvl w:ilvl="4" w:tplc="C9AA1532">
      <w:start w:val="1"/>
      <w:numFmt w:val="bullet"/>
      <w:lvlText w:val="○"/>
      <w:lvlJc w:val="left"/>
      <w:pPr>
        <w:ind w:left="3600" w:hanging="360"/>
      </w:pPr>
    </w:lvl>
    <w:lvl w:ilvl="5" w:tplc="81D43706">
      <w:start w:val="1"/>
      <w:numFmt w:val="bullet"/>
      <w:lvlText w:val="■"/>
      <w:lvlJc w:val="left"/>
      <w:pPr>
        <w:ind w:left="4320" w:hanging="360"/>
      </w:pPr>
    </w:lvl>
    <w:lvl w:ilvl="6" w:tplc="36027978">
      <w:start w:val="1"/>
      <w:numFmt w:val="bullet"/>
      <w:lvlText w:val="●"/>
      <w:lvlJc w:val="left"/>
      <w:pPr>
        <w:ind w:left="5040" w:hanging="360"/>
      </w:pPr>
    </w:lvl>
    <w:lvl w:ilvl="7" w:tplc="75A6E966">
      <w:start w:val="1"/>
      <w:numFmt w:val="bullet"/>
      <w:lvlText w:val="●"/>
      <w:lvlJc w:val="left"/>
      <w:pPr>
        <w:ind w:left="5760" w:hanging="360"/>
      </w:pPr>
    </w:lvl>
    <w:lvl w:ilvl="8" w:tplc="8C76131A">
      <w:start w:val="1"/>
      <w:numFmt w:val="bullet"/>
      <w:lvlText w:val="●"/>
      <w:lvlJc w:val="left"/>
      <w:pPr>
        <w:ind w:left="6480" w:hanging="360"/>
      </w:pPr>
    </w:lvl>
  </w:abstractNum>
  <w:abstractNum w:abstractNumId="1" w15:restartNumberingAfterBreak="0">
    <w:nsid w:val="1B1F1786"/>
    <w:multiLevelType w:val="hybridMultilevel"/>
    <w:tmpl w:val="2EA6E97A"/>
    <w:lvl w:ilvl="0" w:tplc="B156BC04">
      <w:start w:val="1"/>
      <w:numFmt w:val="decimal"/>
      <w:lvlText w:val="%1."/>
      <w:lvlJc w:val="left"/>
      <w:pPr>
        <w:ind w:left="600" w:hanging="300"/>
      </w:pPr>
    </w:lvl>
    <w:lvl w:ilvl="1" w:tplc="79FC395C">
      <w:numFmt w:val="decimal"/>
      <w:lvlText w:val=""/>
      <w:lvlJc w:val="left"/>
    </w:lvl>
    <w:lvl w:ilvl="2" w:tplc="10B8B374">
      <w:numFmt w:val="decimal"/>
      <w:lvlText w:val=""/>
      <w:lvlJc w:val="left"/>
    </w:lvl>
    <w:lvl w:ilvl="3" w:tplc="1F6A8F94">
      <w:numFmt w:val="decimal"/>
      <w:lvlText w:val=""/>
      <w:lvlJc w:val="left"/>
    </w:lvl>
    <w:lvl w:ilvl="4" w:tplc="87EE46B8">
      <w:numFmt w:val="decimal"/>
      <w:lvlText w:val=""/>
      <w:lvlJc w:val="left"/>
    </w:lvl>
    <w:lvl w:ilvl="5" w:tplc="7ECCCE1E">
      <w:numFmt w:val="decimal"/>
      <w:lvlText w:val=""/>
      <w:lvlJc w:val="left"/>
    </w:lvl>
    <w:lvl w:ilvl="6" w:tplc="038A3580">
      <w:numFmt w:val="decimal"/>
      <w:lvlText w:val=""/>
      <w:lvlJc w:val="left"/>
    </w:lvl>
    <w:lvl w:ilvl="7" w:tplc="F5CAF624">
      <w:numFmt w:val="decimal"/>
      <w:lvlText w:val=""/>
      <w:lvlJc w:val="left"/>
    </w:lvl>
    <w:lvl w:ilvl="8" w:tplc="5728169E">
      <w:numFmt w:val="decimal"/>
      <w:lvlText w:val=""/>
      <w:lvlJc w:val="left"/>
    </w:lvl>
  </w:abstractNum>
  <w:abstractNum w:abstractNumId="2" w15:restartNumberingAfterBreak="0">
    <w:nsid w:val="409B47D4"/>
    <w:multiLevelType w:val="hybridMultilevel"/>
    <w:tmpl w:val="827658FA"/>
    <w:lvl w:ilvl="0" w:tplc="D5AA9730">
      <w:start w:val="1"/>
      <w:numFmt w:val="bullet"/>
      <w:lvlText w:val="•"/>
      <w:lvlJc w:val="left"/>
      <w:pPr>
        <w:ind w:left="600" w:hanging="300"/>
      </w:pPr>
    </w:lvl>
    <w:lvl w:ilvl="1" w:tplc="B42C6EF4">
      <w:numFmt w:val="decimal"/>
      <w:lvlText w:val=""/>
      <w:lvlJc w:val="left"/>
    </w:lvl>
    <w:lvl w:ilvl="2" w:tplc="EDF6BE4E">
      <w:numFmt w:val="decimal"/>
      <w:lvlText w:val=""/>
      <w:lvlJc w:val="left"/>
    </w:lvl>
    <w:lvl w:ilvl="3" w:tplc="5110349E">
      <w:numFmt w:val="decimal"/>
      <w:lvlText w:val=""/>
      <w:lvlJc w:val="left"/>
    </w:lvl>
    <w:lvl w:ilvl="4" w:tplc="DF484ED2">
      <w:numFmt w:val="decimal"/>
      <w:lvlText w:val=""/>
      <w:lvlJc w:val="left"/>
    </w:lvl>
    <w:lvl w:ilvl="5" w:tplc="630055FA">
      <w:numFmt w:val="decimal"/>
      <w:lvlText w:val=""/>
      <w:lvlJc w:val="left"/>
    </w:lvl>
    <w:lvl w:ilvl="6" w:tplc="D2326192">
      <w:numFmt w:val="decimal"/>
      <w:lvlText w:val=""/>
      <w:lvlJc w:val="left"/>
    </w:lvl>
    <w:lvl w:ilvl="7" w:tplc="86747E34">
      <w:numFmt w:val="decimal"/>
      <w:lvlText w:val=""/>
      <w:lvlJc w:val="left"/>
    </w:lvl>
    <w:lvl w:ilvl="8" w:tplc="35C66B3E">
      <w:numFmt w:val="decimal"/>
      <w:lvlText w:val=""/>
      <w:lvlJc w:val="left"/>
    </w:lvl>
  </w:abstractNum>
  <w:num w:numId="1" w16cid:durableId="627975371">
    <w:abstractNumId w:val="0"/>
    <w:lvlOverride w:ilvl="0">
      <w:startOverride w:val="1"/>
    </w:lvlOverride>
  </w:num>
  <w:num w:numId="2" w16cid:durableId="1096557806">
    <w:abstractNumId w:val="1"/>
    <w:lvlOverride w:ilvl="0">
      <w:startOverride w:val="1"/>
    </w:lvlOverride>
  </w:num>
  <w:num w:numId="3" w16cid:durableId="12811124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69"/>
    <w:rsid w:val="000A62D0"/>
    <w:rsid w:val="00852F05"/>
    <w:rsid w:val="008A3169"/>
    <w:rsid w:val="009514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CA16"/>
  <w15:docId w15:val="{E58C5011-937D-4799-A93A-1BAA7E13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60"/>
      <w:outlineLvl w:val="0"/>
    </w:pPr>
    <w:rPr>
      <w:b/>
      <w:bCs/>
      <w:color w:val="1F3A5F"/>
      <w:sz w:val="30"/>
      <w:szCs w:val="30"/>
    </w:rPr>
  </w:style>
  <w:style w:type="paragraph" w:styleId="Ttulo2">
    <w:name w:val="heading 2"/>
    <w:uiPriority w:val="9"/>
    <w:unhideWhenUsed/>
    <w:qFormat/>
    <w:pPr>
      <w:spacing w:before="220" w:after="120"/>
      <w:outlineLvl w:val="1"/>
    </w:pPr>
    <w:rPr>
      <w:b/>
      <w:bCs/>
      <w:color w:val="2E75B6"/>
      <w:sz w:val="25"/>
      <w:szCs w:val="25"/>
    </w:rPr>
  </w:style>
  <w:style w:type="paragraph" w:styleId="Ttulo3">
    <w:name w:val="heading 3"/>
    <w:uiPriority w:val="9"/>
    <w:unhideWhenUsed/>
    <w:qFormat/>
    <w:pPr>
      <w:spacing w:before="160" w:after="80"/>
      <w:outlineLvl w:val="2"/>
    </w:pPr>
    <w:rPr>
      <w:b/>
      <w:bCs/>
      <w:color w:val="33333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A62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2752</Words>
  <Characters>15139</Characters>
  <Application>Microsoft Office Word</Application>
  <DocSecurity>0</DocSecurity>
  <Lines>126</Lines>
  <Paragraphs>35</Paragraphs>
  <ScaleCrop>false</ScaleCrop>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Bearingworld.io - Anexo Estrategia de Deployment v1.1</dc:title>
  <dc:creator>Bearingworld.io - Estrategia de Deployment</dc:creator>
  <cp:lastModifiedBy>alvaro guillen</cp:lastModifiedBy>
  <cp:revision>2</cp:revision>
  <dcterms:created xsi:type="dcterms:W3CDTF">2026-06-29T18:32:00Z</dcterms:created>
  <dcterms:modified xsi:type="dcterms:W3CDTF">2026-06-29T18:32:00Z</dcterms:modified>
</cp:coreProperties>
</file>