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2026 Report</w:t>
      </w:r>
    </w:p>
    <w:p>
      <w:pPr>
        <w:pStyle w:val="Heading1"/>
      </w:pPr>
      <w:r>
        <w:t>Executive Summary</w:t>
      </w:r>
    </w:p>
    <w:p>
      <w:r>
        <w:t>This quarter APAC delivered the strongest performance, driven by enterprise renewals. EMEA continued its recovery. Americas remained flat.</w:t>
      </w:r>
    </w:p>
    <w:p>
      <w:pPr>
        <w:pStyle w:val="Heading2"/>
      </w:pPr>
      <w:r>
        <w:t>Key Metrics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Bookings (USD M)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14.2</w:t>
            </w:r>
          </w:p>
        </w:tc>
        <w:tc>
          <w:tcPr>
            <w:tcW w:type="dxa" w:w="2880"/>
          </w:tcPr>
          <w:p>
            <w:r>
              <w:t>+21%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9.8</w:t>
            </w:r>
          </w:p>
        </w:tc>
        <w:tc>
          <w:tcPr>
            <w:tcW w:type="dxa" w:w="2880"/>
          </w:tcPr>
          <w:p>
            <w:r>
              <w:t>+7%</w:t>
            </w:r>
          </w:p>
        </w:tc>
      </w:tr>
      <w:tr>
        <w:tc>
          <w:tcPr>
            <w:tcW w:type="dxa" w:w="2880"/>
          </w:tcPr>
          <w:p>
            <w:r>
              <w:t>Americas</w:t>
            </w:r>
          </w:p>
        </w:tc>
        <w:tc>
          <w:tcPr>
            <w:tcW w:type="dxa" w:w="2880"/>
          </w:tcPr>
          <w:p>
            <w:r>
              <w:t>11.1</w:t>
            </w:r>
          </w:p>
        </w:tc>
        <w:tc>
          <w:tcPr>
            <w:tcW w:type="dxa" w:w="2880"/>
          </w:tcPr>
          <w:p>
            <w:r>
              <w:t>+1%</w:t>
            </w:r>
          </w:p>
        </w:tc>
      </w:tr>
    </w:tbl>
    <w:p>
      <w:pPr>
        <w:pStyle w:val="Heading2"/>
      </w:pPr>
      <w:r>
        <w:t>Priorities</w:t>
      </w:r>
    </w:p>
    <w:p>
      <w:pPr>
        <w:pStyle w:val="ListBullet"/>
      </w:pPr>
      <w:r>
        <w:t>Ship reporting pipeline v2</w:t>
      </w:r>
    </w:p>
    <w:p>
      <w:pPr>
        <w:pStyle w:val="ListBullet"/>
      </w:pPr>
      <w:r>
        <w:t>Onboard 3 new enterprise customers</w:t>
      </w:r>
    </w:p>
    <w:p>
      <w:pPr>
        <w:pStyle w:val="ListBullet"/>
      </w:pPr>
      <w:r>
        <w:t>Reduce p95 API latency by 30%</w:t>
      </w:r>
    </w:p>
    <w:p>
      <w:pPr>
        <w:pStyle w:val="Heading1"/>
      </w:pPr>
      <w:r>
        <w:t>Architecture</w:t>
      </w:r>
    </w:p>
    <w:p>
      <w:r>
        <w:t>The ingestion pipeline is shown below.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Q3 2026 Report ·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Confidential — do not distribute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