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MAHKAMAH AGUNG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MAHKAMAH AGUNG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123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30 November 0001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MAHKAMAH AGUNG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11.500.000.000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sebelas milyar lima ratus  juta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MAHKAMAH AGUNG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MAHKAMAH AGUNG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MAHKAMAH AGUNG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