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Dalem Jagadhita. SH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7.069.000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50.000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105.111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6.963.889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