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0E1B00" w:rsidRDefault="002E7FC4" w:rsidP="002E7FC4">
      <w:pPr>
        <w:tabs>
          <w:tab w:val="left" w:pos="284"/>
        </w:tabs>
        <w:spacing w:line="360" w:lineRule="auto"/>
        <w:ind w:left="1440" w:firstLine="720"/>
        <w:rPr>
          <w:rFonts w:ascii="Times New Roman" w:hAnsi="Times New Roman" w:cs="Times New Roman"/>
          <w:sz w:val="24"/>
          <w:szCs w:val="24"/>
          <w:lang w:val="id-ID"/>
        </w:rPr>
      </w:pPr>
      <w:r w:rsidRPr="007E7D51">
        <w:rPr>
          <w:rFonts w:ascii="Times New Roman" w:hAnsi="Times New Roman" w:cs="Times New Roman"/>
          <w:sz w:val="24"/>
          <w:szCs w:val="24"/>
        </w:rPr>
        <w:t>NAMA  : ADE IRMA RILYANI</w:t>
      </w:r>
      <w:r w:rsidR="000E1B00">
        <w:rPr>
          <w:rFonts w:ascii="Times New Roman" w:hAnsi="Times New Roman" w:cs="Times New Roman"/>
          <w:sz w:val="24"/>
          <w:szCs w:val="24"/>
          <w:lang w:val="id-ID"/>
        </w:rPr>
        <w:t xml:space="preserve"> manis</w:t>
      </w:r>
      <w:bookmarkStart w:id="0" w:name="_GoBack"/>
      <w:bookmarkEnd w:id="0"/>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626A39" w:rsidP="003645C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E1B00"/>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D57A4"/>
    <w:rsid w:val="00433CEF"/>
    <w:rsid w:val="0045025A"/>
    <w:rsid w:val="00470496"/>
    <w:rsid w:val="00472806"/>
    <w:rsid w:val="00500C38"/>
    <w:rsid w:val="005A0DA9"/>
    <w:rsid w:val="005A63E1"/>
    <w:rsid w:val="005A70A7"/>
    <w:rsid w:val="005C5CC4"/>
    <w:rsid w:val="005C6268"/>
    <w:rsid w:val="006155DF"/>
    <w:rsid w:val="00620DC9"/>
    <w:rsid w:val="00626A39"/>
    <w:rsid w:val="0067786A"/>
    <w:rsid w:val="006B5842"/>
    <w:rsid w:val="006B771C"/>
    <w:rsid w:val="006D16BB"/>
    <w:rsid w:val="006D3758"/>
    <w:rsid w:val="00771203"/>
    <w:rsid w:val="007768C5"/>
    <w:rsid w:val="007F57C1"/>
    <w:rsid w:val="007F6416"/>
    <w:rsid w:val="00802730"/>
    <w:rsid w:val="00864DEA"/>
    <w:rsid w:val="008A40C7"/>
    <w:rsid w:val="008B56E5"/>
    <w:rsid w:val="0094565A"/>
    <w:rsid w:val="0095698F"/>
    <w:rsid w:val="00987EC6"/>
    <w:rsid w:val="009C71F1"/>
    <w:rsid w:val="009D7C5A"/>
    <w:rsid w:val="00A34333"/>
    <w:rsid w:val="00A66260"/>
    <w:rsid w:val="00B111E5"/>
    <w:rsid w:val="00B12C6E"/>
    <w:rsid w:val="00B14865"/>
    <w:rsid w:val="00B32357"/>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5646"/>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50</cp:revision>
  <cp:lastPrinted>2017-09-21T02:57:00Z</cp:lastPrinted>
  <dcterms:created xsi:type="dcterms:W3CDTF">2017-05-17T11:56:00Z</dcterms:created>
  <dcterms:modified xsi:type="dcterms:W3CDTF">2018-01-07T08:32:00Z</dcterms:modified>
</cp:coreProperties>
</file>