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Launch Budget Is Not a Route to Revenue.</w:t>
      </w:r>
    </w:p>
    <w:p>
      <w:pPr>
        <w:pStyle w:val="Subtitle"/>
      </w:pPr>
      <w:r>
        <w:rPr>
          <w:b/>
        </w:rPr>
        <w:t>How GreyRadius helped a consumer health brand reframe South African entry around retailer access, regulatory readiness and first-SKU economics.</w:t>
      </w:r>
    </w:p>
    <w:p>
      <w:pPr>
        <w:pStyle w:val="Heading1"/>
      </w:pPr>
      <w:r>
        <w:t>Context</w:t>
      </w:r>
    </w:p>
    <w:p>
      <w:r>
        <w:t>A healthcare and consumer health brand preparing to enter South Africa needed a commercially viable route into retail and modern trade. Shoprite and Pick n Pay were the two target retail groups.</w:t>
      </w:r>
    </w:p>
    <w:p>
      <w:r>
        <w:t>The initial entry logic appeared straightforward: complete product registration, establish distribution and launch. But that sequence could commit capital before the business knew whether retailers would accept the products—or whether the terms of acceptance would support viable margins.</w:t>
      </w:r>
    </w:p>
    <w:p>
      <w:r>
        <w:t>The tension was immediate. Regulatory progress could create pressure to order inventory and fund launch activity while the route to first-retail revenue remained unresolved. Expanding that model would multiply exposure before proving commercial viability.</w:t>
      </w:r>
    </w:p>
    <w:p>
      <w:pPr>
        <w:pStyle w:val="Heading1"/>
      </w:pPr>
      <w:r>
        <w:t>The Core Challenge</w:t>
      </w:r>
    </w:p>
    <w:p>
      <w:r>
        <w:t>The surface problem was access: getting the products registered, distributed and onto retail shelves.</w:t>
      </w:r>
    </w:p>
    <w:p>
      <w:r>
        <w:t>The structural issue was the absence of a linked commercial decision. Product eligibility, retailer requirements, pricing and initial assortment were being treated as successive steps, although each could change the viability of the others.</w:t>
      </w:r>
    </w:p>
    <w:p>
      <w:r>
        <w:t>A product could be ready from a regulatory perspective yet commercially unsuitable for a particular retailer. An acceptable shelf price could leave insufficient margin once landed cost, channel margins, applicable taxes and promotional terms were included. A broad assortment could increase inventory exposure without improving the likelihood of acceptance.</w:t>
      </w:r>
    </w:p>
    <w:p>
      <w:r>
        <w:t>This created a coordination problem beneath the market-entry plan. Regulatory readiness alone could not justify a launch commitment; distribution capability alone could not establish retailer demand.</w:t>
      </w:r>
    </w:p>
    <w:p>
      <w:r>
        <w:t>The operating model needed to resolve those dependencies before spending accelerated. Otherwise, unresolved commercial decisions would surface after commitments had already narrowed leadership’s options.</w:t>
      </w:r>
    </w:p>
    <w:p>
      <w:pPr>
        <w:pStyle w:val="Heading1"/>
      </w:pPr>
      <w:r>
        <w:t>The Decision Shift</w:t>
      </w:r>
    </w:p>
    <w:p>
      <w:r>
        <w:t>The central realization was that registration could enable entry without establishing a business.</w:t>
      </w:r>
    </w:p>
    <w:p>
      <w:r>
        <w:t xml:space="preserve">The company shifted from </w:t>
      </w:r>
      <w:r>
        <w:rPr>
          <w:b/>
        </w:rPr>
        <w:t>registration-led entry to retail-access-led entry</w:t>
      </w:r>
      <w:r>
        <w:t>, with regulatory readiness and retailer economics treated as linked gates to first revenue.</w:t>
      </w:r>
    </w:p>
    <w:p>
      <w:r>
        <w:t>That reframed the leadership question. Instead of asking, “When can the products launch?”, the decision became: “Which products can enter which retail accounts, on workable terms, with an initial commitment the business can support?”</w:t>
      </w:r>
    </w:p>
    <w:p>
      <w:r>
        <w:t>Retail access was therefore more than a listing objective. It became the organizing principle for assortment, pricing and launch sequencing.</w:t>
      </w:r>
    </w:p>
    <w:p>
      <w:r>
        <w:t>Regulatory requirements retained their importance, but sat within a commercial decision. Progress on one workstream no longer provided sufficient grounds to advance the entire launch.</w:t>
      </w:r>
    </w:p>
    <w:p>
      <w:pPr>
        <w:pStyle w:val="Heading1"/>
      </w:pPr>
      <w:r>
        <w:t>What Changed in Execution</w:t>
      </w:r>
    </w:p>
    <w:p>
      <w:r>
        <w:t>Launch commitments became conditional on product-specific SAHPRA requirements. Regulatory readiness needed to support the proposed SKU and entry route before the business increased its exposure.</w:t>
      </w:r>
    </w:p>
    <w:p>
      <w:r>
        <w:t>Shoprite and Pick n Pay became separate account decisions. Each route depended on its own buyer, listing and onboarding requirements. Interest or progress with one retail group could not be assumed to validate the other.</w:t>
      </w:r>
    </w:p>
    <w:p>
      <w:r>
        <w:t>Pricing became a test of first-SKU viability. The relevant measure was the margin remaining after landed cost, channel margins, applicable taxes and promotional terms—not simply whether the shelf price looked competitive.</w:t>
      </w:r>
    </w:p>
    <w:p>
      <w:r>
        <w:t>The initial assortment and store footprint also became controlled commercial choices. Priority SKUs and a manageable footprint created a narrower entry commitment before expansion.</w:t>
      </w:r>
    </w:p>
    <w:p>
      <w:r>
        <w:t>Together, these changes made execution dependencies more visible. A change in retailer terms could require a pricing or assortment decision before further commitment. The entry model became more scalable because expansion depended on evidence from the initial route.</w:t>
      </w:r>
    </w:p>
    <w:p>
      <w:pPr>
        <w:pStyle w:val="Heading1"/>
      </w:pPr>
      <w:r>
        <w:t>Business Impact Delivered</w:t>
      </w:r>
    </w:p>
    <w:p>
      <w:r>
        <w:t>The supported impact was a clearer path to first-retail revenue and stronger discipline around launch exposure.</w:t>
      </w:r>
    </w:p>
    <w:p>
      <w:r>
        <w:t>The revised model reduced the risk of committing to stock without a credible listing route and of entering retail on terms that could erode margin. It also clarified what needed to be resolved before leadership could justify a larger commitment.</w:t>
      </w:r>
    </w:p>
    <w:p>
      <w:r>
        <w:t>These are improvements in decision quality and commercial readiness. Achieved revenue remains unverified. The available evidence does not establish completed listings, faster registration, realized margin improvement or a successful rollout.</w:t>
      </w:r>
    </w:p>
    <w:p>
      <w:pPr>
        <w:pStyle w:val="Heading1"/>
      </w:pPr>
      <w:r>
        <w:t>Key Outcomes</w:t>
      </w:r>
    </w:p>
    <w:p>
      <w:r>
        <w:t xml:space="preserve">• </w:t>
      </w:r>
      <w:r>
        <w:rPr>
          <w:b/>
        </w:rPr>
        <w:t>Two distinct retail routes:</w:t>
      </w:r>
      <w:r>
        <w:t xml:space="preserve"> Shoprite and Pick n Pay.</w:t>
      </w:r>
    </w:p>
    <w:p>
      <w:r>
        <w:t xml:space="preserve">• </w:t>
      </w:r>
      <w:r>
        <w:rPr>
          <w:b/>
        </w:rPr>
        <w:t>Linked launch gates:</w:t>
      </w:r>
      <w:r>
        <w:t xml:space="preserve"> Product-specific regulatory readiness and retailer economics.</w:t>
      </w:r>
    </w:p>
    <w:p>
      <w:r>
        <w:t xml:space="preserve">• </w:t>
      </w:r>
      <w:r>
        <w:rPr>
          <w:b/>
        </w:rPr>
        <w:t>Controlled initial exposure:</w:t>
      </w:r>
      <w:r>
        <w:t xml:space="preserve"> Priority SKUs and a manageable store footprint.</w:t>
      </w:r>
    </w:p>
    <w:p>
      <w:r>
        <w:t xml:space="preserve">• </w:t>
      </w:r>
      <w:r>
        <w:rPr>
          <w:b/>
        </w:rPr>
        <w:t>Clear evidence limits:</w:t>
      </w:r>
      <w:r>
        <w:t xml:space="preserve"> Registration and listing timelines, first-retail revenue value and revenue date were not provided.</w:t>
      </w:r>
    </w:p>
    <w:p>
      <w:r>
        <w:t>Retail expansion becomes investable when the business can connect product eligibility, buyer acceptance and sustainable economics. Until those conditions meet, launch spending buys exposure faster than it builds a route to revenue.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GreyRadius Consulting | South Africa Consumer Health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