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How to validate market demand before committing to a new country</w:t>
      </w:r>
    </w:p>
    <w:p>
      <w:r>
        <w:rPr>
          <w:b w:val="0"/>
        </w:rPr>
        <w:t>A growing market, a promising industry report, and an enthusiastic distributor can make international expansion look straightforward. None of these, on its own, establishes that your business can win customers at a viable price.</w:t>
      </w:r>
    </w:p>
    <w:p>
      <w:r>
        <w:rPr>
          <w:b w:val="0"/>
        </w:rPr>
        <w:t xml:space="preserve">The practical answer to </w:t>
      </w:r>
      <w:r>
        <w:rPr>
          <w:b/>
        </w:rPr>
        <w:t>how to validate market demand before market entry</w:t>
      </w:r>
      <w:r>
        <w:rPr>
          <w:b w:val="0"/>
        </w:rPr>
        <w:t xml:space="preserve"> is to test a specific commercial proposition: which customers will buy, what problem they need solved, how they purchase, what they will pay, and whether you can reach and serve them profitably. Leadership should resolve those questions before committing substantial capital to a local entity, inventory, hiring, or a nationwide launch.</w:t>
      </w:r>
    </w:p>
    <w:p>
      <w:r>
        <w:rPr>
          <w:b w:val="0"/>
        </w:rPr>
        <w:t>At GreyRadius, our opportunity assessment service brings together market intelligence, competitive benchmarking, customer research, opportunity prioritization, and scenario modeling. This article translates those five disciplines into a market entry validation framework that helps leadership reach a Go, Defer, or Kill decision.</w:t>
      </w:r>
    </w:p>
    <w:p>
      <w:pPr>
        <w:pStyle w:val="Heading1"/>
      </w:pPr>
      <w:r>
        <w:rPr>
          <w:b w:val="0"/>
        </w:rPr>
        <w:t>Why market growth does not establish demand for your business</w:t>
      </w:r>
    </w:p>
    <w:p>
      <w:r>
        <w:rPr>
          <w:b w:val="0"/>
        </w:rPr>
        <w:t>Country-level demand and demand for your offer are different questions. A healthcare market may be growing, yet your device may face procurement requirements that delay revenue. A consumer category may be expanding, yet the price consumers accept may leave insufficient margin after distribution and fulfillment. A software market may have strong adoption, while target buyers already have an acceptable solution bundled into an existing contract.</w:t>
      </w:r>
    </w:p>
    <w:p>
      <w:r>
        <w:rPr>
          <w:b w:val="0"/>
        </w:rPr>
        <w:t>Market demand validation in emerging markets requires attention to these differences. Buying behavior can vary between cities, income groups, formal and informal channels, and institutional and individual customers. A national average can hide the customer cluster where entry is commercially feasible.</w:t>
      </w:r>
    </w:p>
    <w:p>
      <w:r>
        <w:rPr>
          <w:b w:val="0"/>
        </w:rPr>
        <w:t>The starting question should therefore be precise: can this offer, at this delivered price, through this channel, win enough customers in this initial geography within an acceptable investment and time horizon?</w:t>
      </w:r>
    </w:p>
    <w:p>
      <w:pPr>
        <w:pStyle w:val="Heading1"/>
      </w:pPr>
      <w:r>
        <w:rPr>
          <w:b w:val="0"/>
        </w:rPr>
        <w:t>The five step demand validation process</w:t>
      </w:r>
    </w:p>
    <w:p>
      <w:r>
        <w:rPr>
          <w:b w:val="0"/>
        </w:rPr>
        <w:t>GreyRadius’s published opportunity assessment approach uses five disciplines in sequence. Applied to a new-country decision, each produces evidence that supports or challenges the proposed entry.</w:t>
      </w:r>
    </w:p>
    <w:p>
      <w:pPr>
        <w:pStyle w:val="Heading2"/>
      </w:pPr>
      <w:r>
        <w:rPr>
          <w:b w:val="0"/>
        </w:rPr>
        <w:t>Step 1 Define the opportunity and test the market hypothesis</w:t>
      </w:r>
    </w:p>
    <w:p>
      <w:r>
        <w:rPr>
          <w:b w:val="0"/>
        </w:rPr>
        <w:t>The first discipline is market opportunity and intelligence. Begin with a clear entry hypothesis that specifies the product or service, target customer, geography, purchase occasion, expected price, and route to market.</w:t>
      </w:r>
    </w:p>
    <w:p>
      <w:r>
        <w:rPr>
          <w:b w:val="0"/>
        </w:rPr>
        <w:t>For example, “enter Indonesia with educational products” is too broad to validate. A more useful hypothesis would identify a particular learning product, its target age group, the first urban clusters, whether parents or schools pay, and the proposed sales channel. That definition determines whom to interview and which alternatives to examine.</w:t>
      </w:r>
    </w:p>
    <w:p>
      <w:r>
        <w:rPr>
          <w:b w:val="0"/>
        </w:rPr>
        <w:t>Build an initial evidence base using relevant industry data, trade statistics, category sales, procurement information, and competitor activity. Check dates, definitions, coverage, and whether the figures refer to units, retail value, imports, or supplier revenue. These measures are not interchangeable.</w:t>
      </w:r>
    </w:p>
    <w:p>
      <w:r>
        <w:rPr>
          <w:b w:val="0"/>
        </w:rPr>
        <w:t>Then estimate the reachable opportunity from the bottom up. For B2B, start with eligible accounts, purchasing frequency, realistic contract value, qualification requirements, and sales capacity. For consumer products, start with reachable outlets or customers, trial, repeat purchasing, and channel throughput. Keep national market size as context rather than treating it as an obtainable revenue forecast.</w:t>
      </w:r>
    </w:p>
    <w:p>
      <w:r>
        <w:rPr>
          <w:b w:val="0"/>
        </w:rPr>
        <w:t>Before fieldwork, agree on the assumptions that could change the decision. These might include a minimum viable net price, an acceptable sales cycle, evidence of an urgent customer problem, and a feasible approval pathway. Define failure conditions early so enthusiasm does not move the goalposts later.</w:t>
      </w:r>
    </w:p>
    <w:p>
      <w:r>
        <w:rPr>
          <w:b w:val="0"/>
        </w:rPr>
      </w:r>
      <w:r>
        <w:rPr>
          <w:b/>
        </w:rPr>
        <w:t>Output:</w:t>
      </w:r>
      <w:r>
        <w:rPr>
          <w:b w:val="0"/>
        </w:rPr>
        <w:t xml:space="preserve"> a focused entry hypothesis, a preliminary opportunity estimate, and a list of assumptions requiring validation.</w:t>
      </w:r>
    </w:p>
    <w:p>
      <w:pPr>
        <w:pStyle w:val="Heading2"/>
      </w:pPr>
      <w:r>
        <w:rPr>
          <w:b w:val="0"/>
        </w:rPr>
        <w:t>Step 2 Benchmark competition and validate channel access</w:t>
      </w:r>
    </w:p>
    <w:p>
      <w:r>
        <w:rPr>
          <w:b w:val="0"/>
        </w:rPr>
        <w:t>Competitive landscape intelligence establishes what buyers use today, why they choose it, and how your business could earn a place in the market. Include local competitors, imports, substitutes, internal solutions, and the option of doing nothing.</w:t>
      </w:r>
    </w:p>
    <w:p>
      <w:r>
        <w:rPr>
          <w:b w:val="0"/>
        </w:rPr>
        <w:t>Compare delivered prices, pack sizes or contract terms, service coverage, availability, credit terms, brand trust, and switching requirements. A global product advantage may matter less locally than dependable stock, fast servicing, or access to credit.</w:t>
      </w:r>
    </w:p>
    <w:p>
      <w:r>
        <w:rPr>
          <w:b w:val="0"/>
        </w:rPr>
        <w:t>This step also tests whether the proposed route to market is credible. A distributor’s willingness to discuss a partnership is an early signal. Their ability and willingness to invest in selling your offer require separate evidence.</w:t>
      </w:r>
    </w:p>
    <w:p>
      <w:pPr>
        <w:pStyle w:val="Heading3"/>
      </w:pPr>
      <w:r>
        <w:rPr>
          <w:b w:val="0"/>
        </w:rPr>
        <w:t>How to structure a distributor willingness to carry conversation</w:t>
      </w:r>
    </w:p>
    <w:p>
      <w:r>
        <w:rPr>
          <w:b w:val="0"/>
        </w:rPr>
        <w:t>Share a concise offer brief covering the product, target customer, indicative price, initial geography, supply assumptions, service requirements, and proposed commercial terms. Label unconfirmed specifications and dates clearly. Use the conversation to understand the distributor’s business before asking for a commitment.</w:t>
      </w:r>
    </w:p>
    <w:p>
      <w:r>
        <w:rPr>
          <w:b w:val="0"/>
        </w:rPr>
        <w:t>Ask practical questions such as:</w:t>
      </w:r>
    </w:p>
    <w:p>
      <w:pPr>
        <w:pStyle w:val="ListBullet"/>
      </w:pPr>
      <w:r>
        <w:rPr>
          <w:b w:val="0"/>
        </w:rPr>
        <w:t>Which comparable products do you currently sell, and to which customer segments?</w:t>
      </w:r>
    </w:p>
    <w:p>
      <w:pPr>
        <w:pStyle w:val="ListBullet"/>
      </w:pPr>
      <w:r>
        <w:rPr>
          <w:b w:val="0"/>
        </w:rPr>
        <w:t>What would make your sales team recommend this offer over an existing brand?</w:t>
      </w:r>
    </w:p>
    <w:p>
      <w:pPr>
        <w:pStyle w:val="ListBullet"/>
      </w:pPr>
      <w:r>
        <w:rPr>
          <w:b w:val="0"/>
        </w:rPr>
        <w:t>At the proposed selling price, what margin, credit period, and promotional support would you require?</w:t>
      </w:r>
    </w:p>
    <w:p>
      <w:pPr>
        <w:pStyle w:val="ListBullet"/>
      </w:pPr>
      <w:r>
        <w:rPr>
          <w:b w:val="0"/>
        </w:rPr>
        <w:t>Which accounts or outlets could you approach first, and why are they suitable?</w:t>
      </w:r>
    </w:p>
    <w:p>
      <w:pPr>
        <w:pStyle w:val="ListBullet"/>
      </w:pPr>
      <w:r>
        <w:rPr>
          <w:b w:val="0"/>
        </w:rPr>
        <w:t>What opening order or trial would you consider, subject to approvals and agreed terms?</w:t>
      </w:r>
    </w:p>
    <w:p>
      <w:pPr>
        <w:pStyle w:val="ListBullet"/>
      </w:pPr>
      <w:r>
        <w:rPr>
          <w:b w:val="0"/>
        </w:rPr>
        <w:t>What would prevent you from carrying the product, even if customers expressed interest?</w:t>
      </w:r>
    </w:p>
    <w:p>
      <w:r>
        <w:rPr>
          <w:b w:val="0"/>
        </w:rPr>
        <w:t>Request evidence appropriate to the stage: relevant account references, category experience, geographic coverage, service capacity, and a proposed launch plan. Distinguish coverage on a map from active relationships with the intended buyers.</w:t>
      </w:r>
    </w:p>
    <w:p>
      <w:r>
        <w:rPr>
          <w:b w:val="0"/>
        </w:rPr>
        <w:t>Conclude with a specific next step. This could be a meeting with target accounts, review of a trial assortment, or a written proposal covering stock, sales effort, payment terms, and responsibilities. A distributor prepared to allocate staff, introduce relevant customers, or negotiate an opening order provides stronger evidence than one who only requests exclusivity.</w:t>
      </w:r>
    </w:p>
    <w:p>
      <w:r>
        <w:rPr>
          <w:b w:val="0"/>
        </w:rPr>
        <w:t>Distributor stocking also differs from end-customer demand. A first shipment can sit unsold. Test how the partner expects to generate sell-through and obtain repeat orders. Avoid building the market case around one distributor’s claims; compare independent partners and buyer feedback.</w:t>
      </w:r>
    </w:p>
    <w:p>
      <w:r>
        <w:rPr>
          <w:b w:val="0"/>
        </w:rPr>
      </w:r>
      <w:r>
        <w:rPr>
          <w:b/>
        </w:rPr>
        <w:t>Output:</w:t>
      </w:r>
      <w:r>
        <w:rPr>
          <w:b w:val="0"/>
        </w:rPr>
        <w:t xml:space="preserve"> a competitive benchmark and an assessment of channel access, partner incentives, and commercial constraints.</w:t>
      </w:r>
    </w:p>
    <w:p>
      <w:pPr>
        <w:pStyle w:val="Heading2"/>
      </w:pPr>
      <w:r>
        <w:rPr>
          <w:b w:val="0"/>
        </w:rPr>
        <w:t>Step 3 Interview consumers and buyers to test the buying decision</w:t>
      </w:r>
    </w:p>
    <w:p>
      <w:r>
        <w:rPr>
          <w:b w:val="0"/>
        </w:rPr>
        <w:t>Customer insight analytics should establish the problem, current behavior, purchase process, and conditions for adoption. The interview method must match the business model.</w:t>
      </w:r>
    </w:p>
    <w:p>
      <w:r>
        <w:rPr>
          <w:b w:val="0"/>
        </w:rPr>
        <w:t>For consumer research, recruit people who fit the target segment and have relevant recent category experience. Include differences that could affect the decision, such as income, location, purchase frequency, and channel use. Speak with current buyers and appropriate non-buyers to understand both adoption and rejection.</w:t>
      </w:r>
    </w:p>
    <w:p>
      <w:r>
        <w:rPr>
          <w:b w:val="0"/>
        </w:rPr>
        <w:t>For B2B research, distinguish users, technical evaluators, procurement teams, budget owners, and final approvers. Several interviews at one organization help map its decision process, but they do not represent several independent customer accounts. Recruitment should cover different relevant account types and buying situations.</w:t>
      </w:r>
    </w:p>
    <w:p>
      <w:r>
        <w:rPr>
          <w:b w:val="0"/>
        </w:rPr>
        <w:t>Use a consistent, semi-structured interview guide. Start with actual behavior before presenting the concept. Ask respondents to describe their last relevant purchase, what triggered it, which alternatives they considered, what they paid, and what caused difficulty. Where appropriate and with permission, corroborate responses using procurement documents, purchase records, or workflow examples.</w:t>
      </w:r>
    </w:p>
    <w:p>
      <w:r>
        <w:rPr>
          <w:b w:val="0"/>
        </w:rPr>
        <w:t>Useful questions include:</w:t>
      </w:r>
    </w:p>
    <w:p>
      <w:pPr>
        <w:pStyle w:val="ListBullet"/>
      </w:pPr>
      <w:r>
        <w:rPr>
          <w:b w:val="0"/>
        </w:rPr>
        <w:t>Tell me about the last time you bought or selected a solution in this category.</w:t>
      </w:r>
    </w:p>
    <w:p>
      <w:pPr>
        <w:pStyle w:val="ListBullet"/>
      </w:pPr>
      <w:r>
        <w:rPr>
          <w:b w:val="0"/>
        </w:rPr>
        <w:t>What happened when the problem was left unresolved?</w:t>
      </w:r>
    </w:p>
    <w:p>
      <w:pPr>
        <w:pStyle w:val="ListBullet"/>
      </w:pPr>
      <w:r>
        <w:rPr>
          <w:b w:val="0"/>
        </w:rPr>
        <w:t>Which budget paid for it, and who approved the purchase?</w:t>
      </w:r>
    </w:p>
    <w:p>
      <w:pPr>
        <w:pStyle w:val="ListBullet"/>
      </w:pPr>
      <w:r>
        <w:rPr>
          <w:b w:val="0"/>
        </w:rPr>
        <w:t>What would need to change before you considered a new supplier?</w:t>
      </w:r>
    </w:p>
    <w:p>
      <w:pPr>
        <w:pStyle w:val="ListBullet"/>
      </w:pPr>
      <w:r>
        <w:rPr>
          <w:b w:val="0"/>
        </w:rPr>
        <w:t>What evidence would you require before a trial or purchase?</w:t>
      </w:r>
    </w:p>
    <w:p>
      <w:r>
        <w:rPr>
          <w:b w:val="0"/>
        </w:rPr>
        <w:t>After understanding the current situation, show a neutral concept description. Ask respondents to explain its value in their own words, identify drawbacks, compare it with their current option, and describe the next realistic buying step. Avoid leading questions such as “Would this innovative solution help you?”</w:t>
      </w:r>
    </w:p>
    <w:p>
      <w:r>
        <w:rPr>
          <w:b w:val="0"/>
        </w:rPr>
        <w:t>Use local-language interviews where needed, check translated terms, and obtain consent for recording. Analyze findings by segment and role rather than merging every answer into an average. Record contradictory evidence and the reasons respondents reject the proposition.</w:t>
      </w:r>
    </w:p>
    <w:p>
      <w:pPr>
        <w:pStyle w:val="Heading3"/>
      </w:pPr>
      <w:r>
        <w:rPr>
          <w:b w:val="0"/>
        </w:rPr>
        <w:t>How many interviews are enough</w:t>
      </w:r>
    </w:p>
    <w:p>
      <w:r>
        <w:rPr>
          <w:b w:val="0"/>
        </w:rPr>
        <w:t>There is no universal interview count that validates a country. Sample size depends on the diversity of buyers, the number of segments, the complexity of procurement, and whether additional interviews continue to reveal findings that could change the decision. Qualitative research uses saturation to assess whether further conversations add meaningful insight; it does not establish population-level demand percentages. Nielsen Norman Group explains this distinction in its guidance on interview sample size.</w:t>
      </w:r>
    </w:p>
    <w:p>
      <w:r>
        <w:rPr>
          <w:b w:val="0"/>
        </w:rPr>
        <w:t>As a planning example, a narrow initial study could budget for 12–20 interviews within a reasonably similar buyer segment, with separate conversations for key purchasing roles and channel partners. This is a starting range, not a GreyRadius standard or proof threshold. Add interviews where major differences or unresolved objections remain. If leadership needs reliable prevalence estimates or price comparisons across segments, design a quantitative study with an appropriate sample and recruitment method.</w:t>
      </w:r>
    </w:p>
    <w:p>
      <w:r>
        <w:rPr>
          <w:b w:val="0"/>
        </w:rPr>
      </w:r>
      <w:r>
        <w:rPr>
          <w:b/>
        </w:rPr>
        <w:t>Output:</w:t>
      </w:r>
      <w:r>
        <w:rPr>
          <w:b w:val="0"/>
        </w:rPr>
        <w:t xml:space="preserve"> evidence of customer need, adoption barriers, buying authority, and the conditions under which purchase becomes plausible.</w:t>
      </w:r>
    </w:p>
    <w:p>
      <w:pPr>
        <w:pStyle w:val="Heading2"/>
      </w:pPr>
      <w:r>
        <w:rPr>
          <w:b w:val="0"/>
        </w:rPr>
        <w:t>Step 4 Prioritize opportunities and test price acceptance</w:t>
      </w:r>
    </w:p>
    <w:p>
      <w:r>
        <w:rPr>
          <w:b w:val="0"/>
        </w:rPr>
        <w:t>The opportunity prioritization discipline compares segments against attractiveness, feasibility, investment requirements, and strategic fit. Price testing helps determine whether apparent demand can support the entry economics.</w:t>
      </w:r>
    </w:p>
    <w:p>
      <w:r>
        <w:rPr>
          <w:b w:val="0"/>
        </w:rPr>
        <w:t>You can test price sensitivity without a live product using a credible concept card, sample packaging, a prototype, a service outline, or a demonstration. Respondents need enough information to understand what they would receive, including specifications, quantities, support, delivery assumptions, and payment terms. Explain that the offer is being evaluated and disclose uncertainties that could affect their choice.</w:t>
      </w:r>
    </w:p>
    <w:p>
      <w:r>
        <w:rPr>
          <w:b w:val="0"/>
        </w:rPr>
        <w:t>Three methods are useful in different situations:</w:t>
      </w:r>
    </w:p>
    <w:p>
      <w:pPr>
        <w:pStyle w:val="ListBullet"/>
      </w:pPr>
      <w:r>
        <w:rPr>
          <w:b w:val="0"/>
        </w:rPr>
      </w:r>
      <w:r>
        <w:rPr>
          <w:b/>
        </w:rPr>
        <w:t>Van Westendorp:</w:t>
      </w:r>
      <w:r>
        <w:rPr>
          <w:b w:val="0"/>
        </w:rPr>
        <w:t xml:space="preserve"> ask which prices feel too cheap to trust, inexpensive, expensive but still worth considering, and too expensive. This helps explore perceived price boundaries.</w:t>
      </w:r>
    </w:p>
    <w:p>
      <w:pPr>
        <w:pStyle w:val="ListBullet"/>
      </w:pPr>
      <w:r>
        <w:rPr>
          <w:b w:val="0"/>
        </w:rPr>
      </w:r>
      <w:r>
        <w:rPr>
          <w:b/>
        </w:rPr>
        <w:t>Gabor Granger:</w:t>
      </w:r>
      <w:r>
        <w:rPr>
          <w:b w:val="0"/>
        </w:rPr>
        <w:t xml:space="preserve"> test stated willingness to purchase at specified price points. This supports analysis of how expressed demand changes with price.</w:t>
      </w:r>
    </w:p>
    <w:p>
      <w:pPr>
        <w:pStyle w:val="ListBullet"/>
      </w:pPr>
      <w:r>
        <w:rPr>
          <w:b w:val="0"/>
        </w:rPr>
      </w:r>
      <w:r>
        <w:rPr>
          <w:b/>
        </w:rPr>
        <w:t>Monadic testing:</w:t>
      </w:r>
      <w:r>
        <w:rPr>
          <w:b w:val="0"/>
        </w:rPr>
        <w:t xml:space="preserve"> show different respondent groups the same offer at different prices. With suitable sampling and controls, this reduces the influence of seeing multiple prices in sequence.</w:t>
      </w:r>
    </w:p>
    <w:p>
      <w:r>
        <w:rPr>
          <w:b w:val="0"/>
        </w:rPr>
        <w:t>Qualtrics describes these approaches in its pricing research guidance. Method choice depends on the category, respondent familiarity, and the decision being tested. In unfamiliar categories, respondents may struggle to assign a meaningful price until they understand the offer and alternatives.</w:t>
      </w:r>
    </w:p>
    <w:p>
      <w:r>
        <w:rPr>
          <w:b w:val="0"/>
        </w:rPr>
        <w:t>Use local currency and the unit customers actually buy: a pack, monthly subscription, annual contract, or installed solution. State whether tax, delivery, implementation, and servicing are included. For B2B, test budget availability and the approval process as well as the quoted amount. For consumer products, test pack size and purchase frequency alongside price.</w:t>
      </w:r>
    </w:p>
    <w:p>
      <w:r>
        <w:rPr>
          <w:b w:val="0"/>
        </w:rPr>
        <w:t>Treat these results as stated preferences. Strengthen them with behavior where feasible: a qualified request for a proposal, agreement to evaluate a prototype, a scheduled technical review, or a paid pilot when available. A waiting-list signup alone does not establish purchase intent.</w:t>
      </w:r>
    </w:p>
    <w:p>
      <w:r>
        <w:rPr>
          <w:b w:val="0"/>
        </w:rPr>
        <w:t>Next, reconcile the accepted price with the cost to serve. Work backward through channel margins, discounts, logistics, duties where applicable, fulfillment, servicing, acquisition costs, and working capital. Calculate contribution using net revenue rather than the headline retail price.</w:t>
      </w:r>
    </w:p>
    <w:p>
      <w:r>
        <w:rPr>
          <w:b w:val="0"/>
        </w:rPr>
        <w:t>A segment may show strong need but require an unviable price. Another may offer lower volume with a clearer buying process and better economics. The assessment should recommend the segment that supports a feasible entry rather than automatically selecting the largest one.</w:t>
      </w:r>
    </w:p>
    <w:p>
      <w:r>
        <w:rPr>
          <w:b w:val="0"/>
        </w:rPr>
      </w:r>
      <w:r>
        <w:rPr>
          <w:b/>
        </w:rPr>
        <w:t>Output:</w:t>
      </w:r>
      <w:r>
        <w:rPr>
          <w:b w:val="0"/>
        </w:rPr>
        <w:t xml:space="preserve"> prioritized segments, an indicative price range, and commercial economics with the remaining uncertainties stated.</w:t>
      </w:r>
    </w:p>
    <w:p>
      <w:pPr>
        <w:pStyle w:val="Heading2"/>
      </w:pPr>
      <w:r>
        <w:rPr>
          <w:b w:val="0"/>
        </w:rPr>
        <w:t>Step 5 Model scenarios and reach a Go Defer or Kill recommendation</w:t>
      </w:r>
    </w:p>
    <w:p>
      <w:r>
        <w:rPr>
          <w:b w:val="0"/>
        </w:rPr>
        <w:t>The final discipline uses structured insight modeling to connect the evidence to the investment decision. AI-assisted analysis can help organize interview themes and compare scenarios, while analysts must verify interpretations, assumptions, and source quality.</w:t>
      </w:r>
    </w:p>
    <w:p>
      <w:r>
        <w:rPr>
          <w:b w:val="0"/>
        </w:rPr>
        <w:t>Build conservative, base, and upside cases using explicit assumptions about reachable buyers, conversion, sales timing, repeat purchasing, price, costs, and working capital. Do not mechanically convert the percentage of interviewees expressing interest into a national sales forecast.</w:t>
      </w:r>
    </w:p>
    <w:p>
      <w:r>
        <w:rPr>
          <w:b w:val="0"/>
        </w:rPr>
        <w:t>Test which assumptions drive the result. If a longer approval cycle, lower price, or weaker repeat rate changes the investment case materially, that uncertainty should appear in the recommendation. Evaluate demand strength, channel readiness, economics, operational feasibility, and strategic fit separately.</w:t>
      </w:r>
    </w:p>
    <w:p>
      <w:r>
        <w:rPr>
          <w:b w:val="0"/>
        </w:rPr>
        <w:t>A high aggregate score must not obscure a critical failure. Strong customer interest cannot compensate for an unavailable approval pathway or a cost structure that leadership cannot sustain.</w:t>
      </w:r>
    </w:p>
    <w:p>
      <w:pPr>
        <w:pStyle w:val="Heading1"/>
      </w:pPr>
      <w:r>
        <w:rPr>
          <w:b w:val="0"/>
        </w:rPr>
        <w:t>What a Go Defer or Kill recommendation looks like</w:t>
      </w:r>
    </w:p>
    <w:p>
      <w:r>
        <w:rPr>
          <w:b w:val="0"/>
        </w:rPr>
        <w:t>A useful recommendation states the scope of the decision, supporting evidence, unresolved risks, and the next capital commitment.</w:t>
      </w:r>
    </w:p>
    <w:tbl>
      <w:tblPr>
        <w:tblStyle w:val="TableGrid"/>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trPr>
        <w:tc>
          <w:tcPr>
            <w:tcW w:type="dxa" w:w="3312"/>
            <w:shd w:fill="E7ECF0"/>
            <w:vAlign w:val="center"/>
            <w:tcMar>
              <w:top w:w="90" w:type="dxa"/>
              <w:bottom w:w="90" w:type="dxa"/>
              <w:left w:w="90" w:type="dxa"/>
              <w:right w:w="90" w:type="dxa"/>
            </w:tcMar>
          </w:tcPr>
          <w:p>
            <w:r>
              <w:rPr>
                <w:b/>
                <w:sz w:val="18"/>
              </w:rPr>
              <w:t>Recommendation</w:t>
            </w:r>
          </w:p>
        </w:tc>
        <w:tc>
          <w:tcPr>
            <w:tcW w:type="dxa" w:w="3312"/>
            <w:shd w:fill="E7ECF0"/>
            <w:vAlign w:val="center"/>
            <w:tcMar>
              <w:top w:w="90" w:type="dxa"/>
              <w:bottom w:w="90" w:type="dxa"/>
              <w:left w:w="90" w:type="dxa"/>
              <w:right w:w="90" w:type="dxa"/>
            </w:tcMar>
          </w:tcPr>
          <w:p>
            <w:r>
              <w:rPr>
                <w:b/>
                <w:sz w:val="18"/>
              </w:rPr>
              <w:t>Evidence required</w:t>
            </w:r>
          </w:p>
        </w:tc>
        <w:tc>
          <w:tcPr>
            <w:tcW w:type="dxa" w:w="3312"/>
            <w:shd w:fill="E7ECF0"/>
            <w:vAlign w:val="center"/>
            <w:tcMar>
              <w:top w:w="90" w:type="dxa"/>
              <w:bottom w:w="90" w:type="dxa"/>
              <w:left w:w="90" w:type="dxa"/>
              <w:right w:w="90" w:type="dxa"/>
            </w:tcMar>
          </w:tcPr>
          <w:p>
            <w:r>
              <w:rPr>
                <w:b/>
                <w:sz w:val="18"/>
              </w:rPr>
              <w:t>Leadership action</w:t>
            </w:r>
          </w:p>
        </w:tc>
      </w:tr>
      <w:tr>
        <w:tc>
          <w:tcPr>
            <w:tcW w:type="dxa" w:w="3312"/>
            <w:vAlign w:val="center"/>
            <w:tcMar>
              <w:top w:w="90" w:type="dxa"/>
              <w:bottom w:w="90" w:type="dxa"/>
              <w:left w:w="90" w:type="dxa"/>
              <w:right w:w="90" w:type="dxa"/>
            </w:tcMar>
          </w:tcPr>
          <w:p>
            <w:r>
              <w:rPr>
                <w:b w:val="0"/>
                <w:sz w:val="18"/>
              </w:rPr>
              <w:t>Go</w:t>
            </w:r>
          </w:p>
        </w:tc>
        <w:tc>
          <w:tcPr>
            <w:tcW w:type="dxa" w:w="3312"/>
            <w:vAlign w:val="center"/>
            <w:tcMar>
              <w:top w:w="90" w:type="dxa"/>
              <w:bottom w:w="90" w:type="dxa"/>
              <w:left w:w="90" w:type="dxa"/>
              <w:right w:w="90" w:type="dxa"/>
            </w:tcMar>
          </w:tcPr>
          <w:p>
            <w:r>
              <w:rPr>
                <w:b w:val="0"/>
                <w:sz w:val="18"/>
              </w:rPr>
              <w:t>A defined segment shows credible need, a workable buying process, viable economics, and feasible access</w:t>
            </w:r>
          </w:p>
        </w:tc>
        <w:tc>
          <w:tcPr>
            <w:tcW w:type="dxa" w:w="3312"/>
            <w:vAlign w:val="center"/>
            <w:tcMar>
              <w:top w:w="90" w:type="dxa"/>
              <w:bottom w:w="90" w:type="dxa"/>
              <w:left w:w="90" w:type="dxa"/>
              <w:right w:w="90" w:type="dxa"/>
            </w:tcMar>
          </w:tcPr>
          <w:p>
            <w:r>
              <w:rPr>
                <w:b w:val="0"/>
                <w:sz w:val="18"/>
              </w:rPr>
              <w:t>Approve a bounded entry or pilot with milestones and a spending limit</w:t>
            </w:r>
          </w:p>
        </w:tc>
      </w:tr>
      <w:tr>
        <w:tc>
          <w:tcPr>
            <w:tcW w:type="dxa" w:w="3312"/>
            <w:vAlign w:val="center"/>
            <w:tcMar>
              <w:top w:w="90" w:type="dxa"/>
              <w:bottom w:w="90" w:type="dxa"/>
              <w:left w:w="90" w:type="dxa"/>
              <w:right w:w="90" w:type="dxa"/>
            </w:tcMar>
          </w:tcPr>
          <w:p>
            <w:r>
              <w:rPr>
                <w:b w:val="0"/>
                <w:sz w:val="18"/>
              </w:rPr>
              <w:t>Defer</w:t>
            </w:r>
          </w:p>
        </w:tc>
        <w:tc>
          <w:tcPr>
            <w:tcW w:type="dxa" w:w="3312"/>
            <w:vAlign w:val="center"/>
            <w:tcMar>
              <w:top w:w="90" w:type="dxa"/>
              <w:bottom w:w="90" w:type="dxa"/>
              <w:left w:w="90" w:type="dxa"/>
              <w:right w:w="90" w:type="dxa"/>
            </w:tcMar>
          </w:tcPr>
          <w:p>
            <w:r>
              <w:rPr>
                <w:b w:val="0"/>
                <w:sz w:val="18"/>
              </w:rPr>
              <w:t>The opportunity remains plausible, but a material condition is unresolved or timing is unsuitable</w:t>
            </w:r>
          </w:p>
        </w:tc>
        <w:tc>
          <w:tcPr>
            <w:tcW w:type="dxa" w:w="3312"/>
            <w:vAlign w:val="center"/>
            <w:tcMar>
              <w:top w:w="90" w:type="dxa"/>
              <w:bottom w:w="90" w:type="dxa"/>
              <w:left w:w="90" w:type="dxa"/>
              <w:right w:w="90" w:type="dxa"/>
            </w:tcMar>
          </w:tcPr>
          <w:p>
            <w:r>
              <w:rPr>
                <w:b w:val="0"/>
                <w:sz w:val="18"/>
              </w:rPr>
              <w:t>Assign an owner, evidence requirement, review date, and limit on further spending</w:t>
            </w:r>
          </w:p>
        </w:tc>
      </w:tr>
      <w:tr>
        <w:tc>
          <w:tcPr>
            <w:tcW w:type="dxa" w:w="3312"/>
            <w:vAlign w:val="center"/>
            <w:tcMar>
              <w:top w:w="90" w:type="dxa"/>
              <w:bottom w:w="90" w:type="dxa"/>
              <w:left w:w="90" w:type="dxa"/>
              <w:right w:w="90" w:type="dxa"/>
            </w:tcMar>
          </w:tcPr>
          <w:p>
            <w:r>
              <w:rPr>
                <w:b w:val="0"/>
                <w:sz w:val="18"/>
              </w:rPr>
              <w:t>Kill</w:t>
            </w:r>
          </w:p>
        </w:tc>
        <w:tc>
          <w:tcPr>
            <w:tcW w:type="dxa" w:w="3312"/>
            <w:vAlign w:val="center"/>
            <w:tcMar>
              <w:top w:w="90" w:type="dxa"/>
              <w:bottom w:w="90" w:type="dxa"/>
              <w:left w:w="90" w:type="dxa"/>
              <w:right w:w="90" w:type="dxa"/>
            </w:tcMar>
          </w:tcPr>
          <w:p>
            <w:r>
              <w:rPr>
                <w:b w:val="0"/>
                <w:sz w:val="18"/>
              </w:rPr>
              <w:t>A critical assumption fails, making the proposed entry unattractive or infeasible</w:t>
            </w:r>
          </w:p>
        </w:tc>
        <w:tc>
          <w:tcPr>
            <w:tcW w:type="dxa" w:w="3312"/>
            <w:vAlign w:val="center"/>
            <w:tcMar>
              <w:top w:w="90" w:type="dxa"/>
              <w:bottom w:w="90" w:type="dxa"/>
              <w:left w:w="90" w:type="dxa"/>
              <w:right w:w="90" w:type="dxa"/>
            </w:tcMar>
          </w:tcPr>
          <w:p>
            <w:r>
              <w:rPr>
                <w:b w:val="0"/>
                <w:sz w:val="18"/>
              </w:rPr>
              <w:t>Stop the current proposition and document what would justify reconsideration</w:t>
            </w:r>
          </w:p>
        </w:tc>
      </w:tr>
    </w:tbl>
    <w:p>
      <w:r>
        <w:rPr>
          <w:b w:val="0"/>
        </w:rPr>
        <w:t>A Go decision should identify the initial customer segment, geography, offer, price assumptions, channel, and success criteria. It authorizes a defined commitment; it does not guarantee demand or justify immediate nationwide expansion.</w:t>
      </w:r>
    </w:p>
    <w:p>
      <w:r>
        <w:rPr>
          <w:b w:val="0"/>
        </w:rPr>
        <w:t>A Defer decision should specify what must change. For example, proceeding may depend on securing a qualified service partner, confirming buyer budget cycles, or resolving product localization. “Do more research” is insufficient without a question and decision date.</w:t>
      </w:r>
    </w:p>
    <w:p>
      <w:r>
        <w:rPr>
          <w:b w:val="0"/>
        </w:rPr>
        <w:t>A Kill decision can apply to the proposed product, segment, channel, or timing without rejecting the country permanently. If buyers only accept a price below viable cost and no credible alternative offer resolves that gap, stopping protects capital.</w:t>
      </w:r>
    </w:p>
    <w:p>
      <w:r>
        <w:rPr>
          <w:b w:val="0"/>
        </w:rPr>
        <w:t>For illustration, an equipment entrant might receive a Go for a limited set of industrial accounts after buyer interviews, price discussions, and service-partner validation support a pilot. The same entrant might receive Defer if purchasing interest depends on local servicing that remains unavailable. It might receive Kill if the required selling price cannot cover delivery and support. These are illustrative outcomes, not GreyRadius client results.</w:t>
      </w:r>
    </w:p>
    <w:p>
      <w:pPr>
        <w:pStyle w:val="Heading1"/>
      </w:pPr>
      <w:r>
        <w:rPr>
          <w:b w:val="0"/>
        </w:rPr>
        <w:t>Opportunity assessment and market research serve different decisions</w:t>
      </w:r>
    </w:p>
    <w:p>
      <w:r>
        <w:rPr>
          <w:b w:val="0"/>
        </w:rPr>
        <w:t>Market research investigates customers, categories, competitors, and behavior. An opportunity assessment combines that research with commercial feasibility and strategic priorities to determine whether, where, and under what conditions a business should invest.</w:t>
      </w:r>
    </w:p>
    <w:p>
      <w:r>
        <w:rPr>
          <w:b w:val="0"/>
        </w:rPr>
        <w:t>The distinction lies in the decision and deliverables. A research report can explain category growth and buyer preferences. An assessment should also identify the entry segment, test the route to revenue, evaluate investment requirements, and present a defensible recommendation.</w:t>
      </w:r>
    </w:p>
    <w:p>
      <w:r>
        <w:rPr>
          <w:b w:val="0"/>
        </w:rPr>
        <w:t>Opportunity assessment consulting is particularly useful when leadership faces competing country options, uncertain customer demand, conflicting distributor claims, or a substantial commitment to hiring, inventory, facilities, or partnerships. It makes the evidence relevant to the business’s ability to execute.</w:t>
      </w:r>
    </w:p>
    <w:p>
      <w:pPr>
        <w:pStyle w:val="Heading1"/>
      </w:pPr>
      <w:r>
        <w:rPr>
          <w:b w:val="0"/>
        </w:rPr>
        <w:t>How GreyRadius supports the market entry decision</w:t>
      </w:r>
    </w:p>
    <w:p>
      <w:r>
        <w:rPr>
          <w:b w:val="0"/>
        </w:rPr>
        <w:t>GreyRadius’s opportunity assessment service combines market intelligence, primary research, competitive benchmarking, and commercial feasibility analysis to help leadership prioritize growth opportunities. Its published approach includes customer insight analysis, opportunity scorecards, and scenario evaluation leading to a Go, Defer, or Kill recommendation.</w:t>
      </w:r>
    </w:p>
    <w:p>
      <w:r>
        <w:rPr>
          <w:b w:val="0"/>
        </w:rPr>
        <w:t>For a new-country assessment, the scope should establish which hypotheses need testing, which buyers and partners must be consulted, and what evidence leadership requires before committing capital. The resulting decision should make the initial opportunity, entry conditions, and remaining risks clear.</w:t>
      </w:r>
    </w:p>
    <w:p>
      <w:r>
        <w:rPr>
          <w:b w:val="0"/>
        </w:rPr>
        <w:t xml:space="preserve">If your team is deciding how to test a market before entering, start by defining the proposed customer, offer, and investment. Explore GreyRadius’s </w:t>
      </w:r>
      <w:hyperlink r:id="rId9">
        <w:r>
          <w:rPr>
            <w:color w:val="0563C1"/>
          </w:rPr>
          <w:t>Opportunity Assessment and Market Validation service</w:t>
        </w:r>
      </w:hyperlink>
      <w:r>
        <w:rPr>
          <w:b w:val="0"/>
        </w:rPr>
        <w:t xml:space="preserve"> to build an evidence-based entry decision. Once an opportunity is validated, our </w:t>
      </w:r>
      <w:hyperlink r:id="rId10">
        <w:r>
          <w:rPr>
            <w:color w:val="0563C1"/>
          </w:rPr>
          <w:t>Market Entry Strategy and Execution service</w:t>
        </w:r>
      </w:hyperlink>
      <w:r>
        <w:rPr>
          <w:b w:val="0"/>
        </w:rPr>
        <w:t xml:space="preserve"> supports the steps needed to turn that decision into commercial activity.</w:t>
      </w:r>
    </w:p>
    <w:p>
      <w:pPr>
        <w:pStyle w:val="Heading1"/>
      </w:pPr>
      <w:r>
        <w:rPr>
          <w:b w:val="0"/>
        </w:rPr>
        <w:t>Frequently asked questions</w:t>
      </w:r>
    </w:p>
    <w:p>
      <w:pPr>
        <w:pStyle w:val="Heading2"/>
      </w:pPr>
      <w:r>
        <w:rPr>
          <w:b w:val="0"/>
        </w:rPr>
        <w:t>How do you validate market demand before market entry</w:t>
      </w:r>
    </w:p>
    <w:p>
      <w:r>
        <w:rPr>
          <w:b w:val="0"/>
        </w:rPr>
        <w:t>Define a specific customer and offer, assess the reachable opportunity, benchmark competitors, interview buyers, test channel access and price acceptance, and evaluate commercial feasibility. Combine the findings in a Go, Defer, or Kill recommendation. Give more weight to documented buying behavior and concrete next steps than to general expressions of interest.</w:t>
      </w:r>
    </w:p>
    <w:p>
      <w:pPr>
        <w:pStyle w:val="Heading2"/>
      </w:pPr>
      <w:r>
        <w:rPr>
          <w:b w:val="0"/>
        </w:rPr>
        <w:t>What is an opportunity assessment</w:t>
      </w:r>
    </w:p>
    <w:p>
      <w:r>
        <w:rPr>
          <w:b w:val="0"/>
        </w:rPr>
        <w:t>An opportunity assessment evaluates whether a proposed market, product, customer segment, or business model deserves investment. It combines research with analysis of demand, competition, economics, feasibility, and strategic fit. The output should explain which opportunity to pursue, what conditions apply, and why the recommendation is justified.</w:t>
      </w:r>
    </w:p>
    <w:p>
      <w:pPr>
        <w:pStyle w:val="Heading2"/>
      </w:pPr>
      <w:r>
        <w:rPr>
          <w:b w:val="0"/>
        </w:rPr>
        <w:t>How many interviews do you need to validate a new market</w:t>
      </w:r>
    </w:p>
    <w:p>
      <w:r>
        <w:rPr>
          <w:b w:val="0"/>
        </w:rPr>
        <w:t>There is no fixed number. For planning, a narrow qualitative study might begin with 12–20 interviews in a reasonably similar buyer segment, then expand until decision-relevant themes are adequately understood. Different segments and buying roles need coverage. Interviews explain motivations and barriers; statistically reliable demand estimates require an appropriately designed quantitative study.</w:t>
      </w:r>
    </w:p>
    <w:p>
      <w:pPr>
        <w:pStyle w:val="Heading2"/>
      </w:pPr>
      <w:r>
        <w:rPr>
          <w:b w:val="0"/>
        </w:rPr>
        <w:t>What is the difference between opportunity assessment and market research</w:t>
      </w:r>
    </w:p>
    <w:p>
      <w:r>
        <w:rPr>
          <w:b w:val="0"/>
        </w:rPr>
        <w:t>Market research produces insight about a market and its customers. Opportunity assessment uses that insight alongside commercial and operational analysis to evaluate an investment decision. It connects market attractiveness to your specific offer, route to market, cost structure, resources, and timing.</w:t>
      </w:r>
    </w:p>
    <w:p>
      <w:pPr>
        <w:pStyle w:val="Heading1"/>
      </w:pPr>
      <w:r>
        <w:rPr>
          <w:b w:val="0"/>
        </w:rPr>
        <w:t>Sources and further reading</w:t>
      </w:r>
    </w:p>
    <w:p>
      <w:pPr>
        <w:pStyle w:val="ListBullet"/>
      </w:pPr>
      <w:r>
        <w:rPr>
          <w:b w:val="0"/>
        </w:rPr>
      </w:r>
      <w:hyperlink r:id="rId9">
        <w:r>
          <w:rPr>
            <w:color w:val="0563C1"/>
          </w:rPr>
          <w:t>GreyRadius Opportunity Assessment and Market Validation</w:t>
        </w:r>
      </w:hyperlink>
      <w:r>
        <w:rPr>
          <w:b w:val="0"/>
        </w:rPr>
      </w:r>
    </w:p>
    <w:p>
      <w:pPr>
        <w:pStyle w:val="ListBullet"/>
      </w:pPr>
      <w:r>
        <w:rPr>
          <w:b w:val="0"/>
        </w:rPr>
      </w:r>
      <w:hyperlink r:id="rId10">
        <w:r>
          <w:rPr>
            <w:color w:val="0563C1"/>
          </w:rPr>
          <w:t>GreyRadius Market Entry Strategy and Execution</w:t>
        </w:r>
      </w:hyperlink>
      <w:r>
        <w:rPr>
          <w:b w:val="0"/>
        </w:rPr>
      </w:r>
    </w:p>
    <w:p>
      <w:pPr>
        <w:pStyle w:val="ListBullet"/>
      </w:pPr>
      <w:r>
        <w:rPr>
          <w:b w:val="0"/>
        </w:rPr>
      </w:r>
      <w:hyperlink r:id="rId11">
        <w:r>
          <w:rPr>
            <w:color w:val="0563C1"/>
          </w:rPr>
          <w:t>Nielsen Norman Group Interview Sample Size</w:t>
        </w:r>
      </w:hyperlink>
      <w:r>
        <w:rPr>
          <w:b w:val="0"/>
        </w:rPr>
      </w:r>
    </w:p>
    <w:p>
      <w:pPr>
        <w:pStyle w:val="ListBullet"/>
      </w:pPr>
      <w:r>
        <w:rPr>
          <w:b w:val="0"/>
        </w:rPr>
      </w:r>
      <w:hyperlink r:id="rId12">
        <w:r>
          <w:rPr>
            <w:color w:val="0563C1"/>
          </w:rPr>
          <w:t>Qualtrics Pricing Research Methods</w:t>
        </w:r>
      </w:hyperlink>
      <w:r>
        <w:rPr>
          <w:b w:val="0"/>
        </w:rPr>
      </w:r>
    </w:p>
    <w:p>
      <w:pPr>
        <w:pStyle w:val="ListBullet"/>
      </w:pPr>
      <w:r>
        <w:rPr>
          <w:b w:val="0"/>
        </w:rPr>
      </w:r>
      <w:hyperlink r:id="rId13">
        <w:r>
          <w:rPr>
            <w:color w:val="0563C1"/>
          </w:rPr>
          <w:t>Qualtrics Gabor Granger Pricing Study</w:t>
        </w:r>
      </w:hyperlink>
      <w:r>
        <w:rPr>
          <w:b w:val="0"/>
        </w:rPr>
      </w:r>
    </w:p>
    <w:sectPr w:rsidR="00FC693F" w:rsidRPr="0006063C" w:rsidSect="00034616">
      <w:footerReference w:type="default"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GreyRadius Consulting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4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reyradius.com/services/opportunity-assessment.html" TargetMode="External"/><Relationship Id="rId10" Type="http://schemas.openxmlformats.org/officeDocument/2006/relationships/hyperlink" Target="https://greyradius.com/services/market-entry-execution.html" TargetMode="External"/><Relationship Id="rId11" Type="http://schemas.openxmlformats.org/officeDocument/2006/relationships/hyperlink" Target="https://www.nngroup.com/articles/interview-sample-size/" TargetMode="External"/><Relationship Id="rId12" Type="http://schemas.openxmlformats.org/officeDocument/2006/relationships/hyperlink" Target="https://www.qualtrics.com/articles/strategy-research/how-to-run-pricing-study/" TargetMode="External"/><Relationship Id="rId13" Type="http://schemas.openxmlformats.org/officeDocument/2006/relationships/hyperlink" Target="https://www.qualtrics.com/support/common-use-case/xm-solutions/pricing-study-gabor-granger/"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