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368F" w:rsidRDefault="00000000">
      <w:pPr>
        <w:spacing w:before="1440" w:after="80"/>
      </w:pPr>
      <w:r>
        <w:rPr>
          <w:b/>
          <w:bCs/>
          <w:color w:val="1B2A4A"/>
          <w:sz w:val="52"/>
          <w:szCs w:val="52"/>
        </w:rPr>
        <w:t>GREYRADIUS CONSULTING</w:t>
      </w:r>
    </w:p>
    <w:p w:rsidR="00A7368F" w:rsidRDefault="00000000">
      <w:pPr>
        <w:spacing w:after="80"/>
      </w:pPr>
      <w:r>
        <w:rPr>
          <w:color w:val="E8612C"/>
          <w:sz w:val="30"/>
          <w:szCs w:val="30"/>
        </w:rPr>
        <w:t>SEO Build Pack — Batch 5 (Pages 101–120)</w:t>
      </w:r>
    </w:p>
    <w:p w:rsidR="00A7368F" w:rsidRDefault="00000000">
      <w:pPr>
        <w:spacing w:after="600"/>
      </w:pPr>
      <w:r>
        <w:rPr>
          <w:i/>
          <w:iCs/>
          <w:color w:val="666666"/>
        </w:rPr>
        <w:t xml:space="preserve">20 pages full content · </w:t>
      </w:r>
      <w:proofErr w:type="spellStart"/>
      <w:r>
        <w:rPr>
          <w:i/>
          <w:iCs/>
          <w:color w:val="666666"/>
        </w:rPr>
        <w:t>Replit</w:t>
      </w:r>
      <w:proofErr w:type="spellEnd"/>
      <w:r>
        <w:rPr>
          <w:i/>
          <w:iCs/>
          <w:color w:val="666666"/>
        </w:rPr>
        <w:t xml:space="preserve"> prompt · JSON appendix | May 2026 | Confidential</w:t>
      </w:r>
    </w:p>
    <w:p w:rsidR="00A7368F" w:rsidRDefault="00A7368F">
      <w:pPr>
        <w:pBdr>
          <w:bottom w:val="single" w:sz="8" w:space="1" w:color="1B2A4A"/>
        </w:pBdr>
        <w:spacing w:before="200" w:after="200"/>
      </w:pPr>
    </w:p>
    <w:p w:rsidR="00A7368F" w:rsidRDefault="00000000">
      <w:pPr>
        <w:pStyle w:val="Heading1"/>
      </w:pPr>
      <w:r>
        <w:t>Batch 5 overview — pages 101 to 120</w:t>
      </w:r>
    </w:p>
    <w:p w:rsidR="00A7368F" w:rsidRDefault="00000000">
      <w:pPr>
        <w:spacing w:before="60" w:after="60"/>
      </w:pPr>
      <w:r>
        <w:rPr>
          <w:color w:val="222222"/>
        </w:rPr>
        <w:t>This document delivers the next 20 pages. Mix of Tier 2 sub-sectors and Tier 3 long-tail pages.</w:t>
      </w:r>
    </w:p>
    <w:p w:rsidR="00A7368F" w:rsidRDefault="00000000">
      <w:pPr>
        <w:spacing w:before="60" w:after="60"/>
      </w:pPr>
      <w:r>
        <w:rPr>
          <w:color w:val="222222"/>
        </w:rPr>
        <w:t>Pages in this batch:</w:t>
      </w:r>
    </w:p>
    <w:p w:rsidR="00A7368F" w:rsidRDefault="00000000">
      <w:pPr>
        <w:pStyle w:val="ListParagraph"/>
        <w:numPr>
          <w:ilvl w:val="0"/>
          <w:numId w:val="2"/>
        </w:numPr>
        <w:spacing w:before="40" w:after="40"/>
      </w:pPr>
      <w:r>
        <w:rPr>
          <w:color w:val="222222"/>
        </w:rPr>
        <w:t>101. [Tier 2] Smart grid and utility technology consulting</w:t>
      </w:r>
    </w:p>
    <w:p w:rsidR="00A7368F" w:rsidRDefault="00000000">
      <w:pPr>
        <w:pStyle w:val="ListParagraph"/>
        <w:numPr>
          <w:ilvl w:val="0"/>
          <w:numId w:val="2"/>
        </w:numPr>
        <w:spacing w:before="40" w:after="40"/>
      </w:pPr>
      <w:r>
        <w:rPr>
          <w:color w:val="222222"/>
        </w:rPr>
        <w:t>102. [Tier 3] Water technology market entry strategy</w:t>
      </w:r>
    </w:p>
    <w:p w:rsidR="00A7368F" w:rsidRDefault="00000000">
      <w:pPr>
        <w:pStyle w:val="ListParagraph"/>
        <w:numPr>
          <w:ilvl w:val="0"/>
          <w:numId w:val="2"/>
        </w:numPr>
        <w:spacing w:before="40" w:after="40"/>
      </w:pPr>
      <w:r>
        <w:rPr>
          <w:color w:val="222222"/>
        </w:rPr>
        <w:t>103. [Tier 3] Nanosatellite and small satellite market entry strategy</w:t>
      </w:r>
    </w:p>
    <w:p w:rsidR="00A7368F" w:rsidRDefault="00000000">
      <w:pPr>
        <w:pStyle w:val="ListParagraph"/>
        <w:numPr>
          <w:ilvl w:val="0"/>
          <w:numId w:val="2"/>
        </w:numPr>
        <w:spacing w:before="40" w:after="40"/>
      </w:pPr>
      <w:r>
        <w:rPr>
          <w:color w:val="222222"/>
        </w:rPr>
        <w:t>104. [Tier 3] Real estate tokenisation market entry strategy</w:t>
      </w:r>
    </w:p>
    <w:p w:rsidR="00A7368F" w:rsidRDefault="00000000">
      <w:pPr>
        <w:pStyle w:val="ListParagraph"/>
        <w:numPr>
          <w:ilvl w:val="0"/>
          <w:numId w:val="2"/>
        </w:numPr>
        <w:spacing w:before="40" w:after="40"/>
      </w:pPr>
      <w:r>
        <w:rPr>
          <w:color w:val="222222"/>
        </w:rPr>
        <w:t>105. [Tier 3] Education fintech and student finance market entry strategy</w:t>
      </w:r>
    </w:p>
    <w:p w:rsidR="00A7368F" w:rsidRDefault="00000000">
      <w:pPr>
        <w:pStyle w:val="ListParagraph"/>
        <w:numPr>
          <w:ilvl w:val="0"/>
          <w:numId w:val="2"/>
        </w:numPr>
        <w:spacing w:before="40" w:after="40"/>
      </w:pPr>
      <w:r>
        <w:rPr>
          <w:color w:val="222222"/>
        </w:rPr>
        <w:t>106. [Tier 3] Supply chain technology market entry strategy</w:t>
      </w:r>
    </w:p>
    <w:p w:rsidR="00A7368F" w:rsidRDefault="00000000">
      <w:pPr>
        <w:pStyle w:val="ListParagraph"/>
        <w:numPr>
          <w:ilvl w:val="0"/>
          <w:numId w:val="2"/>
        </w:numPr>
        <w:spacing w:before="40" w:after="40"/>
      </w:pPr>
      <w:r>
        <w:rPr>
          <w:color w:val="222222"/>
        </w:rPr>
        <w:t>107. [Tier 3] Reverse logistics and returns management market entry strategy</w:t>
      </w:r>
    </w:p>
    <w:p w:rsidR="00A7368F" w:rsidRDefault="00000000">
      <w:pPr>
        <w:pStyle w:val="ListParagraph"/>
        <w:numPr>
          <w:ilvl w:val="0"/>
          <w:numId w:val="2"/>
        </w:numPr>
        <w:spacing w:before="40" w:after="40"/>
      </w:pPr>
      <w:r>
        <w:rPr>
          <w:color w:val="222222"/>
        </w:rPr>
        <w:t>108. [Tier 3] Food delivery platform market entry strategy</w:t>
      </w:r>
    </w:p>
    <w:p w:rsidR="00A7368F" w:rsidRDefault="00000000">
      <w:pPr>
        <w:pStyle w:val="ListParagraph"/>
        <w:numPr>
          <w:ilvl w:val="0"/>
          <w:numId w:val="2"/>
        </w:numPr>
        <w:spacing w:before="40" w:after="40"/>
      </w:pPr>
      <w:r>
        <w:rPr>
          <w:color w:val="222222"/>
        </w:rPr>
        <w:t>109. [Tier 3] Telematics and fleet technology market entry strategy</w:t>
      </w:r>
    </w:p>
    <w:p w:rsidR="00A7368F" w:rsidRDefault="00000000">
      <w:pPr>
        <w:pStyle w:val="ListParagraph"/>
        <w:numPr>
          <w:ilvl w:val="0"/>
          <w:numId w:val="2"/>
        </w:numPr>
        <w:spacing w:before="40" w:after="40"/>
      </w:pPr>
      <w:r>
        <w:rPr>
          <w:color w:val="222222"/>
        </w:rPr>
        <w:t>110. [Tier 3] Carbon capture and storage market entry strategy</w:t>
      </w:r>
    </w:p>
    <w:p w:rsidR="00A7368F" w:rsidRDefault="00000000">
      <w:pPr>
        <w:pStyle w:val="ListParagraph"/>
        <w:numPr>
          <w:ilvl w:val="0"/>
          <w:numId w:val="2"/>
        </w:numPr>
        <w:spacing w:before="40" w:after="40"/>
      </w:pPr>
      <w:r>
        <w:rPr>
          <w:color w:val="222222"/>
        </w:rPr>
        <w:t>111. [Tier 3] Construction technology market entry strategy</w:t>
      </w:r>
    </w:p>
    <w:p w:rsidR="00A7368F" w:rsidRDefault="00000000">
      <w:pPr>
        <w:pStyle w:val="ListParagraph"/>
        <w:numPr>
          <w:ilvl w:val="0"/>
          <w:numId w:val="2"/>
        </w:numPr>
        <w:spacing w:before="40" w:after="40"/>
      </w:pPr>
      <w:r>
        <w:rPr>
          <w:color w:val="222222"/>
        </w:rPr>
        <w:t>112. [Tier 3] Smart manufacturing and Industry 4.0 market entry strategy</w:t>
      </w:r>
    </w:p>
    <w:p w:rsidR="00A7368F" w:rsidRDefault="00000000">
      <w:pPr>
        <w:pStyle w:val="ListParagraph"/>
        <w:numPr>
          <w:ilvl w:val="0"/>
          <w:numId w:val="2"/>
        </w:numPr>
        <w:spacing w:before="40" w:after="40"/>
      </w:pPr>
      <w:r>
        <w:rPr>
          <w:color w:val="222222"/>
        </w:rPr>
        <w:t xml:space="preserve">113. [Tier 2] </w:t>
      </w:r>
      <w:proofErr w:type="spellStart"/>
      <w:r>
        <w:rPr>
          <w:color w:val="222222"/>
        </w:rPr>
        <w:t>Wealthtech</w:t>
      </w:r>
      <w:proofErr w:type="spellEnd"/>
      <w:r>
        <w:rPr>
          <w:color w:val="222222"/>
        </w:rPr>
        <w:t xml:space="preserve"> and wealth management consulting</w:t>
      </w:r>
    </w:p>
    <w:p w:rsidR="00A7368F" w:rsidRDefault="00000000">
      <w:pPr>
        <w:pStyle w:val="ListParagraph"/>
        <w:numPr>
          <w:ilvl w:val="0"/>
          <w:numId w:val="2"/>
        </w:numPr>
        <w:spacing w:before="40" w:after="40"/>
      </w:pPr>
      <w:r>
        <w:rPr>
          <w:color w:val="222222"/>
        </w:rPr>
        <w:t>114. [Tier 2] Embedded finance and banking-as-a-service consulting</w:t>
      </w:r>
    </w:p>
    <w:p w:rsidR="00A7368F" w:rsidRDefault="00000000">
      <w:pPr>
        <w:pStyle w:val="ListParagraph"/>
        <w:numPr>
          <w:ilvl w:val="0"/>
          <w:numId w:val="2"/>
        </w:numPr>
        <w:spacing w:before="40" w:after="40"/>
      </w:pPr>
      <w:r>
        <w:rPr>
          <w:color w:val="222222"/>
        </w:rPr>
        <w:t>115. [Tier 2] Direct-to-consumer brand consulting</w:t>
      </w:r>
    </w:p>
    <w:p w:rsidR="00A7368F" w:rsidRDefault="00000000">
      <w:pPr>
        <w:pStyle w:val="ListParagraph"/>
        <w:numPr>
          <w:ilvl w:val="0"/>
          <w:numId w:val="2"/>
        </w:numPr>
        <w:spacing w:before="40" w:after="40"/>
      </w:pPr>
      <w:r>
        <w:rPr>
          <w:color w:val="222222"/>
        </w:rPr>
        <w:t>116. [Tier 2] Food and beverage market entry consulting</w:t>
      </w:r>
    </w:p>
    <w:p w:rsidR="00A7368F" w:rsidRDefault="00A7368F">
      <w:pPr>
        <w:pBdr>
          <w:bottom w:val="single" w:sz="8" w:space="1" w:color="1B2A4A"/>
        </w:pBdr>
        <w:spacing w:before="200" w:after="200"/>
      </w:pPr>
    </w:p>
    <w:p w:rsidR="00A7368F" w:rsidRDefault="00000000">
      <w:pPr>
        <w:pStyle w:val="Heading1"/>
      </w:pPr>
      <w:r>
        <w:t>Running total across all batches</w:t>
      </w:r>
    </w:p>
    <w:p w:rsidR="00A7368F" w:rsidRDefault="00000000">
      <w:pPr>
        <w:spacing w:before="60" w:after="60"/>
      </w:pPr>
      <w:r>
        <w:rPr>
          <w:color w:val="222222"/>
        </w:rPr>
        <w:t>Batch 1:   pages 1–15   (15 pages)</w:t>
      </w:r>
    </w:p>
    <w:p w:rsidR="00A7368F" w:rsidRDefault="00000000">
      <w:pPr>
        <w:spacing w:before="60" w:after="60"/>
      </w:pPr>
      <w:r>
        <w:rPr>
          <w:color w:val="222222"/>
        </w:rPr>
        <w:t>Batch 1B:  pages 16–40  (25 pages)</w:t>
      </w:r>
    </w:p>
    <w:p w:rsidR="00A7368F" w:rsidRDefault="00000000">
      <w:pPr>
        <w:spacing w:before="60" w:after="60"/>
      </w:pPr>
      <w:r>
        <w:rPr>
          <w:color w:val="222222"/>
        </w:rPr>
        <w:t>Batch 2:   pages 41–60  (20 pages)</w:t>
      </w:r>
    </w:p>
    <w:p w:rsidR="00A7368F" w:rsidRDefault="00000000">
      <w:pPr>
        <w:spacing w:before="60" w:after="60"/>
      </w:pPr>
      <w:r>
        <w:rPr>
          <w:color w:val="222222"/>
        </w:rPr>
        <w:t>Batch 3:   pages 61–80  (20 pages)</w:t>
      </w:r>
    </w:p>
    <w:p w:rsidR="00A7368F" w:rsidRDefault="00000000">
      <w:pPr>
        <w:spacing w:before="60" w:after="60"/>
      </w:pPr>
      <w:r>
        <w:rPr>
          <w:color w:val="222222"/>
        </w:rPr>
        <w:t>Batch 4:   pages 81–100 (20 pages)</w:t>
      </w:r>
    </w:p>
    <w:p w:rsidR="00A7368F" w:rsidRDefault="00000000">
      <w:pPr>
        <w:spacing w:before="60" w:after="60"/>
      </w:pPr>
      <w:r>
        <w:rPr>
          <w:color w:val="222222"/>
        </w:rPr>
        <w:t>Batch 5:   pages 101–120 (20 pages)</w:t>
      </w:r>
    </w:p>
    <w:p w:rsidR="00A7368F" w:rsidRDefault="00000000">
      <w:pPr>
        <w:spacing w:before="60" w:after="60"/>
      </w:pPr>
      <w:r>
        <w:rPr>
          <w:color w:val="222222"/>
        </w:rPr>
        <w:t xml:space="preserve">Total pages written and ready for </w:t>
      </w:r>
      <w:proofErr w:type="spellStart"/>
      <w:r>
        <w:rPr>
          <w:color w:val="222222"/>
        </w:rPr>
        <w:t>Replit</w:t>
      </w:r>
      <w:proofErr w:type="spellEnd"/>
      <w:r>
        <w:rPr>
          <w:color w:val="222222"/>
        </w:rPr>
        <w:t>: 120 pages</w:t>
      </w:r>
    </w:p>
    <w:p w:rsidR="00A7368F" w:rsidRDefault="00A7368F">
      <w:pPr>
        <w:pBdr>
          <w:bottom w:val="single" w:sz="8" w:space="1" w:color="1B2A4A"/>
        </w:pBdr>
        <w:spacing w:before="200" w:after="200"/>
      </w:pPr>
    </w:p>
    <w:p w:rsidR="00A7368F" w:rsidRDefault="00000000">
      <w:pPr>
        <w:pStyle w:val="Heading1"/>
      </w:pPr>
      <w:proofErr w:type="spellStart"/>
      <w:r>
        <w:lastRenderedPageBreak/>
        <w:t>Replit</w:t>
      </w:r>
      <w:proofErr w:type="spellEnd"/>
      <w:r>
        <w:t xml:space="preserve"> prompt — paste to build pages 101-120</w:t>
      </w:r>
    </w:p>
    <w:p w:rsidR="00A7368F" w:rsidRDefault="00000000">
      <w:pPr>
        <w:spacing w:before="60" w:after="60"/>
      </w:pPr>
      <w:r>
        <w:rPr>
          <w:i/>
          <w:iCs/>
          <w:color w:val="666666"/>
          <w:sz w:val="18"/>
          <w:szCs w:val="18"/>
        </w:rPr>
        <w:t xml:space="preserve">Paste into </w:t>
      </w:r>
      <w:proofErr w:type="spellStart"/>
      <w:r>
        <w:rPr>
          <w:i/>
          <w:iCs/>
          <w:color w:val="666666"/>
          <w:sz w:val="18"/>
          <w:szCs w:val="18"/>
        </w:rPr>
        <w:t>Replit</w:t>
      </w:r>
      <w:proofErr w:type="spellEnd"/>
      <w:r>
        <w:rPr>
          <w:i/>
          <w:iCs/>
          <w:color w:val="666666"/>
          <w:sz w:val="18"/>
          <w:szCs w:val="18"/>
        </w:rPr>
        <w:t xml:space="preserve"> AI. Template and all previous batches already exist.</w:t>
      </w:r>
    </w:p>
    <w:p w:rsidR="00A7368F" w:rsidRDefault="00A7368F">
      <w:pPr>
        <w:spacing w:before="80" w:after="80"/>
      </w:pP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You are adding Batch 5 industry pages to the GreyRadius website.</w:t>
      </w:r>
    </w:p>
    <w:p w:rsidR="00A7368F"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A7368F" w:rsidRDefault="00000000">
      <w:pPr>
        <w:shd w:val="clear" w:color="auto" w:fill="F0F0F0"/>
        <w:spacing w:before="14" w:after="14"/>
        <w:ind w:left="360"/>
      </w:pPr>
      <w:r>
        <w:rPr>
          <w:rFonts w:ascii="Courier New" w:eastAsia="Courier New" w:hAnsi="Courier New" w:cs="Courier New"/>
          <w:color w:val="1B2A4A"/>
          <w:sz w:val="16"/>
          <w:szCs w:val="16"/>
        </w:rPr>
        <w:t>All previous batches have already been built.</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1: Confirm data/industry-pages-batch5.json exists.</w:t>
      </w:r>
    </w:p>
    <w:p w:rsidR="00A7368F" w:rsidRDefault="00000000">
      <w:pPr>
        <w:shd w:val="clear" w:color="auto" w:fill="F0F0F0"/>
        <w:spacing w:before="14" w:after="14"/>
        <w:ind w:left="360"/>
      </w:pPr>
      <w:r>
        <w:rPr>
          <w:rFonts w:ascii="Courier New" w:eastAsia="Courier New" w:hAnsi="Courier New" w:cs="Courier New"/>
          <w:color w:val="1B2A4A"/>
          <w:sz w:val="16"/>
          <w:szCs w:val="16"/>
        </w:rPr>
        <w:t>If it does not exist, stop and tell me.</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2: For each entry, determine output path: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3: Replace ALL tokens using the same logic as</w:t>
      </w:r>
    </w:p>
    <w:p w:rsidR="00A7368F" w:rsidRDefault="00000000">
      <w:pPr>
        <w:shd w:val="clear" w:color="auto" w:fill="F0F0F0"/>
        <w:spacing w:before="14" w:after="14"/>
        <w:ind w:left="360"/>
      </w:pPr>
      <w:r>
        <w:rPr>
          <w:rFonts w:ascii="Courier New" w:eastAsia="Courier New" w:hAnsi="Courier New" w:cs="Courier New"/>
          <w:color w:val="1B2A4A"/>
          <w:sz w:val="16"/>
          <w:szCs w:val="16"/>
        </w:rPr>
        <w:t>previous batches. Batch 5 includes stat fields directly</w:t>
      </w:r>
    </w:p>
    <w:p w:rsidR="00A7368F" w:rsidRDefault="00000000">
      <w:pPr>
        <w:shd w:val="clear" w:color="auto" w:fill="F0F0F0"/>
        <w:spacing w:before="14" w:after="14"/>
        <w:ind w:left="360"/>
      </w:pPr>
      <w:r>
        <w:rPr>
          <w:rFonts w:ascii="Courier New" w:eastAsia="Courier New" w:hAnsi="Courier New" w:cs="Courier New"/>
          <w:color w:val="1B2A4A"/>
          <w:sz w:val="16"/>
          <w:szCs w:val="16"/>
        </w:rPr>
        <w:t>on page objects (stat1n, stat1l, stat1b etc) — use these.</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After all replacements, scan for remaining {{ }} tokens.</w:t>
      </w:r>
    </w:p>
    <w:p w:rsidR="00A7368F" w:rsidRDefault="00000000">
      <w:pPr>
        <w:shd w:val="clear" w:color="auto" w:fill="F0F0F0"/>
        <w:spacing w:before="14" w:after="14"/>
        <w:ind w:left="360"/>
      </w:pPr>
      <w:r>
        <w:rPr>
          <w:rFonts w:ascii="Courier New" w:eastAsia="Courier New" w:hAnsi="Courier New" w:cs="Courier New"/>
          <w:color w:val="1B2A4A"/>
          <w:sz w:val="16"/>
          <w:szCs w:val="16"/>
        </w:rPr>
        <w:t>Replace with empty string and log warnings.</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4: Write each file. Log: "Created: [path]"</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5: Add all new URLs to sitemap.xml.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 priority 0.8</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 priority 0.7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 not remove existing URLs.</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6: Update industries dropdown navigation.</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STEP 7: Output summary: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Total pages created (should be 20)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List of all paths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Token warnings count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Sitemap confirmation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Navigation confirmation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 Any failures</w:t>
      </w:r>
    </w:p>
    <w:p w:rsidR="00A7368F" w:rsidRDefault="00A7368F">
      <w:pPr>
        <w:shd w:val="clear" w:color="auto" w:fill="F0F0F0"/>
        <w:spacing w:before="14" w:after="14"/>
        <w:ind w:left="360"/>
      </w:pPr>
    </w:p>
    <w:p w:rsidR="00A7368F" w:rsidRDefault="00000000">
      <w:pPr>
        <w:shd w:val="clear" w:color="auto" w:fill="F0F0F0"/>
        <w:spacing w:before="14" w:after="14"/>
        <w:ind w:left="360"/>
      </w:pPr>
      <w:r>
        <w:rPr>
          <w:rFonts w:ascii="Courier New" w:eastAsia="Courier New" w:hAnsi="Courier New" w:cs="Courier New"/>
          <w:color w:val="1B2A4A"/>
          <w:sz w:val="16"/>
          <w:szCs w:val="16"/>
        </w:rPr>
        <w:t>DO NOT rebuild existing pages.</w:t>
      </w:r>
    </w:p>
    <w:p w:rsidR="00A7368F" w:rsidRDefault="00000000">
      <w:pPr>
        <w:shd w:val="clear" w:color="auto" w:fill="F0F0F0"/>
        <w:spacing w:before="14" w:after="14"/>
        <w:ind w:left="360"/>
      </w:pPr>
      <w:r>
        <w:rPr>
          <w:rFonts w:ascii="Courier New" w:eastAsia="Courier New" w:hAnsi="Courier New" w:cs="Courier New"/>
          <w:color w:val="1B2A4A"/>
          <w:sz w:val="16"/>
          <w:szCs w:val="16"/>
        </w:rPr>
        <w:t>DO NOT write generation scripts.</w:t>
      </w:r>
    </w:p>
    <w:p w:rsidR="00A7368F" w:rsidRDefault="00000000">
      <w:pPr>
        <w:shd w:val="clear" w:color="auto" w:fill="F0F0F0"/>
        <w:spacing w:before="14" w:after="14"/>
        <w:ind w:left="360"/>
      </w:pPr>
      <w:r>
        <w:rPr>
          <w:rFonts w:ascii="Courier New" w:eastAsia="Courier New" w:hAnsi="Courier New" w:cs="Courier New"/>
          <w:color w:val="1B2A4A"/>
          <w:sz w:val="16"/>
          <w:szCs w:val="16"/>
        </w:rPr>
        <w:t>Read JSON. Write files directly.</w:t>
      </w:r>
    </w:p>
    <w:p w:rsidR="00A7368F" w:rsidRDefault="00A7368F">
      <w:pPr>
        <w:shd w:val="clear" w:color="auto" w:fill="F0F0F0"/>
        <w:spacing w:before="14" w:after="14"/>
        <w:ind w:left="360"/>
      </w:pPr>
    </w:p>
    <w:p w:rsidR="00A7368F" w:rsidRDefault="00A7368F">
      <w:pPr>
        <w:pBdr>
          <w:bottom w:val="single" w:sz="8" w:space="1" w:color="1B2A4A"/>
        </w:pBdr>
        <w:spacing w:before="200" w:after="200"/>
      </w:pPr>
    </w:p>
    <w:p w:rsidR="00A7368F" w:rsidRDefault="00000000">
      <w:pPr>
        <w:pStyle w:val="Heading1"/>
      </w:pPr>
      <w:r>
        <w:t>JSON appendix — copy into data/industry-pages-batch5.json</w:t>
      </w:r>
    </w:p>
    <w:p w:rsidR="00A7368F" w:rsidRDefault="00000000">
      <w:pPr>
        <w:spacing w:before="60" w:after="60"/>
      </w:pPr>
      <w:r>
        <w:rPr>
          <w:i/>
          <w:iCs/>
          <w:color w:val="666666"/>
          <w:sz w:val="18"/>
          <w:szCs w:val="18"/>
        </w:rPr>
        <w:t>Copy the complete JSON array and save as data/industry-pages-batch5.json</w:t>
      </w:r>
    </w:p>
    <w:p w:rsidR="00A7368F" w:rsidRDefault="00A7368F">
      <w:pPr>
        <w:spacing w:before="80" w:after="40"/>
      </w:pPr>
    </w:p>
    <w:p w:rsidR="00A7368F" w:rsidRDefault="00000000">
      <w:pPr>
        <w:shd w:val="clear" w:color="auto" w:fill="F0F0F0"/>
        <w:spacing w:before="14" w:after="14"/>
        <w:ind w:left="360"/>
      </w:pPr>
      <w:r>
        <w:rPr>
          <w:rFonts w:ascii="Courier New" w:eastAsia="Courier New" w:hAnsi="Courier New" w:cs="Courier New"/>
          <w:color w:val="1B2A4A"/>
          <w:sz w:val="16"/>
          <w:szCs w:val="16"/>
        </w:rPr>
        <w: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"smart-grids",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"Smart Grid &amp; Utility Technology Consulting |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grid companies, utility technology providers, and energy management businesses with market entry strategy, GTM execution,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"h1": "Smart grid and utility technology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grid sensor to utility contract — strategy for smart grid businesses entering new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"Smart grids — digitally enabled electricity networks that optimise generation, distribution, and consumption in real time — are being deployed globally as energy systems integrate renewable energy, manage peak demand, and improve reliability. Smart meter companies, grid management software providers, demand response platforms, and energy storage system integrators are all evaluating new market entry opportunities as utility investment in grid modernisation accelerates. GreyRadius helps smart grid businesses validate utility and government buyer demand, navigate procurement processes,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"Grid modernisation investment is accelerating across the Gulf, South Asia, and Southeast Asia — driven by renewable energy integration requirements, rising peak demand, and utility reliability mandates. Saudi Arabia's grid modernisation programme, India's Smart Metering National Programme, and Southeast Asian utility digitalisation initiatives are all creating significant procurement opportunities in 2024–2028.",</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smart grid market is projected to reach $170B by 2028 — growing at 20% annually as renewable energy integration, EV charging load management, and utility efficiency mandates all drive grid technology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"Smart metering is the largest near-term smart grid deployment — India's 250 million smart meter procurement programme, Southeast Asian advanced metering infrastructure rollouts, and Gulf utility metering upgrades are all creating significant commercial opportunities.",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"Demand response platforms are growing at 25%+ annually — grid operators are paying commercial and industrial customers to reduce consumption during peak periods, creating a new revenue stream for demand response technology providers.",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"AI-powered grid management is transforming utility operations — predictive fault detection, automated load balancing, and real-time renewable integration optimisation are all achieving commercial deployment in advanced utility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"Utility procurement is conservative and relationship-driven — grid technology decisions involve regulatory approval, technical standards compliance, and long-term support obligations that extend procurement timelines to 2–4 years.",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"Interoperability with legacy grid infrastructure is complex — smart grid technologies must integrate with existing SCADA systems, protection relays, and metering infrastructure that varies by utility.",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 for smart grid deployment varies — different markets have different data privacy rules for smart meter data, different technical standards for grid equipment, and different regulatory approval requirements.",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"Cybersecurity requirements for grid technology are increasingly stringent — critical national infrastructure requirements create compliance obligations that increase product development and certification costs."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"Utility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utility companies and grid operators are actively procuring smart grid technology and what their technical standards and procurement requirements are.",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standards compliance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technical standards, equipment certification requirements, and regulatory approval processes for smart grid technology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smart metering </w:t>
      </w:r>
      <w:proofErr w:type="spellStart"/>
      <w:r>
        <w:rPr>
          <w:rFonts w:ascii="Courier New" w:eastAsia="Courier New" w:hAnsi="Courier New" w:cs="Courier New"/>
          <w:color w:val="1B2A4A"/>
          <w:sz w:val="16"/>
          <w:szCs w:val="16"/>
        </w:rPr>
        <w:t>opportunity|You</w:t>
      </w:r>
      <w:proofErr w:type="spellEnd"/>
      <w:r>
        <w:rPr>
          <w:rFonts w:ascii="Courier New" w:eastAsia="Courier New" w:hAnsi="Courier New" w:cs="Courier New"/>
          <w:color w:val="1B2A4A"/>
          <w:sz w:val="16"/>
          <w:szCs w:val="16"/>
        </w:rPr>
        <w:t xml:space="preserve"> need to map government smart metering programmes, grid modernisation tenders, and utility investment plans that create commercial opportunities for your technology.",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smart grid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smart meter, grid management software, or demand response platform and need a go-to-market strategy covering utility and government buyer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smart grid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utility procurement data and grid investment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smart grid companies are positioned and winning utility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utility and government demand for smart grid technology in a new market. Covers utility procurement manager and grid operator interviews, regulatory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smart grid investments. Covers utility deployment volume modelling, contract economics, regulatory compliance cost,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smart grid companies. Regulatory and standards certification pathway, utility buyer ICP, government programme identification, and first-utility-contract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smart grid technology companies. Utility outreach, government programme pipeline, and first-contract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smart grid ventures. Utility-procurement-validated market sizing, government programme narrative,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smart grids — from predictive fault detection and automated load balancing to renewable integration optimisation and demand response automation."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meter companies or also with grid management software and demand response platforms?|All three. We work with metering companies on market entry and government programme access, grid software companies on market entry and GTM, and demand response platforms on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smart grid markets does GreyRadius cover?|Gulf, South Asia, and Southeast Asia — markets with active government smart metering programmes and utility grid modernisation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smart grid market entry engagement take?|Typically 8–12 weeks given the complexity of utility procurement research and regulatory standards mapping.",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smart metering programme opportunities for smart grid companies?|Yes. Government programme mapping and procurement opportunity identification are part of our market entry service for smart grid companies."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"smart grid market entry, utility technology GTM strategy, smart meter consulting, grid management advisory, energy management market entry, smart grid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"$170B+",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smart grid market by 2028",</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renewable energy integration, EV load management, and utility efficiency mandates drive grid technology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smart grid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"Utility procurement managers, grid operators, and government energy programme officials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utility procurement mapping and government programme research delivers smart grid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"water-technology",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"Water Technology Market Entry Strategy | GreyRadius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water technology companies, desalination businesses, and water treatment providers with market entry strategy, GTM execution,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"Water technology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treatment plant to commercial contract — strategy for water technology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"Water scarcity and water quality challenges are creating one of the most urgent infrastructure investment requirements globally — with desalination plants, wastewater treatment facilities, water recycling systems, and smart water management platforms all seeing significant procurement interest from governments, utilities, and industrial operators. Water technology companies, desalination equipment suppliers, water analytics platforms, and water infrastructure operators are all evaluating new market entry opportunities as climate change intensifies water stress and governments prioritise water security. GreyRadius helps water technology businesses validate government and utility demand, assess project feasibility,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water scarcity is an existential infrastructure priority — Saudi Arabia, UAE, and Qatar all depend on desalination for over 90% of their drinking water and are investing significantly in desalination capacity expansion and efficiency improvement. India's Jal Jeevan Mission, Southeast Asian urban water infrastructure investment, and African water access programmes are all creating significant water technology procurement in 2024–2028.",</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water technology market is projected to reach $1T by 2030 — with desalination, wastewater reuse, and smart water management growing fastest driven by water scarcity and regulatory water quality requirements.",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"Desalination capacity is growing at 8% annually — with the Gulf, North Africa, and coastal South Asia driving the largest new installations as freshwater sources decline and population grows.",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"Wastewater reuse is becoming a strategic water source — Singapore's NEWater, Israel's agricultural reuse infrastructure, and Gulf industrial wastewater recycling are all driving wastewater treatment technology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"Smart water meters and leak detection are delivering significant efficiency gains — utilities deploying smart water management systems are reducing non-revenue water losses by 20–40%, creating compelling ROI for technology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water procurement is extremely complex — water infrastructure projects require environmental impact assessment, government ownership requirements, and multilateral development bank financing that creates multi-year procurement timelines.",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"Technology standards and regulatory approval for water treatment vary — drinking water quality standards, discharge regulations, and equipment certification requirements differ significantly across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"Water project financing is complex — large desalination and treatment projects require project finance structures with government offtake agreements and DFI participation that require specialised financing expertise.",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"Energy cost is the primary operational challenge for desalination — reverse osmosis desalination is energy-intensive and viable only in markets with affordable electricity or dedicated renewable power supply."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utility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government water procurement priorities, utility investment plans, and technology readiness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a desalination, treatment, or water recycling project and need a full feasibility study covering demand, technology options, energy cost, and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tender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map government water investment programmes, infrastructure tenders, and development bank-funded projects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water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water treatment technology, smart water platform, or water analytics product and need a go-to-market strategy covering utility and industrial buyer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water technology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water infrastructure company and need a pitch book grounded in government procurement data.",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water technology companies are positioned and winning government and utility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utility demand for water technology in a new market. Covers utility procurement manager and government water authority interviews, project pipeline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water infrastructure projects. Covers demand modelling, energy cost assessment, technology selection, and bankable financial projections for lenders and government partners.",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water technology companies. Regulatory pathway, government programme identification, utility and industrial buyer ICP, and first-contract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water technology platforms. Utility and government outreach, DFI programme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water technology ventures. Government-procurement-validated market sizing, project economics, and investor identification across infrastructure PE and DFI.",</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water technology — from predictive pipe failure detection and smart leak identification to automated treatment optimisation and water quality monitoring."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desalination equipment companies or also with smart water management and wastewater treatment companies?|All segments. We work with desalination, wastewater treatment, water recycling, and smart water management companies across market entry, feasibility,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water technology markets does GreyRadius cover?|Gulf, South Asia, Southeast Asia, and Africa — markets with the most acute water scarcity and largest government water infrastructure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water technology market entry engagement take?|Typically 8–12 weeks given the complexity of government procurement mapping and project feasibility assessment.",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DFI-funded water infrastructure projects for water technology companies?|Yes. Development finance institution programme mapping is part of our market entry service for water infrastructure companies."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"water technology market entry, desalination GTM strategy, water treatment consulting, water management advisory, water infrastructure market entry, smart water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water technology market by 2030",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"Desalination, wastewater reuse, and smart water management growing fastest driven by water scarcity and regulatory water quality requirements.",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water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"Utility procurement managers, government water authority officials, and infrastructure investors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"stat3n": "8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procurement mapping and project feasibility research delivers water technology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"nano-satellite",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"satellite-connectivity",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"Nanosatellite &amp; Small Satellite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nanosatellite companies, small satellite manufacturers, and CubeSat technology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"Nanosatellite and small satellite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CubeSat to commercial constellation — strategy for small satellite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"Nanosatellites and small satellites have democratised access to space — enabling universities,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and new space companies to deploy earth observation, connectivity, and scientific payloads at a fraction of traditional satellite costs. Nanosatellite manufacturers, small satellite constellation operators, CubeSat component suppliers, and small satellite launch service providers are all evaluating new market entry opportunities as launch costs fall and commercial applications multiply. GreyRadius helps small satellite businesses validate government and enterprise demand, navigate regulatory pathways,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"Launch cost reduction is making commercial small satellite constellations economically viable — SpaceX Transporter rideshare missions and dedicated small satellite launchers are enabling nanosatellite deployments for under $1M per satellite. Government space programmes in India, the Gulf, Southeast Asia, and Africa are all procuring nanosatellites for earth observation, disaster monitoring, and technology demonstration. The commercial windows for first-mover positioning are open now.",</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small satellite market is projected to reach $15B by 2030 — growing at 20% annually as commercial earth observation, IoT connectivity, and technology demonstration applications all scale.",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"Earth observation from small satellites is achieving sub-meter resolution — commercial image quality from nanosatellite constellations is now sufficient for agriculture monitoring, infrastructure inspection, and urban planning applications.",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defence procurement of small satellites is growing — national space agencies, defence ministries, and disaster management authorities are all procuring small satellites for strategic applications.",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"In-orbit servicing is creating new commercial opportunities — satellite refuelling, deorbiting, and maintenance services are emerging as a significant commercial segment as orbital debris becomes a regulatory constraint."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"Spectrum licensing and frequency coordination for small satellite constellations is complex — ITU coordination for multiple satellites requires significant time and regulatory expertise.",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"Launch scheduling and rideshare management is operationally challenging — small satellite operators must coordinate with launch providers months in advance with limited flexibility for schedule changes.",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"In-orbit reliability is difficult to guarantee — small satellites have limited redundancy and higher failure rates than large satellites, creating revenue risk for commercial constellation operators.",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"Market differentiation against well-funded constellation operators is challenging — competing against </w:t>
      </w:r>
      <w:proofErr w:type="spellStart"/>
      <w:r>
        <w:rPr>
          <w:rFonts w:ascii="Courier New" w:eastAsia="Courier New" w:hAnsi="Courier New" w:cs="Courier New"/>
          <w:color w:val="1B2A4A"/>
          <w:sz w:val="16"/>
          <w:szCs w:val="16"/>
        </w:rPr>
        <w:t>Starlink</w:t>
      </w:r>
      <w:proofErr w:type="spellEnd"/>
      <w:r>
        <w:rPr>
          <w:rFonts w:ascii="Courier New" w:eastAsia="Courier New" w:hAnsi="Courier New" w:cs="Courier New"/>
          <w:color w:val="1B2A4A"/>
          <w:sz w:val="16"/>
          <w:szCs w:val="16"/>
        </w:rPr>
        <w:t>, Planet Labs, and Spire requires clear application specialisation and customer focus."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enterprise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government agency and enterprise interest in your nanosatellite capability and what technical performance and price requirements they have.",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spectrum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spectrum coordination, orbital slot licensing, and national space regulatory requirements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 small satellite product or </w:t>
      </w:r>
      <w:proofErr w:type="spellStart"/>
      <w:r>
        <w:rPr>
          <w:rFonts w:ascii="Courier New" w:eastAsia="Courier New" w:hAnsi="Courier New" w:cs="Courier New"/>
          <w:color w:val="1B2A4A"/>
          <w:sz w:val="16"/>
          <w:szCs w:val="16"/>
        </w:rPr>
        <w:t>service|You</w:t>
      </w:r>
      <w:proofErr w:type="spellEnd"/>
      <w:r>
        <w:rPr>
          <w:rFonts w:ascii="Courier New" w:eastAsia="Courier New" w:hAnsi="Courier New" w:cs="Courier New"/>
          <w:color w:val="1B2A4A"/>
          <w:sz w:val="16"/>
          <w:szCs w:val="16"/>
        </w:rPr>
        <w:t xml:space="preserve"> have a nanosatellite, CubeSat component, or satellite data service and need a go-to-market strategy covering government and enterprise buyer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small satellite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government programme data, commercial demand analysis, and technology narrative.",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space programme </w:t>
      </w:r>
      <w:proofErr w:type="spellStart"/>
      <w:r>
        <w:rPr>
          <w:rFonts w:ascii="Courier New" w:eastAsia="Courier New" w:hAnsi="Courier New" w:cs="Courier New"/>
          <w:color w:val="1B2A4A"/>
          <w:sz w:val="16"/>
          <w:szCs w:val="16"/>
        </w:rPr>
        <w:t>partnership|You</w:t>
      </w:r>
      <w:proofErr w:type="spellEnd"/>
      <w:r>
        <w:rPr>
          <w:rFonts w:ascii="Courier New" w:eastAsia="Courier New" w:hAnsi="Courier New" w:cs="Courier New"/>
          <w:color w:val="1B2A4A"/>
          <w:sz w:val="16"/>
          <w:szCs w:val="16"/>
        </w:rPr>
        <w:t xml:space="preserve"> need to identify national space agencies, defence ministries, and government research organisations as anchor customers and partners.",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positioning|You</w:t>
      </w:r>
      <w:proofErr w:type="spellEnd"/>
      <w:r>
        <w:rPr>
          <w:rFonts w:ascii="Courier New" w:eastAsia="Courier New" w:hAnsi="Courier New" w:cs="Courier New"/>
          <w:color w:val="1B2A4A"/>
          <w:sz w:val="16"/>
          <w:szCs w:val="16"/>
        </w:rPr>
        <w:t xml:space="preserve"> need to understand how competing small satellite companies are positioned and differentiated in your target application segment."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government and enterprise demand for nanosatellite technology in a new market. Covers government agency interviews, enterprise application mapping, regulatory pathway assessment,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small satellite constellation investments. Covers satellite economics, launch cost, ground infrastructure, and bankable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small satellite companies. Regulatory pathway, government programme identification, enterprise buyer ICP, and first-contract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nanosatellite companies. Government agency outreach, enterprise buyer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small satellite ventures. Government-demand-validated market sizing, technology narrative, launch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satellite operations — from automated satellite health monitoring and anomaly detection to AI-powered earth observation analytics and constellation management."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nanosatellite manufacturers or also with satellite data analytics and CubeSat component companies?|All three. We work with manufacturers on fundraising and market entry, data analytics companies on GTM and market entry, and component suppliers on market entry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small satellite markets does GreyRadius focus on?|Gulf, Southeast Asia, South Asia, and Africa — markets with active government space programmes and growing demand for earth observation and connectivity applications.",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nanosatellite market entry engagement take?|Typically 8–12 weeks given the complexity of government buyer research and regulatory pathway mapping.",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space programme partnerships for small satellite companies?|Yes. Government space agency identification and initial commercial discussions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"nanosatellite market entry, small satellite GTM strategy, CubeSat consulting, small sat advisory, nanosatellite market strategy, small satellite business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small satellite market by 2030",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commercial earth observation, IoT connectivity, and technology demonstration applications all scale.",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satellite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space agency officials, defence procurement teams, and enterprise earth observation buyers — every engagement grounded in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commercial demand research delivers nanosatellite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"real-estate-tokenisation",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reit</w:t>
      </w:r>
      <w:proofErr w:type="spellEnd"/>
      <w:r>
        <w:rPr>
          <w:rFonts w:ascii="Courier New" w:eastAsia="Courier New" w:hAnsi="Courier New" w:cs="Courier New"/>
          <w:color w:val="1B2A4A"/>
          <w:sz w:val="16"/>
          <w:szCs w:val="16"/>
        </w:rPr>
        <w:t>-consulting",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"Real Estate Tokenisation &amp; Digital Asset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real estate tokenisation companies, property digital asset platforms, and blockchain real estate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"Real estate tokenisation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property title to digital token — strategy for real estate tokenisation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"Real estate tokenisation — the representation of property ownership through blockchain-based digital tokens — is creating new markets for fractional property investment, real estate liquidity, and digital property asset management. Real estate tokenisation platforms, property digital asset exchanges, blockchain title registry companies, and fractional investment platforms are all evaluating new market entry opportunities as regulatory frameworks for digital assets mature and institutional and retail investor interest in tokenised real assets grows. GreyRadius helps real estate tokenisation businesses validate investor demand, navigate regulatory requirements,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"Digital asset regulatory frameworks are maturing across key markets — Singapore's MAS digital asset framework, UAE's VARA and DIFC digital asset regulations, and Bahrain's crypto regulatory sandbox are all creating clear pathways for real estate tokenisation platforms. The platforms that establish regulatory compliance and first-mover institutional investor relationships in these markets in 2024–2027 will hold durable competitive positions.",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"Real estate tokenisation market is projected to reach $4T in tokenised asset value by 2030 — as blockchain infrastructure matures and institutional investors allocate to tokenised real estate as a liquidity-enhanced alternative to conventional real estate funds.",</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"Singapore and UAE are the most advanced real estate tokenisation regulatory environments — clear digital asset frameworks, active institutional investor communities, and international real estate investment flows make them the priority markets for tokenisation platform launch.",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"Fractional ownership demand is growing among retail investors — younger high-income investors who cannot afford whole property purchases are seeking fractional exposure to prime real estate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adoption of tokenised real assets is accelerating — asset managers and family offices are adding tokenised real estate to portfolios as a way to access illiquid property markets with improved liquidity characteristics."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real estate tokens varies — security token offering regulations, collective investment scheme rules, and property transfer legislation all interact in ways that require market-specific legal structuring.",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"Liquidity remains limited for most tokenised real estate — without deep secondary market trading, the liquidity premium that justifies tokenisation is not yet being realised by investors.",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"Property transfer and title registration on blockchain is not yet legally recognised in most markets — bridging digital token ownership and legal property title requires market-specific legal innovation.",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investor hesitancy around digital asset custody and regulatory compliance creates a slow adoption curve despite stated interest."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institutional and retail investor interest in tokenised real estate and what return, liquidity, and regulatory requirements they have.",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and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digital asset regulations, security token licensing requirements, and property transfer legislation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"Real estate asset sourcing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high-quality real estate assets and property owners willing to tokenise their assets as the supply side of your platform.",</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 real estate tokenisation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tokenisation platform and need a go-to-market strategy covering institutional investor and retail investor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tokenisation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investor demand data and tokenisation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real estate tokenisation platforms are positioned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investor demand for tokenised real estate in a new market. Covers institutional and retail investor interviews, regulatory framework mapping, competitive analysis,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tokenisation platform launches. Covers investor demand modelling, platform economics, regulatory compliance cost,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real estate tokenisation companies. Regulatory licensing pathway, asset sourcing strategy, investor ICP, and first-tokenisation or first-investor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tokenisation platforms. Institutional and retail investor outreach, property owner pipeline, and first-AUM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tokenisation ventures. Investor-demand-validated market sizing, regulatory narrative,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real estate tokenisation — from automated property valuation and token pricing to investor matching and secondary market liquidity management."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real estate tokenisation platforms or also with digital asset exchanges and blockchain title registry companies?|All three. We work with tokenisation platforms on market entry and GTM, exchanges on market entry and regulatory compliance, and title registry companies on market entry and government programme access.",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real estate tokenisation markets does GreyRadius cover?|Gulf, Southeast Asia, and Europe — markets with advanced digital asset regulatory frameworks and active institutional real estate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real estate tokenisation market entry engagement take?|Typically 8–12 weeks given the complexity of digital asset regulatory mapping and investor demand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digital asset licence applications for tokenisation companies?|We map the licensing requirements and help prepare market analysis components — formal applications are submitted by the company with their regulatory counsel."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"real estate tokenisation market entry, property digital asset GTM strategy, blockchain real estate consulting, tokenised property advisory, real estate token strategy, digital property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Europe",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"$4T+",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"Projected tokenised real estate value by 2030",</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"As blockchain infrastructure matures and institutional investors allocate to tokenised real assets for liquidity-enhanced real estate exposure.",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tokenisation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"Institutional investors, family offices, and property owners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framework mapping and investor demand research delivers real estate tokenisation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"ed-fintech",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"Education Fintech &amp; Student Finance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education fintech companies, student loan platforms, and school fee financing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"Education fintech and student finance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tuition fee to financial access — strategy for education fintech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"Education fintech — financial products and technology platforms serving the education sector — is addressing one of the most significant financial exclusion challenges globally. Student loan platforms, school fee financing companies, education savings platforms, teacher payroll technology providers, and education institution payment systems are all evaluating new market entry opportunities as the intersection of financial inclusion and education access creates significant commercial opportunities across Southeast Asia, South Asia, Africa, and the Gulf. GreyRadius helps education fintech businesses validate student, parent, and institution demand, navigate regulatory requirements,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"Rising education costs combined with limited access to formal student finance are creating significant demand for education fintech solutions across emerging markets. India's student loan market is growing at 15% annually with significant underserved demand. Southeast Asian parents are seeking affordable school fee financing options. Gulf governments are investing in education access programmes that create institutional education fintech demand.",</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education lending market exceeds $500B annually — with emerging market student finance growing at 15%+ as education costs rise and formal lending access improves.",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"Income share agreements and outcomes-based student finance are growing — students are increasingly willing to share future income in exchange for education financing that eliminates upfront cost barriers.",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"School fee financing is growing faster than student lending — parents paying private school fees in </w:t>
      </w:r>
      <w:proofErr w:type="spellStart"/>
      <w:r>
        <w:rPr>
          <w:rFonts w:ascii="Courier New" w:eastAsia="Courier New" w:hAnsi="Courier New" w:cs="Courier New"/>
          <w:color w:val="1B2A4A"/>
          <w:sz w:val="16"/>
          <w:szCs w:val="16"/>
        </w:rPr>
        <w:t>installments</w:t>
      </w:r>
      <w:proofErr w:type="spellEnd"/>
      <w:r>
        <w:rPr>
          <w:rFonts w:ascii="Courier New" w:eastAsia="Courier New" w:hAnsi="Courier New" w:cs="Courier New"/>
          <w:color w:val="1B2A4A"/>
          <w:sz w:val="16"/>
          <w:szCs w:val="16"/>
        </w:rPr>
        <w:t xml:space="preserve"> rather than upfront lump sums represent a significant addressable market in Southeast Asia and South Asia.",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"Education savings platforms with government co-contribution schemes are gaining traction — government-matched education savings for lower-income families are creating funded demand channels for education fintech platforms."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"Student lending credit risk is high without income or employment history — assessing creditworthiness for students and young graduates requires alternative data and income share agreement structures.",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"Education institution integration is required for school fee financing — effective school fee platforms must integrate with school administration systems and payment processes that vary by institution.",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education lending varies — student loans, income share agreements, and school fee financing face different consumer credit regulations in each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"Default risk management for student loans in emerging markets is complex — limited credit bureau data, informal employment, and migration patterns create loan collection challenges."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"Student and parent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student and parent willingness to use education financing products and what interest rate, term, and product feature requirements they have.",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"Education institution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approach schools, universities, and vocational training institutions as distribution channels for your education fintech product.",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lending licence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consumer credit licensing, student lending regulations, and income share agreement legal frameworks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education fintech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student loan, school fee financing, or education savings product and need a go-to-market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education fintech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education finance demand data and credit performance benchmarks.",</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education finance companies are positioned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student, parent, and institution demand for education fintech in a new market. Covers consumer surveys, institution interviews, regulatory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education fintech platform launches. Covers loan demand modelling, credit loss assumptions, institution partnership economics,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education fintech companies. Regulatory lending pathway, institution partnership development, student ICP, and first-loan-disbursement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education fintech platforms. Institution outreach, student community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education fintech ventures. Student-demand-validated market sizing, credit performance benchmarks,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education fintech — from alternative credit scoring and income prediction to personalised financial aid recommendation and automated repayment management."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student loan companies or also with school fee financing and education savings platforms?|All three. We work with student lenders on market entry and credit risk strategy, school fee financing companies on GTM and market entry, and education savings platforms on market entry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education fintech markets does GreyRadius cover?|Southeast Asia, South Asia, the Gulf, and Africa — markets with rising education costs and significant unmet demand for education finance.",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education fintech market entry engagement take?|Typically 6–10 weeks for student and institution demand research, regulatory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school and university distribution partners for education fintech companies?|Yes. Education institution identification and initial partnership conversations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"education fintech market entry, student finance GTM strategy, ed fintech consulting, student loan advisory, education lending market entry, school fee financing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education lending market annually",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in emerging markets as education costs rise and formal student finance access improves.",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ed-fintech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"Students, parents, school administrators, and financial aid officers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institution mapping and student demand research delivers education fintech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"supply-chain-tech",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"Supply Chain Technology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supply chain technology companies, TMS providers, and WMS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"Supply chain technology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software integration to enterprise contract — strategy for supply chain tech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"Supply chain technology — including transportation management systems, warehouse management platforms, supply chain visibility tools, procurement automation, and supply chain AI — is one of the fastest-growing enterprise software categories as companies invest in supply chain resilience after years of disruption. Supply chain technology companies are expanding into Southeast Asia, South Asia, and the Gulf as manufacturing investment, e-commerce growth, and supply chain diversification create significant demand for digital supply chain infrastructure. GreyRadius helps supply chain technology businesses validate enterprise demand,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"Supply chain technology adoption in Southeast Asia and South Asia is accelerating — post-pandemic supply chain disruption has convinced even traditionally conservative manufacturers and logistics operators to invest in visibility and optimisation technology. India's manufacturing expansion, Southeast Asia's supply chain diversification, and Gulf logistics hub ambitions are all creating specific supply chain technology demand in 2024–2027.",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"Global supply chain technology market is projected to reach $45B by 2027 — growing at 15% annually as enterprises invest in resilience, visibility, and automation following years of supply chain disruption.",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AI is growing at 30%+ annually — demand forecasting, inventory optimisation, and supplier risk management AI tools are achieving rapid enterprise adoption across manufacturing and retail.",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visibility platforms are growing fastest in emerging markets — manufacturers and logistics operators in Southeast Asia and South Asia are moving from spreadsheet-based tracking to real-time digital visibility.",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"ESG supply chain transparency is becoming an enterprise requirement — regulations and customer demands for supply chain carbon footprint data, supplier labour standards, and material traceability are creating new technology procurement demand."</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"ERP integration complexity is the primary implementation barrier — supply chain technology must integrate with SAP, Oracle, and other ERP systems that vary by enterprise, increasing implementation cost and risk.",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procurement for supply chain technology is conservative — large manufacturers and retailers require extensive proof of concept, security assessment, and reference customer validation before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requirements are significant — supply chain technology in Southeast Asia and South Asia must handle local languages, tax regulations, customs requirements, and carrier integrations that global platforms may not support.",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"SME adoption is limited by cost and implementation complexity — supply chain technology is often too expensive and complex for the small and medium manufacturers that represent the majority of production in emerging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manufacturers, retailers, and logistics operators are actively procuring supply chain technology and what their integration and feature requirements are.",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supply chain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TMS, WMS, visibility platform, or supply chain AI tool and need a go-to-market strategy covering enterprise buyer and systems integrator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and reseller channel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engage ERP implementation partners, logistics consultants, and industry-specific resellers as channel partners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supply chain 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enterprise demand data and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"Vertical market focus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which industry vertical — automotive, electronics, FMCG, or pharmaceutical — offers the best supply chain technology adoption economics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supply chain technology companies are positioned and winning enterprise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demand for supply chain technology in a new market. Covers supply chain director and operations buyer interviews, competitive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supply chain technology investments. Covers enterprise adoption modelling, implementation economics, revenue per client,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supply chain technology companies. Enterprise ICP definition, systems integrator channel development, and first-enterprise-contract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supply chain platforms. Enterprise outreach, SI partner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supply chain tech ventures. Enterprise-demand-validated market sizing, competitive moat analysis,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supply chains — from demand forecasting and inventory optimisation to supplier risk monitoring and automated procurement."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TMS companies or also with WMS, visibility, and supply chain AI platforms?|All segments. We work with TMS, WMS, supply chain visibility, procurement automation, and supply chain AI companies across market entry,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supply chain tech markets does GreyRadius cover?|Southeast Asia, South Asia, and the Gulf — markets with significant manufacturing investment and supply chain digitalisation demand.",</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supply chain technology market entry engagement take?|Typically 6–10 weeks for enterprise buyer research, competitive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systems integrator partners for supply chain technology companies?|Yes. SI and reseller partner identification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"supply chain technology market entry, TMS GTM strategy, WMS consulting, supply chain software advisory, supply chain tech market entry, logistics technology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"$45B+",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supply chain technology market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enterprises invest in resilience, visibility, and automation following years of supply chain disruption.",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supply chain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"Supply chain directors, logistics operations managers, and procurement heads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enterprise procurement mapping and competitive analysis delivers supply chain technology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"reverse-logistics",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"last-mile-delivery",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"Reverse Logistics &amp; Returns Management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reverse logistics companies, returns management platforms, and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"Reverse logistics and returns management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returned package to recovered value — strategy for reverse logistics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"Reverse logistics and returns management is one of the fastest-growing logistics segments globally — driven by e-commerce return rates of 20–30%, growing consumer expectations for easy returns, and the rise of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platforms that recover value from returned and used products. Returns management technology companies, reverse logistics operators,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platforms, and product refurbishment businesses are all evaluating new market entry opportunities as e-commerce growth makes returns management a strategic priority for retailers. GreyRadius helps reverse logistics businesses validate retailer and e-commerce demand,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"E-commerce return rates in Southeast Asia and South Asia are rising as consumers adopt online shopping habits from mature markets — returns management infrastructure is significantly underdeveloped relative to the volume of returns being generated. The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market in the Gulf is growing at 25%+ driven by high product replacement rates and growing consumer interest in sustainable consumption. The infrastructure being built now will serve these markets for decades.",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reverse logistics market is projected to reach $800B by 2027 — growing at 15% annually as e-commerce return volumes increase and retailers invest in returns management infrastructure to reduce costs.",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is growing at 20%+ annually — consumer </w:t>
      </w:r>
      <w:proofErr w:type="spellStart"/>
      <w:r>
        <w:rPr>
          <w:rFonts w:ascii="Courier New" w:eastAsia="Courier New" w:hAnsi="Courier New" w:cs="Courier New"/>
          <w:color w:val="1B2A4A"/>
          <w:sz w:val="16"/>
          <w:szCs w:val="16"/>
        </w:rPr>
        <w:t>secondhand</w:t>
      </w:r>
      <w:proofErr w:type="spellEnd"/>
      <w:r>
        <w:rPr>
          <w:rFonts w:ascii="Courier New" w:eastAsia="Courier New" w:hAnsi="Courier New" w:cs="Courier New"/>
          <w:color w:val="1B2A4A"/>
          <w:sz w:val="16"/>
          <w:szCs w:val="16"/>
        </w:rPr>
        <w:t xml:space="preserve"> markets for electronics, fashion, and home goods are growing significantly faster than new product markets, creating new platform and logistics opportunities.",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"Returns automation is the primary technology investment area — AI-powered returns processing, automated grading, and disposition optimisation are reducing the cost of returns processing and improving recovery rates.",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"Sustainability requirements are making returns management a corporate ESG priority — retailers are measuring and reporting the environmental impact of returns and investing in circular economy returns infrastructure."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"Returns infrastructure in emerging markets is severely underdeveloped — most e-commerce platforms in Southeast Asia and South Asia lack organised returns collection, processing, and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infrastructure.",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w:t>
      </w:r>
      <w:proofErr w:type="spellStart"/>
      <w:r>
        <w:rPr>
          <w:rFonts w:ascii="Courier New" w:eastAsia="Courier New" w:hAnsi="Courier New" w:cs="Courier New"/>
          <w:color w:val="1B2A4A"/>
          <w:sz w:val="16"/>
          <w:szCs w:val="16"/>
        </w:rPr>
        <w:t>secondhand</w:t>
      </w:r>
      <w:proofErr w:type="spellEnd"/>
      <w:r>
        <w:rPr>
          <w:rFonts w:ascii="Courier New" w:eastAsia="Courier New" w:hAnsi="Courier New" w:cs="Courier New"/>
          <w:color w:val="1B2A4A"/>
          <w:sz w:val="16"/>
          <w:szCs w:val="16"/>
        </w:rPr>
        <w:t xml:space="preserve"> products is limited in many markets — cultural attitudes toward used products vary significantly, affecting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 adoption and returns resale value recovery.",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"Logistics cost for low-value returns is uneconomical — the cost of collecting, processing, and reselling low-value returned items often exceeds recovery value, requiring automated triage and disposition to achieve viable economics.",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"Data standardisation for returned product condition assessment is limited — consistent grading and condition standards for returned products do not yet exist across most e-commerce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"Retailer and e-commerce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retailers and e-commerce companies are actively seeking reverse logistics solutions and what their returns volume, cost reduction, and recovery rate requirements are.",</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"Returns infrastructure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are evaluating a returns processing centre or reverse logistics network investment and need a full feasibility study covering volume, cost, and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 reverse logistics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returns management technology,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 or reverse logistics network and need a go-to-market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reverse logistics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e-commerce returns data and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evaluating the </w:t>
      </w:r>
      <w:proofErr w:type="spellStart"/>
      <w:r>
        <w:rPr>
          <w:rFonts w:ascii="Courier New" w:eastAsia="Courier New" w:hAnsi="Courier New" w:cs="Courier New"/>
          <w:color w:val="1B2A4A"/>
          <w:sz w:val="16"/>
          <w:szCs w:val="16"/>
        </w:rPr>
        <w:t>secondhand</w:t>
      </w:r>
      <w:proofErr w:type="spellEnd"/>
      <w:r>
        <w:rPr>
          <w:rFonts w:ascii="Courier New" w:eastAsia="Courier New" w:hAnsi="Courier New" w:cs="Courier New"/>
          <w:color w:val="1B2A4A"/>
          <w:sz w:val="16"/>
          <w:szCs w:val="16"/>
        </w:rPr>
        <w:t xml:space="preserve"> and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market and need consumer demand research, category analysis,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reverse logistics and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companies are positioned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retailer and e-commerce demand for reverse logistics in a new market. Covers retail operations and e-commerce interviews, returns volume analysis, competitive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reverse logistics investments. Covers returns volume modelling, processing cost, recovery rate analysis, and bankable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reverse logistics companies. Retailer ICP, returns processing network development, and first-retailer-contract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reverse logistics platforms. Retailer outreach, e-commerce platform pipeline, and first-returns-volume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reverse logistics ventures. Returns-volume-validated market sizing, unit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reverse logistics — from automated product grading and condition assessment to disposition optimisation and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pricing algorithms."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reverse logistics operators or also with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platforms and returns technology companies?|All three. We work with reverse logistics operators on market entry and feasibility,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platforms on GTM and market entry, and returns technology companies on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reverse logistics markets does GreyRadius cover?|Southeast Asia, South Asia, and the Gulf — markets with fast-growing e-commerce return volumes and underdeveloped returns infrastructure.",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reverse logistics market entry engagement take?|Typically 6–10 weeks for retailer demand research, competitive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retailer customers for reverse logistics companies?|Yes. Retailer identification and initial commercial conversations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"reverse logistics market entry, returns management GTM strategy, </w:t>
      </w:r>
      <w:proofErr w:type="spellStart"/>
      <w:r>
        <w:rPr>
          <w:rFonts w:ascii="Courier New" w:eastAsia="Courier New" w:hAnsi="Courier New" w:cs="Courier New"/>
          <w:color w:val="1B2A4A"/>
          <w:sz w:val="16"/>
          <w:szCs w:val="16"/>
        </w:rPr>
        <w:t>recommerce</w:t>
      </w:r>
      <w:proofErr w:type="spellEnd"/>
      <w:r>
        <w:rPr>
          <w:rFonts w:ascii="Courier New" w:eastAsia="Courier New" w:hAnsi="Courier New" w:cs="Courier New"/>
          <w:color w:val="1B2A4A"/>
          <w:sz w:val="16"/>
          <w:szCs w:val="16"/>
        </w:rPr>
        <w:t xml:space="preserve"> consulting, reverse supply chain advisory, returns platform strategy, reverse logistics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"$800B+",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reverse logistics market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e-commerce return volumes increase and retailers invest in returns management infrastructure.",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reverse logistics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"Retail operations managers, e-commerce heads, and logistics directors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retailer demand mapping and competitive analysis delivers reverse logistics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"food-delivery-platform",</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"last-mile-delivery",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"Food Delivery Platform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food delivery platforms, restaurant tech companies, and meal delivery businesses with market entry strategy, GTM execution,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"Food delivery platform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order to dominant platform — strategy for food delivery businesses entering new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"Food delivery platforms are among the most capital-intensive and competitively contested digital businesses in emerging markets — with Grab, </w:t>
      </w:r>
      <w:proofErr w:type="spellStart"/>
      <w:r>
        <w:rPr>
          <w:rFonts w:ascii="Courier New" w:eastAsia="Courier New" w:hAnsi="Courier New" w:cs="Courier New"/>
          <w:color w:val="1B2A4A"/>
          <w:sz w:val="16"/>
          <w:szCs w:val="16"/>
        </w:rPr>
        <w:t>Gojek</w:t>
      </w:r>
      <w:proofErr w:type="spellEnd"/>
      <w:r>
        <w:rPr>
          <w:rFonts w:ascii="Courier New" w:eastAsia="Courier New" w:hAnsi="Courier New" w:cs="Courier New"/>
          <w:color w:val="1B2A4A"/>
          <w:sz w:val="16"/>
          <w:szCs w:val="16"/>
        </w:rPr>
        <w:t xml:space="preserve">, Zomato, </w:t>
      </w:r>
      <w:proofErr w:type="spellStart"/>
      <w:r>
        <w:rPr>
          <w:rFonts w:ascii="Courier New" w:eastAsia="Courier New" w:hAnsi="Courier New" w:cs="Courier New"/>
          <w:color w:val="1B2A4A"/>
          <w:sz w:val="16"/>
          <w:szCs w:val="16"/>
        </w:rPr>
        <w:t>Swiggy</w:t>
      </w:r>
      <w:proofErr w:type="spellEnd"/>
      <w:r>
        <w:rPr>
          <w:rFonts w:ascii="Courier New" w:eastAsia="Courier New" w:hAnsi="Courier New" w:cs="Courier New"/>
          <w:color w:val="1B2A4A"/>
          <w:sz w:val="16"/>
          <w:szCs w:val="16"/>
        </w:rPr>
        <w:t xml:space="preserve">, and dozens of local operators competing for restaurant supply and consumer demand across Southeast Asia, South Asia, and the Gulf. Food delivery technology companies, restaurant aggregator platforms, dark kitchen operators, and food delivery infrastructure businesses are all evaluating new market entry opportunities as food delivery becomes a daily consumer habit in urban emerging markets. GreyRadius </w:t>
      </w:r>
      <w:r>
        <w:rPr>
          <w:rFonts w:ascii="Courier New" w:eastAsia="Courier New" w:hAnsi="Courier New" w:cs="Courier New"/>
          <w:color w:val="1B2A4A"/>
          <w:sz w:val="16"/>
          <w:szCs w:val="16"/>
        </w:rPr>
        <w:lastRenderedPageBreak/>
        <w:t>helps food delivery businesses validate market demand, assess operational feasibility,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"Food delivery penetration in secondary and tertiary cities across Southeast Asia and South Asia is still very low — the first food delivery platforms to establish restaurant supply and consumer demand in these underserved cities will hold structural advantages. The Gulf's food delivery market is growing at 20%+ driven by high urbanisation, heat climate, and high disposable income. New market entry windows exist for operators with the right localisation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"Food delivery market in Southeast Asia and South Asia is projected to reach $60B by 2027 — growing at 18% annually as mobile internet penetration and urban food culture drive ordering frequency.",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"Dark kitchen and cloud kitchen density is increasing — purpose-built food production facilities optimised for delivery orders are growing at 30%+ as operators recognise the unit economics advantages of delivery-only operations.",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"Subscription and loyalty programmes are becoming food delivery platform differentiators — monthly subscription models that offer free delivery and discounts are achieving significantly higher order frequency among subscriber cohorts.",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"Grocery and convenience delivery integration is expanding food delivery platform TAM — platforms that add grocery, pharmacy, and convenience delivery to food ordering are increasing session frequency and consumer stickiness."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"Unit economics in food delivery are extremely challenging — rider cost, restaurant commission compression, consumer discounting, and customer acquisition cost create a very difficult path to profitability that requires enormous scale.",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"Restaurant supply quality is the primary consumer satisfaction driver — platforms without sufficient high-quality restaurant supply will not retain consumers regardless of delivery speed or price.",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"Rider management and gig worker regulations are evolving — labour classification requirements, minimum earnings guarantees, and social protection mandates are increasing operational complexity and cost.",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super app platforms is intensifying — Grab and </w:t>
      </w:r>
      <w:proofErr w:type="spellStart"/>
      <w:r>
        <w:rPr>
          <w:rFonts w:ascii="Courier New" w:eastAsia="Courier New" w:hAnsi="Courier New" w:cs="Courier New"/>
          <w:color w:val="1B2A4A"/>
          <w:sz w:val="16"/>
          <w:szCs w:val="16"/>
        </w:rPr>
        <w:t>Gojek's</w:t>
      </w:r>
      <w:proofErr w:type="spellEnd"/>
      <w:r>
        <w:rPr>
          <w:rFonts w:ascii="Courier New" w:eastAsia="Courier New" w:hAnsi="Courier New" w:cs="Courier New"/>
          <w:color w:val="1B2A4A"/>
          <w:sz w:val="16"/>
          <w:szCs w:val="16"/>
        </w:rPr>
        <w:t xml:space="preserve"> food delivery services benefit from ecosystem cross-subsidisation that standalone food delivery platforms cannot match."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density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validate consumer ordering demand and restaurant density in a new city or market before committing to operational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"Restaurant supply and onboarding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plan for identifying, approaching, and onboarding the restaurant supply that makes your platform attractive to consumers.",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"Operational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are evaluating a new city or country for food delivery operations and need a full feasibility study covering demand, operational cost, and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food delivery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restaurant management system, delivery optimisation platform, or dark kitchen technology and need a go-to-market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food delivery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demand density data, unit economics, and a credible path to profitability.",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landscape|You</w:t>
      </w:r>
      <w:proofErr w:type="spellEnd"/>
      <w:r>
        <w:rPr>
          <w:rFonts w:ascii="Courier New" w:eastAsia="Courier New" w:hAnsi="Courier New" w:cs="Courier New"/>
          <w:color w:val="1B2A4A"/>
          <w:sz w:val="16"/>
          <w:szCs w:val="16"/>
        </w:rPr>
        <w:t xml:space="preserve"> need to understand how competing food delivery platforms are positioned and achieving operational scale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ordering demand and restaurant density for food delivery in a new market. Covers consumer surveys, restaurant owner interviews, competitive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food delivery investments. Covers order density modelling, rider economics, restaurant commission, and bankable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food delivery platforms. Restaurant supply strategy, rider acquisition plan, consumer acquisition channels, and first-operational-launch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food delivery technology companies. Restaurant and dark kitchen outreach, delivery platform pipeline, and first-integration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food delivery ventures. Demand-density-validated market sizing, unit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food delivery — from route optimisation and delivery time prediction to personalised restaurant recommendation and dynamic pricing."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food delivery platforms or also with dark kitchen operators and restaurant technology companies?|All three. We work with delivery platforms on market entry and feasibility, dark kitchen operators on market entry and operational strategy, and restaurant tech companies on GTM and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food delivery markets does GreyRadius cover?|Southeast Asia, South Asia, and the Gulf — markets with fast-growing food delivery consumer demand and significant restaurant industry digitalisation.",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food delivery market entry engagement take?|Typically 6–10 weeks for demand density research, restaurant supply mapping, and operational feasibility assessment.",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restaurant onboarding strategy for food delivery platforms?|Yes. Restaurant supply identification and initial onboarding strategy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"food delivery market entry, restaurant platform GTM strategy, meal delivery consulting, food tech advisory, food delivery strategy, restaurant aggregator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"Food delivery market in Southeast Asia and South Asia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18% annually as mobile internet penetration and urban food culture drive consumer ordering frequency.",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food delivery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restaurant owners, and logistics operations managers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demand density mapping and competitive analysis delivers food delivery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"telematics-fleet-tech",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"Telematics &amp; Fleet Technology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telematics companies, fleet management technology businesses, and vehicle tracking providers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"Telematics and fleet technology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GPS tracker to fleet intelligence — strategy for telematics businesses entering new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"Telematics and fleet management technology is transforming how commercial fleets are operated — with GPS tracking, driver behaviour monitoring, route optimisation, predictive maintenance, and fuel management all delivering measurable cost reductions and safety improvements. Telematics technology companies, fleet management platform providers, and connected vehicle data businesses are all evaluating new market entry opportunities as commercial fleet operators across Southeast Asia, South Asia, the Gulf, and Africa invest in digitalisation. GreyRadius helps telematics businesses validate fleet operator demand, navigate regulatory requirements,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"Commercial fleet electrification is creating new telematics requirements — EV fleet management requires battery health monitoring, range optimisation, and charging infrastructure management that traditional telematics platforms do not provide. Government fleet safety mandates in India, Southeast Asia, and the Gulf are creating regulatory-driven telematics demand. The telematics companies that establish fleet operator relationships in these markets in 2024–2027 will benefit from long-term contract value.",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fleet management market is projected to reach $55B by 2028 — growing at 12% annually as commercial fleet operators invest in safety, efficiency, and electrification management technology.",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"EV fleet telematics is growing at 35%+ annually — the specific requirements of electric commercial vehicle management are driving both standalone EV fleet platforms and traditional telematics companies to develop EV-specific capabilities.",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"Insurance telematics is growing at 20%+ in emerging markets — commercial vehicle insurers are mandating telematics installation for commercial policies, creating a regulatory-driven adoption channel for telematics providers.",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"AI-powered predictive maintenance is reducing fleet downtime — machine learning models trained on telematics data are predicting component failures days in advance, delivering significant cost savings that are driving fleet operator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"Hardware installation and maintenance creates operational complexity — physical device installation in commercial vehicles requires field service capability that new market entrants must build or partner to provide.",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"Data connectivity in rural areas is limited — commercial vehicles operating in areas with poor mobile network coverage generate incomplete telematics data that reduces platform value.",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"Fleet operator switching cost is low — telematics contracts are typically annual and fleet operators will switch providers for price savings, creating customer retention challenges.",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"Privacy regulation for driver monitoring data is evolving — driver location and behaviour data is subject to increasingly stringent privacy regulations that vary by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"Fleet operator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fleet operator segments — logistics, construction, public transport, field service — are actively investing in telematics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and certification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telematics device certification requirements and government fleet safety mandate specifications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 telematics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fleet tracking, driver monitoring, or connected vehicle platform and need a go-to-market strategy covering fleet operator and insurance company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telematics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fleet operator demand data and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"Insurance and channel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commercial vehicle insurers, fleet leasing companies, and automotive dealers as distribution partners for your telematics platform.",</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telematics companies are positioned and winning fleet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fleet operator demand for telematics in a new market. Covers fleet manager interviews, regulatory mandate mapping, competitive analysis,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telematics investments. Covers fleet operator adoption modelling, hardware and connectivity cost, revenue per vehicle,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telematics companies. Regulatory certification pathway, fleet operator ICP, insurance channel development, and first-fleet-contract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telematics platforms. Fleet operator outreach, insurance partner pipeline, and first-vehicle-connected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telematics ventures. Fleet-demand-validated market sizing, recurring revenue model,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telematics — from predictive maintenance and driver behaviour scoring to route optimisation and real-time fuel management."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hardware telematics companies or also with software fleet management and EV fleet platforms?|All three. We work with hardware telematics companies on market entry and distribution, software fleet management companies on GTM and market entry, and EV fleet platforms on market entry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telematics markets does GreyRadius cover?|Southeast Asia, South Asia, the Gulf, and Africa — markets with large commercial fleets and active government fleet safety programmes.",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telematics market entry engagement take?|Typically 6–10 weeks for fleet operator demand research, regulatory mapping, and channel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insurance distribution partners for telematics companies?|Yes. Commercial vehicle insurer identification and initial partnership conversations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"telematics market entry, fleet management GTM strategy, vehicle tracking consulting, fleet technology advisory, telematics market strategy, connected vehicle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"$55B+",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fleet management market by 2028",</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commercial fleet operators invest in safety, efficiency, and electrification management technology.",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telematics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"Fleet operations managers, logistics directors, and commercial vehicle insurers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fleet operator demand mapping and regulatory research delivers telematics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"carbon-capture",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"Carbon Capture &amp; Storage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carbon capture companies, CCS project developers, and CCUS technology businesses with market entry strategy,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"Carbon capture and storage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captured tonne to verified credit — strategy for carbon capture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"Carbon capture and storage is moving from an expensive climate solution of last resort to a commercially viable decarbonisation option — supported by government subsidies, carbon credit markets, and industrial emitter demand for emissions reduction pathways that do not require </w:t>
      </w:r>
      <w:r>
        <w:rPr>
          <w:rFonts w:ascii="Courier New" w:eastAsia="Courier New" w:hAnsi="Courier New" w:cs="Courier New"/>
          <w:color w:val="1B2A4A"/>
          <w:sz w:val="16"/>
          <w:szCs w:val="16"/>
        </w:rPr>
        <w:lastRenderedPageBreak/>
        <w:t>operational shutdown. Direct air capture companies, point-source carbon capture technology providers, carbon sequestration project developers, and utilisation technology companies are all evaluating new market entry opportunities as policy support and carbon pricing create commercial viability. GreyRadius helps CCS businesses validate government and industrial buyer demand, assess project feasibility, navigate regulatory frameworks,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"Government CCS support programmes are creating unprecedented commercial momentum — the US IRA Section 45Q tax credit, EU Innovation Fund CCS support, and Gulf CCS investment programmes are all creating project economics that were not viable without subsidy. The carbon capture infrastructure being deployed in 2024–2030 will define the industrial decarbonisation supply chains of the next thirty years.",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carbon capture capacity needs to reach 1 billion tonnes annually by 2050 to meet Paris Agreement targets — current installed capacity is 45 million tonnes, representing a 20x scale-up requirement that creates enormous investment opportunity.",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"Direct air capture costs are falling rapidly — leading DAC companies are targeting sub-$300 per tonne costs by 2030, approaching the range where voluntary carbon market demand and carbon tax exposure justify commercial deployment.",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"Industrial CCS hubs are emerging as the most capital-efficient deployment model — sharing transport and storage infrastructure across multiple industrial emitters reduces per-tonne CCS cost significantly versus standalone facilities.",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"Carbon capture and utilisation is creating product revenue streams — CO2 captured from industrial sources is being used to produce synthetic fuels, building materials, and food ingredients, creating additional revenue on top of carbon credit income."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"Carbon capture project costs are extremely high — CCS projects typically require $500M–$5B+ in capital investment with payback periods dependent on carbon credit prices that are volatile and uncertain.",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"CO2 storage site characterisation and permitting is complex — identifying suitable geological formations, assessing storage capacity, and obtaining injection permits requires 5–10 years of development work.",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"Long-term monitoring and liability requirements create regulatory complexity — governments require decades of post-injection monitoring and indefinite liability for CO2 leakage that creates legal and financial risk.",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"Carbon price uncertainty affects project economics — the commercial viability of CCS depends on sustained carbon prices or government subsidies that may not persist through multi-decade project lifecycles."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"CCS project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a carbon capture project and need a market assessment covering regulatory framework, government subsidy availability, carbon credit market demand, and geological storage opportunity.",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"Industrial emitter partnership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industrial emitters — cement, steel, oil and gas — that are actively seeking CCS partnerships to manage their decarbonisation obligations.",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understand CCS support programmes, tax credits, and infrastructure co-investment opportunities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CCS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carbon capture technology or utilisation system and need a go-to-market strategy covering industrial buyer and project developer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CCS company or project and need a pitch book grounded in carbon market demand data and project economics.",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CCS developers and technology companies are positioned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industrial emitter and government demand for carbon capture in a new market. Covers industrial buyer interviews, government programme mapping, carbon market assessment,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CCS project investments. Covers capture cost modelling, carbon credit revenue, government subsidy analysis, storage site assessment, and bankable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CCS technology companies. Government programme engagement, industrial buyer ICP, project developer identification, and first-commercial-partnership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CCS technology providers. Industrial emitter outreach, project developer pipeline, and first-technology-deployment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CCS ventures. Carbon-market-validated project economics, government support narrative, and investor identification across infrastructure and energy transition PE.",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carbon capture — from geological storage site assessment and injection optimisation to leak detection monitoring and automated MRV reporting."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"Does GreyRadius work with direct air capture companies or also with industrial point-source CCS and utilisation companies?|All segments. We work with DAC, industrial CCS, and carbon utilisation companies across market entry, feasibility,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carbon capture markets does GreyRadius cover?|Gulf, Europe, and South Asia — markets with active CCS policy support and significant industrial emitter demand.",</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CCS market entry engagement take?|Typically 8–12 weeks given the complexity of government programme mapping and industrial buyer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industrial emitter CCS partnership opportunities?|Yes. Industrial emitter identification and initial partnership discussions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"carbon capture market entry, CCS GTM strategy, carbon capture consulting, CCUS advisory, carbon capture strategy, carbon sequestration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Europe, South Asia",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"20x",</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"Scale-up required in carbon capture by 2050",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"From 45 million tonnes current capacity to 1 billion tonnes needed — creating enormous investment and commercial opportunity.",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CCS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"Industrial emitters, government energy officials, and carbon market specialists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industrial buyer research delivers CCS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-construction",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"Construction Technology Market Entry Strategy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construction technology companies,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businesses, and BIM software providers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"Construction technology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digital blueprint to construction contract — strategy for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"Construction technology — spanning BIM software, construction project management platforms, prefabricated construction technology, drone-based site monitoring, and AI-powered cost estimation — is transforming one of the world's least digitised industries. Construction technology companies are expanding into Southeast Asia, South Asia, the Gulf, and Africa as large-scale infrastructure investment, housing programmes, and real estate development create demand for more efficient construction delivery. GreyRadius helps construction technology businesses validate contractor and developer demand,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construction mega-projects — NEOM, Red Sea Project, and Vision 2030 infrastructure — are creating the world's most concentrated construction technology procurement opportunity. India's infrastructure investment programme and Southeast Asia's real estate development boom are both driving technology adoption among developers and contractors who are under pressure to deliver faster and more cost-effectively.",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construction technology market is projected to reach $25B by 2027 — growing at 15% annually as developer and contractor investment in productivity and quality improvement technology accelerates.",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"BIM adoption is becoming mandatory for government projects — several Gulf, European, and Southeast Asian governments are requiring BIM for public infrastructure and building projects, creating compliance-driven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"Prefabricated and modular construction is growing at 20%+ annually — factory-produced building components that reduce on-site construction time and improve quality are gaining adoption across affordable housing and commercial construction.",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"Drone-based site monitoring is achieving rapid adoption — daily site progress tracking, volume measurement, and safety monitoring from drones are delivering measurable project management improvements for construction contractors."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industry technology adoption is slow — the industry has low margins, high project risk, and conservative procurement decisions that create long enterprise sales cycles.",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"Technology integration with existing project management workflows is complex — construction technology must integrate with existing ERP, accounting, and project management systems used by contractors and developers.",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"Training and change management requirements are significant — construction technology adoption requires retraining site workers and project managers who have worked with manual processes for decades.",</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"Fragmented contractor market makes channel distribution challenging — reaching thousands of small and medium contractors requires either a large direct sales force or an effective channel partner network."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"Developer and contractor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developer and contractor segments are actively investing in construction technology and what efficiency and cost reduction requirements they have.",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mandate and compliance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BIM mandates, technology standards, and government procurement requirements for construction technology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construction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BIM platform, project management system, or construction AI tool and need a go-to-market strategy covering developer and contractor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construction market demand data and technology adoption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and reseller channel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construction consultants, engineering firms, and BIM service providers as channel partners.",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construction technology companies are positioned and winning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developer and contractor demand for construction technology in a new market. Covers procurement manager and project director interviews, government mandate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investments. Covers enterprise adoption modelling, implementation economics,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construction technology companies. Government mandate compliance pathway, developer and contractor ICP, channel partner identification, and first-contract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platforms. Developer and contractor outreach, SI partner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ventures. Market-demand-validated sizing, technology ROI narrative,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construction — from AI-powered cost estimation and schedule optimisation to automated progress monitoring and safety compliance checking."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BIM software companies or also with site monitoring and prefabricated construction technology companies?|All segments. We work across BIM, project management, drone monitoring, prefabrication, and construction AI on market entry,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construction technology markets does GreyRadius cover?|Gulf, Southeast Asia, South Asia, and Africa — markets with significant construction investment and growing developer technology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construction technology market entry engagement take?|Typically 6–10 weeks for developer and contractor demand research, regulatory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construction mandate opportunities for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companies?|Yes. Government BIM mandate and infrastructure programme mapping are part of our market entry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"construction technology market entry,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GTM strategy, BIM consulting, construction tech advisory,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market entry, building technology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"$25B+",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construction technology market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developer and contractor investment in productivity and quality technology accelerates.",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w:t>
      </w:r>
      <w:proofErr w:type="spellStart"/>
      <w:r>
        <w:rPr>
          <w:rFonts w:ascii="Courier New" w:eastAsia="Courier New" w:hAnsi="Courier New" w:cs="Courier New"/>
          <w:color w:val="1B2A4A"/>
          <w:sz w:val="16"/>
          <w:szCs w:val="16"/>
        </w:rPr>
        <w:t>contech</w:t>
      </w:r>
      <w:proofErr w:type="spellEnd"/>
      <w:r>
        <w:rPr>
          <w:rFonts w:ascii="Courier New" w:eastAsia="Courier New" w:hAnsi="Courier New" w:cs="Courier New"/>
          <w:color w:val="1B2A4A"/>
          <w:sz w:val="16"/>
          <w:szCs w:val="16"/>
        </w:rPr>
        <w:t xml:space="preserve">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"Project directors, procurement managers, and government infrastructure officials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developer and contractor demand mapping delivers construction technology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"smart-manufacturing",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"Smart Manufacturing &amp; Industry 4.0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"meta": "GreyRadius helps smart manufacturing companies, Industry 4.0 technology providers, and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platform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"Smart manufacturing and Industry 4.0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factory floor sensor to optimised production — strategy for smart manufacturing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"Smart manufacturing — the integration of IoT, AI, digital twins, robotics, and advanced analytics into industrial production — is transforming manufacturing competitiveness globally. Industry 4.0 technology companies,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platform providers, manufacturing execution system developers, and industrial AI companies are all evaluating new market entry opportunities as manufacturers in Southeast Asia, South Asia, the Gulf, and Africa invest in digital transformation to improve efficiency, quality, and resilience. GreyRadius helps smart manufacturing businesses validate industrial buyer demand,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"Manufacturing reshoring and supply chain diversification are driving massive new manufacturing investment across Southeast Asia and South Asia — India's PLI scheme, Vietnam's manufacturing expansion, and Indonesia's industrial development are all creating greenfield factory investments that are designed from the start with Industry 4.0 capabilities. The smart manufacturing technology companies that establish relationships with these new facilities in 2024–2028 will capture long-term technology deployment value.",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smart manufacturing market is projected to reach $570B by 2027 — growing at 20% annually as manufacturers invest in IoT, AI, and automation to reduce cost, improve quality, and manage supply chain risk.",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"Predictive maintenance is delivering the fastest ROI of all smart manufacturing investments — reducing unplanned downtime by 30–50% creates immediate and measurable financial impact that justifies technology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AI is growing at 40%+ annually — quality inspection AI, production scheduling optimisation, and demand forecasting are all achieving rapid adoption in automotive, electronics, and consumer goods manufacturing.",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"Energy management is becoming a smart manufacturing priority — manufacturers facing rising energy costs and ESG reporting requirements are deploying energy monitoring and optimisation technology as part of broader digital transformation."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"IT and OT integration complexity is the primary smart manufacturing implementation challenge — connecting legacy operational technology with modern IT systems requires specialised expertise and significant integration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cybersecurity is a growing concern — connecting factory floor equipment to networks creates cybersecurity vulnerabilities that conservative manufacturers are reluctant to expose.",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"ROI demonstration for smart manufacturing investments is complex — the benefits of predictive maintenance, quality improvement, and energy savings accrue over time and require data collection before quantification.",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"Skilled implementation and maintenance talent is scarce in many emerging markets — deploying and maintaining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and AI systems in factory environments requires expertise that is not widely available."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"Industrial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manufacturers are actively investing in Industry 4.0 technology and what their efficiency, quality, and cost reduction requirements are.",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smart manufacturing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platform, manufacturing AI, or production management system and need a go-to-market strategy covering manufacturer and systems integrator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and implementation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OT integrators, industrial automation companies, and engineering services firms as implementation partners.",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smart manufacturing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manufacturer demand data and Industry 4.0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PLI scheme </w:t>
      </w:r>
      <w:proofErr w:type="spellStart"/>
      <w:r>
        <w:rPr>
          <w:rFonts w:ascii="Courier New" w:eastAsia="Courier New" w:hAnsi="Courier New" w:cs="Courier New"/>
          <w:color w:val="1B2A4A"/>
          <w:sz w:val="16"/>
          <w:szCs w:val="16"/>
        </w:rPr>
        <w:t>opportunity|You</w:t>
      </w:r>
      <w:proofErr w:type="spellEnd"/>
      <w:r>
        <w:rPr>
          <w:rFonts w:ascii="Courier New" w:eastAsia="Courier New" w:hAnsi="Courier New" w:cs="Courier New"/>
          <w:color w:val="1B2A4A"/>
          <w:sz w:val="16"/>
          <w:szCs w:val="16"/>
        </w:rPr>
        <w:t xml:space="preserve"> need to map government manufacturing incentive programmes that fund smart manufacturing adoption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smart manufacturing companies are winning enterprise contracts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manufacturer demand for smart manufacturing technology in a new market. Covers plant manager and operations director interviews, government programme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smart manufacturing investments. Covers manufacturer adoption modelling, implementation economics, ROI analysis,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smart manufacturing companies. OT integrator channel development, manufacturer ICP, government programme identification, and first-factory-deployment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and manufacturing AI platforms. Manufacturer outreach, SI partner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smart manufacturing ventures. Manufacturer-demand-validated market sizing, Industry 4.0 narrative,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smart manufacturing — from predictive maintenance and quality vision inspection to production scheduling optimisation and energy management."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platform companies or also with manufacturing AI and MES providers?|All segments. We work with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manufacturing AI, digital twin, MES, and industrial analytics companies across market entry,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smart manufacturing markets does GreyRadius cover?|Southeast Asia, South Asia, and the Gulf — markets with significant new manufacturing investment and active Industry 4.0 government programmes.",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smart manufacturing market entry engagement take?|Typically 6–10 weeks for manufacturer demand research, government programme mapping, and channel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OT integrator partners for smart manufacturing companies?|Yes. OT integrator and industrial automation partner identification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"smart manufacturing market entry, Industry 4.0 GTM strategy, </w:t>
      </w:r>
      <w:proofErr w:type="spellStart"/>
      <w:r>
        <w:rPr>
          <w:rFonts w:ascii="Courier New" w:eastAsia="Courier New" w:hAnsi="Courier New" w:cs="Courier New"/>
          <w:color w:val="1B2A4A"/>
          <w:sz w:val="16"/>
          <w:szCs w:val="16"/>
        </w:rPr>
        <w:t>IIoT</w:t>
      </w:r>
      <w:proofErr w:type="spellEnd"/>
      <w:r>
        <w:rPr>
          <w:rFonts w:ascii="Courier New" w:eastAsia="Courier New" w:hAnsi="Courier New" w:cs="Courier New"/>
          <w:color w:val="1B2A4A"/>
          <w:sz w:val="16"/>
          <w:szCs w:val="16"/>
        </w:rPr>
        <w:t xml:space="preserve"> consulting, smart factory advisory, Industry 4.0 market entry, manufacturing digitalisation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"$570B+",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smart manufacturing market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manufacturers invest in IoT, AI, and automation to reduce cost, improve quality, and manage supply chain risk.",</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smart manufacturing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"Plant managers, operations directors, and manufacturing technology buyers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manufacturer demand mapping and OT integrator research delivers smart manufacturing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bfsi</w:t>
      </w:r>
      <w:proofErr w:type="spellEnd"/>
      <w:r>
        <w:rPr>
          <w:rFonts w:ascii="Courier New" w:eastAsia="Courier New" w:hAnsi="Courier New" w:cs="Courier New"/>
          <w:color w:val="1B2A4A"/>
          <w:sz w:val="16"/>
          <w:szCs w:val="16"/>
        </w:rPr>
        <w: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&amp; Wealth Management Consulting | Market Entry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companies, digital wealth platforms, and private banking technology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and wealth management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algorithm to managed portfolio — strategy for digital wealth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is transforming wealth management — making investment access, financial planning, and portfolio management available to a broader range of investors through technology-driven platforms. Robo-advisors, digital brokerages, fractional investment platforms, family office technology providers, and wealth management SaaS companies are all evaluating new market entry opportunities as rising incomes create new investor populations across Southeast Asia, South Asia, and the Gulf. GreyRadius helps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businesses validate investor demand, navigate regulatory licensing,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"Asia Pacific wealth creation is accelerating — Southeast Asia and South Asia are generating new millionaires and mass-affluent households at record rates. The Gulf's UHNW and HNW population is growing at 8%+ annually. Digital wealth platforms that establish early market positions in these markets will capture multi-decade asset management relationships. The regulatory frameworks enabling digital wealth platforms are now mature in Singapore, UAE, and key Southeast Asian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"Asia Pacific private wealth market exceeded $80T in 2023 — growing at 10% annually as technology sector wealth creation, family business succession, and professional class income growth create new investor demand.",</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"Digital wealth adoption is accelerating across mass-affluent segments — households with $100K–$1M in investable assets that were previously ignored by private banks are now the primary growth market for digital wealth platforms.",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"Islamic wealth management is the fastest-growing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segment in the Gulf and Southeast Asia — Shariah-compliant digital investment products are seeing 25%+ annual growth as Muslim investors seek digital access to halal portfolios.",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"Family office technology is growing at 20%+ annually — ultra-high-net-worth family offices are investing in technology platforms to consolidate multi-asset portfolio reporting, automate compliance, and improve investment analysis."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"Capital markets licensing requirements vary significantly across markets — investment advisory, fund management, and securities dealing licences have different capital requirements and approval timelines in each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"Trust and AUM threshold requirements delay revenue — digital wealth platforms typically need $50–100M AUM before they achieve sustainable unit economics, requiring 2–3 years of growth before profitability.",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private banks and traditional wealth managers is intense — incumbent wealth managers have deep client relationships and brand trust that digital platforms must overcome with superior technology and pricing.",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"Financial literacy varies across markets — investor education requirements differ significantly by market, affecting product complexity and customer acquisition approach."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that investors in your target market want digital wealth management and what products, features, and fee structures they will accept.",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investment adviser, fund management, and digital asset licensing requirements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"Product-market fit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have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 and need to validate whether your product, investment universe, and UX will win and retain investors in a new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investor demand data, AUM projections, and unit economics.",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banks, insurance companies, and fintech platforms as embedded distribution channels.",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platforms are positioned and acquiring AUM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investor demand for digital wealth management in a new market. Covers investor surveys, regulatory licensing mapping, competitive landscape,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 launches. Covers AUM modelling, revenue per client, regulatory cost, and investor-ready financial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companies. Regulatory licence pathway, investor ICP, distribution partner identification, and first-AUM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platforms. Investor acquisition execution, embedded distribution partner pipeline, and first-AUM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ventures. Investor-demand-validated AUM projections, unit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 from portfolio optimisation and risk assessment to personalised financial planning and automated rebalancing."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 xml:space="preserve">-advisors or also with digital brokerages and family office technology?|All three. We work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-advisors, digital brokerages, and family office technology platforms on market entry,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markets does GreyRadius cover?|Gulf, Southeast Asia, and South Asia — markets with growing mass-affluent and UHNW populations and active digital wealth platform regulation.",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 entry engagement take?|Typically 6–10 weeks for investor demand research, regulatory licensing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Islamic wealth management market entry?|Yes. We have experience in Islamic investment market entry across the Gulf and Southeast Asia including Shariah-compliant product structuring."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 entry, digital wealth GTM strategy, wealth management consulting,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 xml:space="preserve"> advisor advisory, wealth platform market entry, digital investment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"$80T+",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"Asia Pacific private wealth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10% annually as technology wealth creation and professional class income growth generate new investor demand across the region.",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"Investors, bank wealth managers, and financial product distributors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investor demand research and regulatory licensing mapping delivers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"embedded-finance",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bfsi</w:t>
      </w:r>
      <w:proofErr w:type="spellEnd"/>
      <w:r>
        <w:rPr>
          <w:rFonts w:ascii="Courier New" w:eastAsia="Courier New" w:hAnsi="Courier New" w:cs="Courier New"/>
          <w:color w:val="1B2A4A"/>
          <w:sz w:val="16"/>
          <w:szCs w:val="16"/>
        </w:rPr>
        <w:t>",</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"title": "Embedded Finance &amp; Banking-as-a-Service Consulting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embedded finance companies, BaaS providers, and financial API businesses with market entry strategy, GTM execution,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"Embedded finance and banking-as-a-service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financial API to platform revenue — strategy for embedded finance businesses.",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"Embedded finance — financial products distributed through non-financial platforms — is one of the most significant transformations in financial services. Lending, insurance, payments, and investment products embedded into e-commerce platforms, ride-hailing apps, enterprise software, and healthcare platforms are creating new distribution channels that bypass traditional financial institution relationships. Embedded finance technology providers, banking-as-a-service platforms, and financial API companies are all evaluating new market entry opportunities as platform businesses across Southeast Asia, South Asia, and the Gulf seek to monetise their user bases with embedded financial products. GreyRadius helps embedded finance businesses validate platform demand, navigate regulatory requirements, execute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Asia's super app ecosystem has demonstrated that embedded finance can achieve extraordinary scale — Grab Financial and </w:t>
      </w:r>
      <w:proofErr w:type="spellStart"/>
      <w:r>
        <w:rPr>
          <w:rFonts w:ascii="Courier New" w:eastAsia="Courier New" w:hAnsi="Courier New" w:cs="Courier New"/>
          <w:color w:val="1B2A4A"/>
          <w:sz w:val="16"/>
          <w:szCs w:val="16"/>
        </w:rPr>
        <w:t>GoPay</w:t>
      </w:r>
      <w:proofErr w:type="spellEnd"/>
      <w:r>
        <w:rPr>
          <w:rFonts w:ascii="Courier New" w:eastAsia="Courier New" w:hAnsi="Courier New" w:cs="Courier New"/>
          <w:color w:val="1B2A4A"/>
          <w:sz w:val="16"/>
          <w:szCs w:val="16"/>
        </w:rPr>
        <w:t xml:space="preserve"> have each built multi-billion-dollar embedded finance businesses on ride-hailing distribution. Platform businesses across the region are now seeking embedded finance partners. The embedded finance infrastructure companies that establish platform partnerships in 2024–2027 will power significant financial services volume.",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"Global embedded finance market is projected to reach $384B by 2029 — growing at 25% annually as non-financial platforms across e-commerce, ride-hailing, healthcare, and enterprise software all add embedded financial products.",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lending is growing fastest — </w:t>
      </w:r>
      <w:proofErr w:type="spellStart"/>
      <w:r>
        <w:rPr>
          <w:rFonts w:ascii="Courier New" w:eastAsia="Courier New" w:hAnsi="Courier New" w:cs="Courier New"/>
          <w:color w:val="1B2A4A"/>
          <w:sz w:val="16"/>
          <w:szCs w:val="16"/>
        </w:rPr>
        <w:t>buy</w:t>
      </w:r>
      <w:proofErr w:type="spellEnd"/>
      <w:r>
        <w:rPr>
          <w:rFonts w:ascii="Courier New" w:eastAsia="Courier New" w:hAnsi="Courier New" w:cs="Courier New"/>
          <w:color w:val="1B2A4A"/>
          <w:sz w:val="16"/>
          <w:szCs w:val="16"/>
        </w:rPr>
        <w:t>-now-pay-later, merchant cash advances, and invoice financing embedded in commerce and B2B platforms are the largest and fastest-growing embedded finance categories.",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"Banking-as-a-service is enabling non-bank embedded finance — BaaS providers that supply the regulated banking infrastructure enable non-financial platforms to offer current accounts, cards, and payments without obtaining bank licences.",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embedded finance is growing significantly — ERP, HR, and procurement software companies are embedding financial products including payroll cards, supplier financing, and expense management into their platforms."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embedded finance varies significantly — financial products distributed through non-financial platforms may require the platform to obtain financial licences, rely on partner licences, or operate under specific exemptions that differ by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"Platform partner acquisition is commercially complex — convincing non-financial platforms to embed financial products requires demonstrating user value, revenue sharing, and technical integration simplicity simultaneously.",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"Fraud risk in embedded finance is elevated — the indirect distribution of financial products through third-party platforms creates fraud and compliance monitoring challenges that traditional direct-to-consumer models do not face.",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embedded finance creates regulatory complexity — platforms operating across multiple markets with different financial regulations require market-specific product structuring and licensing."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"Platform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non-financial platforms are actively seeking embedded finance partnerships and what products and revenue sharing models they require.",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licence and partnership structure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embedded finance regulatory frameworks, BaaS licence requirements, and partnership structures that enable financial product distribution through platforms.",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embedded finance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BaaS infrastructure, lending API, or insurance API and need a go-to-market strategy covering platform partner acquisition.",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embedded finance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platform partner demand data and financial product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"Platform distribution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e-commerce platforms, super apps, and enterprise software companies as distribution partners for your embedded finance products.",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embedded finance providers are positioned and winning platform partnerships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platform demand for embedded finance in a new market. Covers platform product and partnership interviews, regulatory mapping, competitive analysis,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embedded finance platform investments. Covers platform partner demand modelling, take rate analysis, regulatory cost,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embedded finance companies. Regulatory pathway, platform partner ICP, and first-partnership or first-embedded-transaction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"Embedded GTM team for BaaS and embedded finance platforms. Platform outreach, enterprise software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embedded finance ventures. Platform-demand-validated market sizing, take rate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embedded finance — from real-time credit decisioning and fraud detection to personalised embedded product recommendation and automated compliance monitoring."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BaaS infrastructure companies or also with embedded lending and embedded insurance companies?|All segments. We work with BaaS providers on market entry and platform GTM, embedded lending companies on market entry and fundraising, and embedded insurance companies on GTM and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embedded finance markets does GreyRadius cover?|Southeast Asia, South Asia, and the Gulf — markets with large platform businesses seeking financial product monetisation.",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embedded finance market entry engagement take?|Typically 6–10 weeks for platform demand research, regulatory pathway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platform distribution partners for embedded finance companies?|Yes. Platform partner identification and initial commercial conversations are part of our GTM Execution-as-a-Service."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"embedded finance market entry, BaaS GTM strategy, embedded lending consulting, banking as a service advisory, embedded finance strategy, financial API market entry",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"$384B+",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embedded finance market by 2029",</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non-financial platforms across e-commerce, ride-hailing, healthcare, and enterprise software all add embedded financial products.",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embedded finance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"Platform product managers, fintech partnership heads, and enterprise software buyers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platform demand mapping and regulatory pathway research delivers embedded finance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"slug": "direct-to-consumer",</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"Direct-to-Consumer Brand Consulting | Market Entry &amp; GTM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DTC brands, D2C e-commerce businesses, and direct consumer companies with market entry strategy, GTM execution,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"Direct-to-consumer brand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digital sale to loyal customer base — strategy for DTC brands entering new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"Direct-to-consumer brands — companies that sell products directly to end consumers through digital channels without traditional retail intermediaries — have disrupted consumer goods across beauty, health, food, fashion, and home products. DTC brands, D2C e-commerce operators, and consumer subscription businesses are all evaluating new market entry opportunities across Southeast Asia, South Asia, and the Gulf as digital commerce infrastructure matures and consumers increasingly shop online. GreyRadius helps DTC businesses validate consumer demand, identify the right entry approach, execute digital GTM plans, and raise capital.",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Asia's e-commerce market is projected to exceed $300B by 2025 — and DTC brands with strong digital marketing and product differentiation are outpacing traditional retail brands in digital channel growth. India's D2C ecosystem has produced dozens of unicorns in beauty, health, and food — creating a proven playbook that international DTC brands can adapt for other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Asian D2C market is growing at 25% annually — driven by rising smartphone penetration, social commerce adoption, and growing consumer preference for brands that communicate directly and authentically.",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is the most effective DTC customer acquisition channel in Southeast Asia — TikTok Shop, Instagram Shopping, and WhatsApp commerce are delivering customer acquisition costs 3–5x lower than performance marketing.",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"Subscription D2C is achieving strong retention metrics — consumer health, beauty, and food subscription brands that deliver personalised product curation are achieving 60–70% annual retention rates.",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DTC is growing — Southeast Asian and South Asian consumers are purchasing directly from Korean, Japanese, and Western brands through international e-commerce, creating market entry opportunities without physical presence."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"Customer acquisition cost is rising across all digital channels — social media advertising, influencer marketing, and e-commerce platform advertising costs are all increasing as competition for consumer attention intensifies.",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"E-commerce platform dependence creates concentration risk — DTC brands that rely primarily on a single marketplace like Shopee, Lazada, or Amazon face algorithm changes and fee increases that can dramatically affect their economics.",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last-mile delivery quality is inconsistent — DTC brand reputation is directly affected by delivery experience that depends on third-party logistics partners the brand cannot fully control.",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"Product returns and fraud are elevated in emerging markets — COD payment preference, high return rates in fashion and beauty, and payment fraud create unit economics challenges for DTC brands."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interest in your DTC brand and product category in a new market including willingness to pay and preferred purchasing channels.",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"Market entry approach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determine the right DTC market entry approach — social commerce, marketplace, own website, or subscription — given your product category and investment capacity.",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"Digital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have a DTC brand and need a go-to-market plan covering social commerce, influencer partnerships, e-commerce platform, and performance marketing channels.",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DTC </w:t>
      </w:r>
      <w:proofErr w:type="spellStart"/>
      <w:r>
        <w:rPr>
          <w:rFonts w:ascii="Courier New" w:eastAsia="Courier New" w:hAnsi="Courier New" w:cs="Courier New"/>
          <w:color w:val="1B2A4A"/>
          <w:sz w:val="16"/>
          <w:szCs w:val="16"/>
        </w:rPr>
        <w:t>brand|You</w:t>
      </w:r>
      <w:proofErr w:type="spellEnd"/>
      <w:r>
        <w:rPr>
          <w:rFonts w:ascii="Courier New" w:eastAsia="Courier New" w:hAnsi="Courier New" w:cs="Courier New"/>
          <w:color w:val="1B2A4A"/>
          <w:sz w:val="16"/>
          <w:szCs w:val="16"/>
        </w:rPr>
        <w:t xml:space="preserve"> are raising investment and need a pitch book grounded in consumer demand data, customer economics, and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and product adaptation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how to adapt your DTC product, messaging, and customer experience for consumers in a new cultural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DTC brands are positioned and acquiring customers in your target category and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DTC brand in a new market. Covers consumer surveys, social media landscape mapping, competitive analysis,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DTC brand launches. Covers consumer demand modelling, customer acquisition economics, logistics cost,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DTC brands. Social commerce strategy, influencer network identification, e-commerce platform setup, and first-sale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DTC brands. Social commerce and influencer campaign execution, platform partner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DTC brand ventures. Consumer-demand-validated market sizing, customer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DTC — from personalised product recommendation and demand forecasting to churn prediction and automated customer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DTC beauty and health brands or also with DTC food, fashion, and home product companies?|All categories. We work with DTC brands across beauty, health supplements, food and beverage, fashion, and home products on market entry and GTM.",</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DTC markets does GreyRadius cover?|Southeast Asia, South Asia, and the Gulf — markets with the fastest-growing digital consumer bases and most active DTC brand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DTC market entry engagement take?|Typically 6–10 weeks for consumer demand research, social commerce landscape mapping, and market entry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social commerce influencer partners for DTC brands?|Yes. Influencer network identification and initial partnership conversations are part of our GTM service for DTC brands."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"DTC brand market entry, direct to consumer GTM strategy, D2C consulting, direct brand advisory, DTC market entry, direct consumer brand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"$300B+",</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e-commerce market by 2025",</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"DTC brands with strong digital marketing and product differentiation outpacing traditional retail brands in digital channel growth.",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DTC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social commerce managers, and e-commerce platform specialists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social commerce analysis delivers DTC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"food-beverage",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"title": "Food &amp; Beverage Market Entry Consulting | GreyRadius",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food and beverage brands, F&amp;B manufacturers, and restaurant chains with market entry strategy, GTM execution, feasibility studies,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"h1": "Food and beverage market entry consulting",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product to shelf and table — strategy for food and beverage businesses entering new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"hero": "The food and beverage industry is one of the most globally active market entry sectors — with international food brands, restaurant chains, food manufacturers, and F&amp;B technology companies all expanding across Southeast Asia, South Asia, the Gulf, and Africa. GreyRadius helps food and beverage businesses validate consumer demand, navigate regulatory requirements, identify distribution partners, execute GTM plans, and raise capital — grounded in primary research with consumers, retailers, food service operators, and regulators.",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Gulf's food import dependency and premium consumer segment create significant opportunity for international food brands. Southeast Asia's rapidly growing middle class is creating first-time buyers of packaged, branded, and premium food products. India's food market is one of the fastest-growing consumer markets in the world. The food brands establishing distribution infrastructure in these markets in 2024–2027 will hold durable positions.",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"Asia Pacific food and beverage market is projected to exceed $3T by 2027 — growing at 7% annually as rising incomes, urbanisation, and changing dietary preferences drive packaged and branded food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"Healthy and functional food is growing at 12%+ annually — consumers across Southeast Asia, South Asia, and the Gulf are increasingly seeking food products with clear health positioning and clean label formulations.",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"Foodservice recovery and expansion is accelerating — restaurant chains, quick service restaurants, and food delivery platforms are all expanding aggressively across emerging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"Private label food is growing — regional supermarket chains are developing their own food brands to compete with international brands on price and quality, creating competitive pressure for branded food companies."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"Food regulatory approval varies significantly — import licences, product registration, labelling requirements, and ingredient approval differ across markets and require market-specific compliance investment.",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"Cold chain infrastructure gaps limit product range — fresh, chilled, and frozen food products require cold chain distribution that is underdeveloped in secondary cities across most emerging markets.",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fragmentation is the primary GTM challenge — the mix of modern trade, traditional trade, and e-commerce channels differs by market and requires different distribution approaches.",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"Consumer taste preferences are highly local — food products that succeed in one market may require significant reformulation or flavour adaptation to achieve consumer acceptance in a new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"F&amp;B market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acceptance and purchase intent for your food product in a new market including taste preference, price sensitivity, and channel preference.",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import compliance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food product registration, import licensing, labelling requirements, and ingredient approval in your target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engage food distributors, retail chains, and food service operators as distribution partners in a new market.",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"GTM for a food or beverage </w:t>
      </w:r>
      <w:proofErr w:type="spellStart"/>
      <w:r>
        <w:rPr>
          <w:rFonts w:ascii="Courier New" w:eastAsia="Courier New" w:hAnsi="Courier New" w:cs="Courier New"/>
          <w:color w:val="1B2A4A"/>
          <w:sz w:val="16"/>
          <w:szCs w:val="16"/>
        </w:rPr>
        <w:t>brand|You</w:t>
      </w:r>
      <w:proofErr w:type="spellEnd"/>
      <w:r>
        <w:rPr>
          <w:rFonts w:ascii="Courier New" w:eastAsia="Courier New" w:hAnsi="Courier New" w:cs="Courier New"/>
          <w:color w:val="1B2A4A"/>
          <w:sz w:val="16"/>
          <w:szCs w:val="16"/>
        </w:rPr>
        <w:t xml:space="preserve"> have a food product and need a go-to-market strategy covering retail distribution, food service, and e-commerce channels.",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food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consumer demand data and food market sizing.",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"Food service and restaurant chain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have a restaurant or food service brand and need a market entry strategy covering franchise, joint venture, or direct operations approaches."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food and beverage products in a new market. Covers consumer taste surveys, retailer interviews, regulatory mapping, and a Go/Defer/Kill recommendation.",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F&amp;B brand launches and restaurant chain investments. Covers demand modelling, distribution economics, regulatory cost, and investor-ready projections.",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food brands and restaurant chains. Regulatory pathway, distributor identification, retail and food service channel development, and first-distribution milestone.",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F&amp;B brands. Retailer and food service outreach, distribution pipeline, and first-revenue milestone tracking.",</w:t>
      </w:r>
    </w:p>
    <w:p w:rsidR="00A7368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food ventures. Consumer-demand-validated market sizing, distribution economics, and investor identification.",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food and beverage — from demand forecasting and inventory optimisation to personalised nutrition recommendation and supply chain traceability."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packaged food brands or also with fresh food, restaurant chains, and food service companies?|All segments. We work with packaged food, fresh food, restaurant chains, and food service companies across market entry, GTM, and fundraising.",</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"What F&amp;B markets does GreyRadius cover?|Gulf, Southeast Asia, South Asia, and Africa — markets with the fastest-growing food consumer bases.",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F&amp;B market entry engagement take?|Typically 6–10 weeks for consumer research, regulatory mapping, and distribution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food distributors and retail chain buyers for F&amp;B brands?|Yes. Distributor and retailer identification and initial commercial conversations are part of our market entry execution service."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"keywords": "food beverage market entry, F&amp;B GTM strategy, food brand consulting, restaurant market entry, food distribution advisory, F&amp;B market strategy",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"stat1n": "$3T+",</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"stat1l": "Asia Pacific food and beverage market by 2027",</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7% annually as rising incomes, urbanisation, and changing dietary preferences drive packaged and branded food adoption.",</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F&amp;B mandate",</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retailers, food service operators, and food safety regulators — every engagement grounded in direct primary research.",</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research and distribution mapping delivers F&amp;B market entry strategies efficiently."</w:t>
      </w:r>
    </w:p>
    <w:p w:rsidR="00A7368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A7368F" w:rsidRDefault="00000000">
      <w:pPr>
        <w:shd w:val="clear" w:color="auto" w:fill="F0F0F0"/>
        <w:spacing w:before="14" w:after="14"/>
        <w:ind w:left="360"/>
      </w:pPr>
      <w:r>
        <w:rPr>
          <w:rFonts w:ascii="Courier New" w:eastAsia="Courier New" w:hAnsi="Courier New" w:cs="Courier New"/>
          <w:color w:val="1B2A4A"/>
          <w:sz w:val="16"/>
          <w:szCs w:val="16"/>
        </w:rPr>
        <w:t>]</w:t>
      </w:r>
    </w:p>
    <w:p w:rsidR="00A7368F" w:rsidRDefault="00A7368F">
      <w:pPr>
        <w:pBdr>
          <w:bottom w:val="single" w:sz="8" w:space="1" w:color="1B2A4A"/>
        </w:pBdr>
        <w:spacing w:before="200" w:after="200"/>
      </w:pPr>
    </w:p>
    <w:p w:rsidR="00A7368F" w:rsidRDefault="00000000">
      <w:pPr>
        <w:pStyle w:val="Heading1"/>
      </w:pPr>
      <w:r>
        <w:t>Next: Batch 6 (pages 121-140)</w:t>
      </w:r>
    </w:p>
    <w:p w:rsidR="00A7368F" w:rsidRDefault="00000000">
      <w:pPr>
        <w:spacing w:before="60" w:after="60"/>
      </w:pPr>
      <w:r>
        <w:rPr>
          <w:color w:val="222222"/>
        </w:rPr>
        <w:t>Batch 6 will cover the next 20 pages including:</w:t>
      </w:r>
    </w:p>
    <w:p w:rsidR="00A7368F" w:rsidRDefault="00000000">
      <w:pPr>
        <w:pStyle w:val="ListParagraph"/>
        <w:numPr>
          <w:ilvl w:val="0"/>
          <w:numId w:val="2"/>
        </w:numPr>
        <w:spacing w:before="40" w:after="40"/>
      </w:pPr>
      <w:r>
        <w:rPr>
          <w:color w:val="222222"/>
        </w:rPr>
        <w:t xml:space="preserve">Tier 2 completions: HR Technology, Aerospace &amp; Defense, Higher Education, Medical Tourism, F&amp;B Chains, Data &amp; Analytics, Capital Markets, </w:t>
      </w:r>
      <w:proofErr w:type="spellStart"/>
      <w:r>
        <w:rPr>
          <w:color w:val="222222"/>
        </w:rPr>
        <w:t>Wealthtech</w:t>
      </w:r>
      <w:proofErr w:type="spellEnd"/>
      <w:r>
        <w:rPr>
          <w:color w:val="222222"/>
        </w:rPr>
        <w:t xml:space="preserve"> (remaining), Oil &amp; Gas</w:t>
      </w:r>
    </w:p>
    <w:p w:rsidR="00A7368F" w:rsidRDefault="00000000">
      <w:pPr>
        <w:pStyle w:val="ListParagraph"/>
        <w:numPr>
          <w:ilvl w:val="0"/>
          <w:numId w:val="2"/>
        </w:numPr>
        <w:spacing w:before="40" w:after="40"/>
      </w:pPr>
      <w:r>
        <w:rPr>
          <w:color w:val="222222"/>
        </w:rPr>
        <w:t>Tier 3 additions: Hydrogen Infrastructure, Nuclear SMR, Biofuels/SAF, Smart Home IoT, EdTech Upskilling, Silver Economy Part 2, Genomics Precision Medicine, Franchise Market Entry, B2B Marketplace Part 2, Gig Economy Part 2</w:t>
      </w:r>
    </w:p>
    <w:p w:rsidR="00A7368F" w:rsidRDefault="00000000">
      <w:pPr>
        <w:spacing w:before="400"/>
      </w:pPr>
      <w:r>
        <w:rPr>
          <w:i/>
          <w:iCs/>
          <w:color w:val="666666"/>
          <w:sz w:val="16"/>
          <w:szCs w:val="16"/>
        </w:rPr>
        <w:t>GreyRadius Consulting | SEO Build Pack Batch 5 | May 2026 | Confidential</w:t>
      </w:r>
    </w:p>
    <w:sectPr w:rsidR="00A736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E506D"/>
    <w:multiLevelType w:val="hybridMultilevel"/>
    <w:tmpl w:val="5BB47248"/>
    <w:lvl w:ilvl="0" w:tplc="ABD81492">
      <w:start w:val="1"/>
      <w:numFmt w:val="bullet"/>
      <w:lvlText w:val="•"/>
      <w:lvlJc w:val="left"/>
      <w:pPr>
        <w:ind w:left="720" w:hanging="360"/>
      </w:pPr>
    </w:lvl>
    <w:lvl w:ilvl="1" w:tplc="AD9CD37C">
      <w:numFmt w:val="decimal"/>
      <w:lvlText w:val=""/>
      <w:lvlJc w:val="left"/>
    </w:lvl>
    <w:lvl w:ilvl="2" w:tplc="B6488DA4">
      <w:numFmt w:val="decimal"/>
      <w:lvlText w:val=""/>
      <w:lvlJc w:val="left"/>
    </w:lvl>
    <w:lvl w:ilvl="3" w:tplc="2EF2848A">
      <w:numFmt w:val="decimal"/>
      <w:lvlText w:val=""/>
      <w:lvlJc w:val="left"/>
    </w:lvl>
    <w:lvl w:ilvl="4" w:tplc="19367E2A">
      <w:numFmt w:val="decimal"/>
      <w:lvlText w:val=""/>
      <w:lvlJc w:val="left"/>
    </w:lvl>
    <w:lvl w:ilvl="5" w:tplc="A894DF42">
      <w:numFmt w:val="decimal"/>
      <w:lvlText w:val=""/>
      <w:lvlJc w:val="left"/>
    </w:lvl>
    <w:lvl w:ilvl="6" w:tplc="AB7C2080">
      <w:numFmt w:val="decimal"/>
      <w:lvlText w:val=""/>
      <w:lvlJc w:val="left"/>
    </w:lvl>
    <w:lvl w:ilvl="7" w:tplc="43B4A88A">
      <w:numFmt w:val="decimal"/>
      <w:lvlText w:val=""/>
      <w:lvlJc w:val="left"/>
    </w:lvl>
    <w:lvl w:ilvl="8" w:tplc="6792B7E4">
      <w:numFmt w:val="decimal"/>
      <w:lvlText w:val=""/>
      <w:lvlJc w:val="left"/>
    </w:lvl>
  </w:abstractNum>
  <w:abstractNum w:abstractNumId="1" w15:restartNumberingAfterBreak="0">
    <w:nsid w:val="6F8921C0"/>
    <w:multiLevelType w:val="hybridMultilevel"/>
    <w:tmpl w:val="DDAA49AE"/>
    <w:lvl w:ilvl="0" w:tplc="0468810A">
      <w:start w:val="1"/>
      <w:numFmt w:val="bullet"/>
      <w:lvlText w:val="●"/>
      <w:lvlJc w:val="left"/>
      <w:pPr>
        <w:ind w:left="720" w:hanging="360"/>
      </w:pPr>
    </w:lvl>
    <w:lvl w:ilvl="1" w:tplc="FAB8EF26">
      <w:start w:val="1"/>
      <w:numFmt w:val="bullet"/>
      <w:lvlText w:val="○"/>
      <w:lvlJc w:val="left"/>
      <w:pPr>
        <w:ind w:left="1440" w:hanging="360"/>
      </w:pPr>
    </w:lvl>
    <w:lvl w:ilvl="2" w:tplc="32A44B4C">
      <w:start w:val="1"/>
      <w:numFmt w:val="bullet"/>
      <w:lvlText w:val="■"/>
      <w:lvlJc w:val="left"/>
      <w:pPr>
        <w:ind w:left="2160" w:hanging="360"/>
      </w:pPr>
    </w:lvl>
    <w:lvl w:ilvl="3" w:tplc="01FA3B90">
      <w:start w:val="1"/>
      <w:numFmt w:val="bullet"/>
      <w:lvlText w:val="●"/>
      <w:lvlJc w:val="left"/>
      <w:pPr>
        <w:ind w:left="2880" w:hanging="360"/>
      </w:pPr>
    </w:lvl>
    <w:lvl w:ilvl="4" w:tplc="592A0A18">
      <w:start w:val="1"/>
      <w:numFmt w:val="bullet"/>
      <w:lvlText w:val="○"/>
      <w:lvlJc w:val="left"/>
      <w:pPr>
        <w:ind w:left="3600" w:hanging="360"/>
      </w:pPr>
    </w:lvl>
    <w:lvl w:ilvl="5" w:tplc="91586B80">
      <w:start w:val="1"/>
      <w:numFmt w:val="bullet"/>
      <w:lvlText w:val="■"/>
      <w:lvlJc w:val="left"/>
      <w:pPr>
        <w:ind w:left="4320" w:hanging="360"/>
      </w:pPr>
    </w:lvl>
    <w:lvl w:ilvl="6" w:tplc="69626D3E">
      <w:start w:val="1"/>
      <w:numFmt w:val="bullet"/>
      <w:lvlText w:val="●"/>
      <w:lvlJc w:val="left"/>
      <w:pPr>
        <w:ind w:left="5040" w:hanging="360"/>
      </w:pPr>
    </w:lvl>
    <w:lvl w:ilvl="7" w:tplc="81C86EC8">
      <w:start w:val="1"/>
      <w:numFmt w:val="bullet"/>
      <w:lvlText w:val="●"/>
      <w:lvlJc w:val="left"/>
      <w:pPr>
        <w:ind w:left="5760" w:hanging="360"/>
      </w:pPr>
    </w:lvl>
    <w:lvl w:ilvl="8" w:tplc="74984D86">
      <w:start w:val="1"/>
      <w:numFmt w:val="bullet"/>
      <w:lvlText w:val="●"/>
      <w:lvlJc w:val="left"/>
      <w:pPr>
        <w:ind w:left="6480" w:hanging="360"/>
      </w:pPr>
    </w:lvl>
  </w:abstractNum>
  <w:num w:numId="1" w16cid:durableId="80415126">
    <w:abstractNumId w:val="1"/>
    <w:lvlOverride w:ilvl="0">
      <w:startOverride w:val="1"/>
    </w:lvlOverride>
  </w:num>
  <w:num w:numId="2" w16cid:durableId="2089692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68F"/>
    <w:rsid w:val="00A7368F"/>
    <w:rsid w:val="00CA5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23CB643C-02E9-5E4F-AB6A-16DC314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semiHidden/>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18798</Words>
  <Characters>107154</Characters>
  <Application>Microsoft Office Word</Application>
  <DocSecurity>0</DocSecurity>
  <Lines>892</Lines>
  <Paragraphs>251</Paragraphs>
  <ScaleCrop>false</ScaleCrop>
  <Company/>
  <LinksUpToDate>false</LinksUpToDate>
  <CharactersWithSpaces>125701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2026-06-02T12:22:00Z</dcterms:created>
  <dcterms:modified xsi:type="dcterms:W3CDTF">2026-06-02T12:22:00Z</dcterms:modified>
</cp:coreProperties>
</file>