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6A4F" w:rsidRDefault="00000000">
      <w:pPr>
        <w:spacing w:before="1440" w:after="80"/>
      </w:pPr>
      <w:r>
        <w:rPr>
          <w:b/>
          <w:bCs/>
          <w:color w:val="1B2A4A"/>
          <w:sz w:val="52"/>
          <w:szCs w:val="52"/>
        </w:rPr>
        <w:t>GREYRADIUS CONSULTING</w:t>
      </w:r>
    </w:p>
    <w:p w:rsidR="00686A4F" w:rsidRDefault="00000000">
      <w:pPr>
        <w:spacing w:after="80"/>
      </w:pPr>
      <w:r>
        <w:rPr>
          <w:color w:val="E8612C"/>
          <w:sz w:val="30"/>
          <w:szCs w:val="30"/>
        </w:rPr>
        <w:t>SEO Build Pack — Batch 2</w:t>
      </w:r>
    </w:p>
    <w:p w:rsidR="00686A4F" w:rsidRDefault="00000000">
      <w:pPr>
        <w:spacing w:after="600"/>
      </w:pPr>
      <w:r>
        <w:rPr>
          <w:i/>
          <w:iCs/>
          <w:color w:val="666666"/>
        </w:rPr>
        <w:t>Pages 41–60 full content · Replit prompt · JSON appendix | May 2026 | Confidential</w:t>
      </w:r>
    </w:p>
    <w:p w:rsidR="00686A4F" w:rsidRDefault="00686A4F">
      <w:pPr>
        <w:pBdr>
          <w:bottom w:val="single" w:sz="8" w:space="1" w:color="1B2A4A"/>
        </w:pBdr>
        <w:spacing w:before="200" w:after="200"/>
      </w:pPr>
    </w:p>
    <w:p w:rsidR="00686A4F" w:rsidRDefault="00000000">
      <w:pPr>
        <w:pStyle w:val="Heading1"/>
      </w:pPr>
      <w:r>
        <w:t>Batch 2 overview</w:t>
      </w:r>
    </w:p>
    <w:p w:rsidR="00686A4F" w:rsidRDefault="00000000">
      <w:pPr>
        <w:spacing w:before="60" w:after="60"/>
      </w:pPr>
      <w:r>
        <w:rPr>
          <w:color w:val="222222"/>
        </w:rPr>
        <w:t>This document contains full written content for the next 20 pages in the GreyRadius SEO architecture — covering high-priority Tier 2 sub-sectors and Tier 3 emerging market long-tail pages. Use the same template system built in Batch 1.</w:t>
      </w:r>
    </w:p>
    <w:p w:rsidR="00686A4F" w:rsidRDefault="00000000">
      <w:pPr>
        <w:spacing w:before="60" w:after="60"/>
      </w:pPr>
      <w:r>
        <w:rPr>
          <w:color w:val="222222"/>
        </w:rPr>
        <w:t>Pages in this batch:</w:t>
      </w:r>
    </w:p>
    <w:p w:rsidR="00686A4F" w:rsidRDefault="00000000">
      <w:pPr>
        <w:pStyle w:val="ListParagraph"/>
        <w:numPr>
          <w:ilvl w:val="0"/>
          <w:numId w:val="2"/>
        </w:numPr>
        <w:spacing w:before="40" w:after="40"/>
      </w:pPr>
      <w:r>
        <w:rPr>
          <w:color w:val="222222"/>
        </w:rPr>
        <w:t>41. [Tier 2] Cybersecurity market entry and GTM strategy</w:t>
      </w:r>
    </w:p>
    <w:p w:rsidR="00686A4F" w:rsidRDefault="00000000">
      <w:pPr>
        <w:pStyle w:val="ListParagraph"/>
        <w:numPr>
          <w:ilvl w:val="0"/>
          <w:numId w:val="2"/>
        </w:numPr>
        <w:spacing w:before="40" w:after="40"/>
      </w:pPr>
      <w:r>
        <w:rPr>
          <w:color w:val="222222"/>
        </w:rPr>
        <w:t>42. [Tier 2] Cloud infrastructure and services consulting</w:t>
      </w:r>
    </w:p>
    <w:p w:rsidR="00686A4F" w:rsidRDefault="00000000">
      <w:pPr>
        <w:pStyle w:val="ListParagraph"/>
        <w:numPr>
          <w:ilvl w:val="0"/>
          <w:numId w:val="2"/>
        </w:numPr>
        <w:spacing w:before="40" w:after="40"/>
      </w:pPr>
      <w:r>
        <w:rPr>
          <w:color w:val="222222"/>
        </w:rPr>
        <w:t>43. [Tier 2] Insurtech and digital insurance consulting</w:t>
      </w:r>
    </w:p>
    <w:p w:rsidR="00686A4F" w:rsidRDefault="00000000">
      <w:pPr>
        <w:pStyle w:val="ListParagraph"/>
        <w:numPr>
          <w:ilvl w:val="0"/>
          <w:numId w:val="2"/>
        </w:numPr>
        <w:spacing w:before="40" w:after="40"/>
      </w:pPr>
      <w:r>
        <w:rPr>
          <w:color w:val="222222"/>
        </w:rPr>
        <w:t>44. [Tier 2] Energy storage and battery system consulting</w:t>
      </w:r>
    </w:p>
    <w:p w:rsidR="00686A4F" w:rsidRDefault="00000000">
      <w:pPr>
        <w:pStyle w:val="ListParagraph"/>
        <w:numPr>
          <w:ilvl w:val="0"/>
          <w:numId w:val="2"/>
        </w:numPr>
        <w:spacing w:before="40" w:after="40"/>
      </w:pPr>
      <w:r>
        <w:rPr>
          <w:color w:val="222222"/>
        </w:rPr>
        <w:t>45. [Tier 2] Last mile delivery and quick commerce consulting</w:t>
      </w:r>
    </w:p>
    <w:p w:rsidR="00686A4F" w:rsidRDefault="00000000">
      <w:pPr>
        <w:pStyle w:val="ListParagraph"/>
        <w:numPr>
          <w:ilvl w:val="0"/>
          <w:numId w:val="2"/>
        </w:numPr>
        <w:spacing w:before="40" w:after="40"/>
      </w:pPr>
      <w:r>
        <w:rPr>
          <w:color w:val="222222"/>
        </w:rPr>
        <w:t>46. [Tier 2] Streaming and OTT platform consulting</w:t>
      </w:r>
    </w:p>
    <w:p w:rsidR="00686A4F" w:rsidRDefault="00000000">
      <w:pPr>
        <w:pStyle w:val="ListParagraph"/>
        <w:numPr>
          <w:ilvl w:val="0"/>
          <w:numId w:val="2"/>
        </w:numPr>
        <w:spacing w:before="40" w:after="40"/>
      </w:pPr>
      <w:r>
        <w:rPr>
          <w:color w:val="222222"/>
        </w:rPr>
        <w:t>47. [Tier 2] Gaming market entry and GTM strategy</w:t>
      </w:r>
    </w:p>
    <w:p w:rsidR="00686A4F" w:rsidRDefault="00000000">
      <w:pPr>
        <w:pStyle w:val="ListParagraph"/>
        <w:numPr>
          <w:ilvl w:val="0"/>
          <w:numId w:val="2"/>
        </w:numPr>
        <w:spacing w:before="40" w:after="40"/>
      </w:pPr>
      <w:r>
        <w:rPr>
          <w:color w:val="222222"/>
        </w:rPr>
        <w:t>48. [Tier 3] Autonomous vehicle market entry strategy</w:t>
      </w:r>
    </w:p>
    <w:p w:rsidR="00686A4F" w:rsidRDefault="00000000">
      <w:pPr>
        <w:pStyle w:val="ListParagraph"/>
        <w:numPr>
          <w:ilvl w:val="0"/>
          <w:numId w:val="2"/>
        </w:numPr>
        <w:spacing w:before="40" w:after="40"/>
      </w:pPr>
      <w:r>
        <w:rPr>
          <w:color w:val="222222"/>
        </w:rPr>
        <w:t>49. [Tier 3] Offshore wind market entry strategy</w:t>
      </w:r>
    </w:p>
    <w:p w:rsidR="00686A4F" w:rsidRDefault="00000000">
      <w:pPr>
        <w:pStyle w:val="ListParagraph"/>
        <w:numPr>
          <w:ilvl w:val="0"/>
          <w:numId w:val="2"/>
        </w:numPr>
        <w:spacing w:before="40" w:after="40"/>
      </w:pPr>
      <w:r>
        <w:rPr>
          <w:color w:val="222222"/>
        </w:rPr>
        <w:t>50. [Tier 3] Quantum computing market entry strategy</w:t>
      </w:r>
    </w:p>
    <w:p w:rsidR="00686A4F" w:rsidRDefault="00000000">
      <w:pPr>
        <w:pStyle w:val="ListParagraph"/>
        <w:numPr>
          <w:ilvl w:val="0"/>
          <w:numId w:val="2"/>
        </w:numPr>
        <w:spacing w:before="40" w:after="40"/>
      </w:pPr>
      <w:r>
        <w:rPr>
          <w:color w:val="222222"/>
        </w:rPr>
        <w:t>51. [Tier 3] Robotics and industrial automation market entry strategy</w:t>
      </w:r>
    </w:p>
    <w:p w:rsidR="00686A4F" w:rsidRDefault="00000000">
      <w:pPr>
        <w:pStyle w:val="ListParagraph"/>
        <w:numPr>
          <w:ilvl w:val="0"/>
          <w:numId w:val="2"/>
        </w:numPr>
        <w:spacing w:before="40" w:after="40"/>
      </w:pPr>
      <w:r>
        <w:rPr>
          <w:color w:val="222222"/>
        </w:rPr>
        <w:t>52. [Tier 3] Hyperscale data center market entry strategy</w:t>
      </w:r>
    </w:p>
    <w:p w:rsidR="00686A4F" w:rsidRDefault="00000000">
      <w:pPr>
        <w:pStyle w:val="ListParagraph"/>
        <w:numPr>
          <w:ilvl w:val="0"/>
          <w:numId w:val="2"/>
        </w:numPr>
        <w:spacing w:before="40" w:after="40"/>
      </w:pPr>
      <w:r>
        <w:rPr>
          <w:color w:val="222222"/>
        </w:rPr>
        <w:t>53. [Tier 3] BNPL and embedded finance market entry strategy</w:t>
      </w:r>
    </w:p>
    <w:p w:rsidR="00686A4F" w:rsidRDefault="00000000">
      <w:pPr>
        <w:pStyle w:val="ListParagraph"/>
        <w:numPr>
          <w:ilvl w:val="0"/>
          <w:numId w:val="2"/>
        </w:numPr>
        <w:spacing w:before="40" w:after="40"/>
      </w:pPr>
      <w:r>
        <w:rPr>
          <w:color w:val="222222"/>
        </w:rPr>
        <w:t>54. [Tier 3] Hospital and healthcare provider market entry strategy</w:t>
      </w:r>
    </w:p>
    <w:p w:rsidR="00686A4F" w:rsidRDefault="00000000">
      <w:pPr>
        <w:pStyle w:val="ListParagraph"/>
        <w:numPr>
          <w:ilvl w:val="0"/>
          <w:numId w:val="2"/>
        </w:numPr>
        <w:spacing w:before="40" w:after="40"/>
      </w:pPr>
      <w:r>
        <w:rPr>
          <w:color w:val="222222"/>
        </w:rPr>
        <w:t>55. [Tier 3] Pharmaceutical distribution market entry strategy</w:t>
      </w:r>
    </w:p>
    <w:p w:rsidR="00686A4F" w:rsidRDefault="00000000">
      <w:pPr>
        <w:pStyle w:val="ListParagraph"/>
        <w:numPr>
          <w:ilvl w:val="0"/>
          <w:numId w:val="2"/>
        </w:numPr>
        <w:spacing w:before="40" w:after="40"/>
      </w:pPr>
      <w:r>
        <w:rPr>
          <w:color w:val="222222"/>
        </w:rPr>
        <w:t>56. [Tier 3] Mental health technology market entry strategy</w:t>
      </w:r>
    </w:p>
    <w:p w:rsidR="00686A4F" w:rsidRDefault="00000000">
      <w:pPr>
        <w:pStyle w:val="ListParagraph"/>
        <w:numPr>
          <w:ilvl w:val="0"/>
          <w:numId w:val="2"/>
        </w:numPr>
        <w:spacing w:before="40" w:after="40"/>
      </w:pPr>
      <w:r>
        <w:rPr>
          <w:color w:val="222222"/>
        </w:rPr>
        <w:t>57. [Tier 3] ESG reporting and sustainability consulting market entry strategy</w:t>
      </w:r>
    </w:p>
    <w:p w:rsidR="00686A4F" w:rsidRDefault="00000000">
      <w:pPr>
        <w:pStyle w:val="ListParagraph"/>
        <w:numPr>
          <w:ilvl w:val="0"/>
          <w:numId w:val="2"/>
        </w:numPr>
        <w:spacing w:before="40" w:after="40"/>
      </w:pPr>
      <w:r>
        <w:rPr>
          <w:color w:val="222222"/>
        </w:rPr>
        <w:t>58. [Tier 3] Social commerce market entry strategy</w:t>
      </w:r>
    </w:p>
    <w:p w:rsidR="00686A4F" w:rsidRDefault="00000000">
      <w:pPr>
        <w:pStyle w:val="ListParagraph"/>
        <w:numPr>
          <w:ilvl w:val="0"/>
          <w:numId w:val="2"/>
        </w:numPr>
        <w:spacing w:before="40" w:after="40"/>
      </w:pPr>
      <w:r>
        <w:rPr>
          <w:color w:val="222222"/>
        </w:rPr>
        <w:t>59. [Tier 3] Circular economy and waste technology market entry strategy</w:t>
      </w:r>
    </w:p>
    <w:p w:rsidR="00686A4F" w:rsidRDefault="00000000">
      <w:pPr>
        <w:pStyle w:val="ListParagraph"/>
        <w:numPr>
          <w:ilvl w:val="0"/>
          <w:numId w:val="2"/>
        </w:numPr>
        <w:spacing w:before="40" w:after="40"/>
      </w:pPr>
      <w:r>
        <w:rPr>
          <w:color w:val="222222"/>
        </w:rPr>
        <w:t>60. [Tier 3] Agritech and smart farming market entry strategy</w:t>
      </w:r>
    </w:p>
    <w:p w:rsidR="00686A4F" w:rsidRDefault="00000000">
      <w:pPr>
        <w:pStyle w:val="ListParagraph"/>
        <w:numPr>
          <w:ilvl w:val="0"/>
          <w:numId w:val="2"/>
        </w:numPr>
        <w:spacing w:before="40" w:after="40"/>
      </w:pPr>
      <w:r>
        <w:rPr>
          <w:color w:val="222222"/>
        </w:rPr>
        <w:t>61. [Tier 3] Space technology market entry strategy</w:t>
      </w:r>
    </w:p>
    <w:p w:rsidR="00686A4F" w:rsidRDefault="00686A4F">
      <w:pPr>
        <w:pBdr>
          <w:bottom w:val="single" w:sz="8" w:space="1" w:color="1B2A4A"/>
        </w:pBdr>
        <w:spacing w:before="200" w:after="200"/>
      </w:pPr>
    </w:p>
    <w:p w:rsidR="00686A4F" w:rsidRDefault="00000000">
      <w:pPr>
        <w:pStyle w:val="Heading1"/>
      </w:pPr>
      <w:r>
        <w:t>Content quality notes</w:t>
      </w:r>
    </w:p>
    <w:p w:rsidR="00686A4F" w:rsidRDefault="00000000">
      <w:pPr>
        <w:spacing w:before="60" w:after="60"/>
      </w:pPr>
      <w:r>
        <w:rPr>
          <w:color w:val="222222"/>
        </w:rPr>
        <w:t>Every page in Batch 2 contains:</w:t>
      </w:r>
    </w:p>
    <w:p w:rsidR="00686A4F" w:rsidRDefault="00000000">
      <w:pPr>
        <w:pStyle w:val="ListParagraph"/>
        <w:numPr>
          <w:ilvl w:val="0"/>
          <w:numId w:val="2"/>
        </w:numPr>
        <w:spacing w:before="40" w:after="40"/>
      </w:pPr>
      <w:r>
        <w:rPr>
          <w:color w:val="222222"/>
        </w:rPr>
        <w:t>Title tag and meta description — SEO-optimised for the specific market and service</w:t>
      </w:r>
    </w:p>
    <w:p w:rsidR="00686A4F" w:rsidRDefault="00000000">
      <w:pPr>
        <w:pStyle w:val="ListParagraph"/>
        <w:numPr>
          <w:ilvl w:val="0"/>
          <w:numId w:val="2"/>
        </w:numPr>
        <w:spacing w:before="40" w:after="40"/>
      </w:pPr>
      <w:r>
        <w:rPr>
          <w:color w:val="222222"/>
        </w:rPr>
        <w:t>H1, tagline, and hero body — unique to each page, no copy shared across pages</w:t>
      </w:r>
    </w:p>
    <w:p w:rsidR="00686A4F" w:rsidRDefault="00000000">
      <w:pPr>
        <w:pStyle w:val="ListParagraph"/>
        <w:numPr>
          <w:ilvl w:val="0"/>
          <w:numId w:val="2"/>
        </w:numPr>
        <w:spacing w:before="40" w:after="40"/>
      </w:pPr>
      <w:r>
        <w:rPr>
          <w:color w:val="222222"/>
        </w:rPr>
        <w:lastRenderedPageBreak/>
        <w:t>Market timing signal — urgent, specific context about why 2024-2027 is the entry window</w:t>
      </w:r>
    </w:p>
    <w:p w:rsidR="00686A4F" w:rsidRDefault="00000000">
      <w:pPr>
        <w:pStyle w:val="ListParagraph"/>
        <w:numPr>
          <w:ilvl w:val="0"/>
          <w:numId w:val="2"/>
        </w:numPr>
        <w:spacing w:before="40" w:after="40"/>
      </w:pPr>
      <w:r>
        <w:rPr>
          <w:color w:val="222222"/>
        </w:rPr>
        <w:t>4 market insights — current, data-referenced, specific to the sub-sector</w:t>
      </w:r>
    </w:p>
    <w:p w:rsidR="00686A4F" w:rsidRDefault="00000000">
      <w:pPr>
        <w:pStyle w:val="ListParagraph"/>
        <w:numPr>
          <w:ilvl w:val="0"/>
          <w:numId w:val="2"/>
        </w:numPr>
        <w:spacing w:before="40" w:after="40"/>
      </w:pPr>
      <w:r>
        <w:rPr>
          <w:color w:val="222222"/>
        </w:rPr>
        <w:t>4 structural market challenges — real problems the sector faces globally</w:t>
      </w:r>
    </w:p>
    <w:p w:rsidR="00686A4F" w:rsidRDefault="00000000">
      <w:pPr>
        <w:pStyle w:val="ListParagraph"/>
        <w:numPr>
          <w:ilvl w:val="0"/>
          <w:numId w:val="2"/>
        </w:numPr>
        <w:spacing w:before="40" w:after="40"/>
      </w:pPr>
      <w:r>
        <w:rPr>
          <w:color w:val="222222"/>
        </w:rPr>
        <w:t>6 challenges GreyRadius solves — specific to this sector's buyer problems</w:t>
      </w:r>
    </w:p>
    <w:p w:rsidR="00686A4F" w:rsidRDefault="00000000">
      <w:pPr>
        <w:pStyle w:val="ListParagraph"/>
        <w:numPr>
          <w:ilvl w:val="0"/>
          <w:numId w:val="2"/>
        </w:numPr>
        <w:spacing w:before="40" w:after="40"/>
      </w:pPr>
      <w:r>
        <w:rPr>
          <w:color w:val="222222"/>
        </w:rPr>
        <w:t>6 service angle paragraphs — all 6 GreyRadius services with sector-specific angles</w:t>
      </w:r>
    </w:p>
    <w:p w:rsidR="00686A4F" w:rsidRDefault="00000000">
      <w:pPr>
        <w:pStyle w:val="ListParagraph"/>
        <w:numPr>
          <w:ilvl w:val="0"/>
          <w:numId w:val="2"/>
        </w:numPr>
        <w:spacing w:before="40" w:after="40"/>
      </w:pPr>
      <w:r>
        <w:rPr>
          <w:color w:val="222222"/>
        </w:rPr>
        <w:t>4 FAQ pairs — real buyer questions with substantive answers</w:t>
      </w:r>
    </w:p>
    <w:p w:rsidR="00686A4F" w:rsidRDefault="00000000">
      <w:pPr>
        <w:pStyle w:val="ListParagraph"/>
        <w:numPr>
          <w:ilvl w:val="0"/>
          <w:numId w:val="2"/>
        </w:numPr>
        <w:spacing w:before="40" w:after="40"/>
      </w:pPr>
      <w:r>
        <w:rPr>
          <w:color w:val="222222"/>
        </w:rPr>
        <w:t>Primary keyword string for meta keywords</w:t>
      </w:r>
    </w:p>
    <w:p w:rsidR="00686A4F" w:rsidRDefault="00000000">
      <w:pPr>
        <w:pStyle w:val="ListParagraph"/>
        <w:numPr>
          <w:ilvl w:val="0"/>
          <w:numId w:val="2"/>
        </w:numPr>
        <w:spacing w:before="40" w:after="40"/>
      </w:pPr>
      <w:r>
        <w:rPr>
          <w:color w:val="222222"/>
        </w:rPr>
        <w:t>Regions covered for the page</w:t>
      </w:r>
    </w:p>
    <w:p w:rsidR="00686A4F" w:rsidRDefault="00686A4F">
      <w:pPr>
        <w:pBdr>
          <w:bottom w:val="single" w:sz="8" w:space="1" w:color="1B2A4A"/>
        </w:pBdr>
        <w:spacing w:before="200" w:after="200"/>
      </w:pPr>
    </w:p>
    <w:p w:rsidR="00686A4F" w:rsidRDefault="00000000">
      <w:pPr>
        <w:pStyle w:val="Heading1"/>
      </w:pPr>
      <w:r>
        <w:t>Replit prompt — Batch 2</w:t>
      </w:r>
    </w:p>
    <w:p w:rsidR="00686A4F" w:rsidRDefault="00000000">
      <w:pPr>
        <w:spacing w:before="60" w:after="60"/>
      </w:pPr>
      <w:r>
        <w:rPr>
          <w:i/>
          <w:iCs/>
          <w:color w:val="666666"/>
          <w:sz w:val="18"/>
          <w:szCs w:val="18"/>
        </w:rPr>
        <w:t>Paste this entire block into Replit AI. The template from Batch 1 already exists — this prompt only builds new pages.</w:t>
      </w:r>
    </w:p>
    <w:p w:rsidR="00686A4F" w:rsidRDefault="00686A4F">
      <w:pPr>
        <w:spacing w:before="120" w:after="120"/>
      </w:pP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You are adding a second batch of industry pages to the GreyRadius </w:t>
      </w:r>
    </w:p>
    <w:p w:rsidR="00686A4F" w:rsidRDefault="00000000">
      <w:pPr>
        <w:shd w:val="clear" w:color="auto" w:fill="F0F0F0"/>
        <w:spacing w:before="14" w:after="14"/>
        <w:ind w:left="360"/>
      </w:pPr>
      <w:r>
        <w:rPr>
          <w:rFonts w:ascii="Courier New" w:eastAsia="Courier New" w:hAnsi="Courier New" w:cs="Courier New"/>
          <w:color w:val="1B2A4A"/>
          <w:sz w:val="16"/>
          <w:szCs w:val="16"/>
        </w:rPr>
        <w:t>Consulting website. The HTML template already exists at:</w:t>
      </w:r>
    </w:p>
    <w:p w:rsidR="00686A4F" w:rsidRDefault="00000000">
      <w:pPr>
        <w:shd w:val="clear" w:color="auto" w:fill="F0F0F0"/>
        <w:spacing w:before="14" w:after="14"/>
        <w:ind w:left="360"/>
      </w:pPr>
      <w:r>
        <w:rPr>
          <w:rFonts w:ascii="Courier New" w:eastAsia="Courier New" w:hAnsi="Courier New" w:cs="Courier New"/>
          <w:color w:val="1B2A4A"/>
          <w:sz w:val="16"/>
          <w:szCs w:val="16"/>
        </w:rPr>
        <w:t>templates/industry-page-template.html</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The token replacement logic is the same as Batch 1.</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STEP 1: Save the JSON below as:</w:t>
      </w:r>
    </w:p>
    <w:p w:rsidR="00686A4F" w:rsidRDefault="00000000">
      <w:pPr>
        <w:shd w:val="clear" w:color="auto" w:fill="F0F0F0"/>
        <w:spacing w:before="14" w:after="14"/>
        <w:ind w:left="360"/>
      </w:pPr>
      <w:r>
        <w:rPr>
          <w:rFonts w:ascii="Courier New" w:eastAsia="Courier New" w:hAnsi="Courier New" w:cs="Courier New"/>
          <w:color w:val="1B2A4A"/>
          <w:sz w:val="16"/>
          <w:szCs w:val="16"/>
        </w:rPr>
        <w:t>data/industry-pages-batch2.json</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STEP 2: For each entry in data/industry-pages-batch2.json:</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Determine output path: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1: industries/{{slug}}/index.html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Replace ALL tokens in the template with JSON values.</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New tokens in Batch 2 not in Batch 1:</w:t>
      </w:r>
    </w:p>
    <w:p w:rsidR="00686A4F" w:rsidRDefault="00000000">
      <w:pPr>
        <w:shd w:val="clear" w:color="auto" w:fill="F0F0F0"/>
        <w:spacing w:before="14" w:after="14"/>
        <w:ind w:left="360"/>
      </w:pPr>
      <w:r>
        <w:rPr>
          <w:rFonts w:ascii="Courier New" w:eastAsia="Courier New" w:hAnsi="Courier New" w:cs="Courier New"/>
          <w:color w:val="1B2A4A"/>
          <w:sz w:val="16"/>
          <w:szCs w:val="16"/>
        </w:rPr>
        <w:t>{{MARKET_TIMING}} — orange alert box in hero (already in template)</w:t>
      </w:r>
    </w:p>
    <w:p w:rsidR="00686A4F" w:rsidRDefault="00000000">
      <w:pPr>
        <w:shd w:val="clear" w:color="auto" w:fill="F0F0F0"/>
        <w:spacing w:before="14" w:after="14"/>
        <w:ind w:left="360"/>
      </w:pPr>
      <w:r>
        <w:rPr>
          <w:rFonts w:ascii="Courier New" w:eastAsia="Courier New" w:hAnsi="Courier New" w:cs="Courier New"/>
          <w:color w:val="1B2A4A"/>
          <w:sz w:val="16"/>
          <w:szCs w:val="16"/>
        </w:rPr>
        <w:t>{{INSIGHT_1}} through {{INSIGHT_4}} — market insights section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{{CHALLENGE_M_1}} through {{CHALLENGE_M_4}} — structural market challenges</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Verify no {{ }} tokens remain after replacement.</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Save each file. Log: "Created: [path]"</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STEP 3: Add all new pages to sitemap.xml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 priority 0.8</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 priority 0.7</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STEP 4: Update industries dropdown navigation to include all new pages.</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STEP 5: Confirm total pages created in this batch.</w:t>
      </w:r>
    </w:p>
    <w:p w:rsidR="00686A4F" w:rsidRDefault="00686A4F">
      <w:pPr>
        <w:shd w:val="clear" w:color="auto" w:fill="F0F0F0"/>
        <w:spacing w:before="14" w:after="14"/>
        <w:ind w:left="360"/>
      </w:pPr>
    </w:p>
    <w:p w:rsidR="00686A4F" w:rsidRDefault="00000000">
      <w:pPr>
        <w:shd w:val="clear" w:color="auto" w:fill="F0F0F0"/>
        <w:spacing w:before="14" w:after="14"/>
        <w:ind w:left="360"/>
      </w:pPr>
      <w:r>
        <w:rPr>
          <w:rFonts w:ascii="Courier New" w:eastAsia="Courier New" w:hAnsi="Courier New" w:cs="Courier New"/>
          <w:color w:val="1B2A4A"/>
          <w:sz w:val="16"/>
          <w:szCs w:val="16"/>
        </w:rPr>
        <w:t>DO NOT rebuild existing pages. Only create new files.</w:t>
      </w:r>
    </w:p>
    <w:p w:rsidR="00686A4F" w:rsidRDefault="00000000">
      <w:pPr>
        <w:shd w:val="clear" w:color="auto" w:fill="F0F0F0"/>
        <w:spacing w:before="14" w:after="14"/>
        <w:ind w:left="360"/>
      </w:pPr>
      <w:r>
        <w:rPr>
          <w:rFonts w:ascii="Courier New" w:eastAsia="Courier New" w:hAnsi="Courier New" w:cs="Courier New"/>
          <w:color w:val="1B2A4A"/>
          <w:sz w:val="16"/>
          <w:szCs w:val="16"/>
        </w:rPr>
        <w:t>DO NOT run any scripts. Read JSON, write files directly.</w:t>
      </w:r>
    </w:p>
    <w:p w:rsidR="00686A4F" w:rsidRDefault="00686A4F">
      <w:pPr>
        <w:shd w:val="clear" w:color="auto" w:fill="F0F0F0"/>
        <w:spacing w:before="14" w:after="14"/>
        <w:ind w:left="360"/>
      </w:pPr>
    </w:p>
    <w:p w:rsidR="00686A4F" w:rsidRDefault="00686A4F">
      <w:pPr>
        <w:pBdr>
          <w:bottom w:val="single" w:sz="8" w:space="1" w:color="1B2A4A"/>
        </w:pBdr>
        <w:spacing w:before="200" w:after="200"/>
      </w:pPr>
    </w:p>
    <w:p w:rsidR="00686A4F" w:rsidRDefault="00000000">
      <w:pPr>
        <w:pStyle w:val="Heading1"/>
      </w:pPr>
      <w:r>
        <w:lastRenderedPageBreak/>
        <w:t>JSON appendix — copy into data/industry-pages-batch2.json</w:t>
      </w:r>
    </w:p>
    <w:p w:rsidR="00686A4F" w:rsidRDefault="00000000">
      <w:pPr>
        <w:spacing w:before="60" w:after="60"/>
      </w:pPr>
      <w:r>
        <w:rPr>
          <w:i/>
          <w:iCs/>
          <w:color w:val="666666"/>
          <w:sz w:val="18"/>
          <w:szCs w:val="18"/>
        </w:rPr>
        <w:t>Copy the complete JSON array below and save as data/industry-pages-batch2.json</w:t>
      </w:r>
    </w:p>
    <w:p w:rsidR="00686A4F" w:rsidRDefault="00686A4F">
      <w:pPr>
        <w:spacing w:before="80" w:after="40"/>
      </w:pPr>
    </w:p>
    <w:p w:rsidR="00686A4F" w:rsidRDefault="00000000">
      <w:pPr>
        <w:shd w:val="clear" w:color="auto" w:fill="F0F0F0"/>
        <w:spacing w:before="14" w:after="14"/>
        <w:ind w:left="360"/>
      </w:pPr>
      <w:r>
        <w:rPr>
          <w:rFonts w:ascii="Courier New" w:eastAsia="Courier New" w:hAnsi="Courier New" w:cs="Courier New"/>
          <w:color w:val="1B2A4A"/>
          <w:sz w:val="16"/>
          <w:szCs w:val="16"/>
        </w:rPr>
        <w: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"cybersecurity",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"Cybersecurity Market Entry &amp; GTM Strategy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cybersecurity companies, security technology providers, and MSSP firms with market entry strategy, GTM execution, feasibility studies, and fundraising — grounded in enterprise buyer research.",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"Cybersecurity market entry and GTM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proof of concept to enterprise contract — strategy for cybersecurity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"The cybersecurity market is one of the most resilient and fastest-growing technology sectors globally — driven by escalating threat volumes, regulatory compliance mandates, and the digital transformation of critical infrastructure. Cybersecurity product companies, managed security service providers, and security consulting firms are all navigating complex enterprise procurement cycles, government certification requirements, and rapidly shifting threat landscapes. GreyRadius helps cybersecurity businesses validate new markets, execute GTM plans, and raise capital — grounded in primary research with CISOs, procurement teams, and government security bodies.",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"Cybersecurity regulation is intensifying globally — the EU NIS2 Directive, Gulf national cybersecurity frameworks, and India's CERT-In requirements are all creating mandatory compliance spending that cybersecurity vendors can attach to. Companies that achieve government certification and establish reference customers in regulated sectors in 2024–2027 will hold durable competitive positions.",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cybersecurity spending is projected to exceed $300B by 2027 growing at 13% annually — with the Gulf, Southeast Asia, and South Asia showing the fastest enterprise adoption growth rates driven by rapid digitisation and rising threat volumes.",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"The threat landscape is shifting from perimeter security to identity, cloud security, and AI-powered threat detection — companies with cloud-native and AI-augmented security platforms are commanding premium valuations and faster sales cycles.",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"Government-mandated security certifications are becoming sales prerequisites in regulated markets — Common Criteria, ISO 27001, and local national cybersecurity certifications are required before enterprise procurement in many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"MSSPs are gaining share over point security products — enterprises prefer outsourced security operations with guaranteed SLAs over managing multiple security products internally, creating significant GTM opportunity for managed services providers."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"Procurement cycles for enterprise cybersecurity are long and complex — average sales cycles of 9–18 months, multiple stakeholder approval layers, and extensive proof-of-concept requirements slow revenue growth.",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 trust is difficult to establish quickly — cybersecurity buyers require reference customers in their specific industry before considering new vendors, creating a chicken-and-egg problem for market entrants.",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is increasing in SME segments — SMEs recognise the need for cybersecurity but resist the pricing of enterprise-grade solutions, creating a market gap that new entrants must navigate.",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"Talent scarcity is a global constraint — cybersecurity engineering and analyst talent is severely limited in most emerging markets, increasing both delivery cost and time to scale."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validation|You need to know which enterprise segments — by industry, size, and geography — are actively procuring cybersecurity solutions and what their certification and compliance requirements are.",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 security platform or MSSP|You have a cybersecurity product or managed service and need a structured GTM plan covering enterprise ICP, channel strategy, and first-customer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certification pathway|You need to understand which government security certifications are required to sell in your target market and what the certification process involves.",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cybersecurity venture|You are raising investment and need a pitch book grounded in threat landscape data, market demand research, and defensible revenue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geography with a security product|You are expanding into Southeast Asia, South Asia, or the Gulf and need market-specific enterprise buyer research and regulatory security framework mapping.",</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intelligence in cybersecurity|You need to understand how competing security vendors are positioned, certified, and winning enterprise contracts in your target segment."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buyer demand for your cybersecurity product in a new market. Covers CISO and IT security buyer interviews, compliance requirement mapping, competitive landscape,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cybersecurity platform investments and MSSP launches. Covers enterprise adoption modelling, SLA cost structure, revenue per customer projections,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cybersecurity companies. Government certification pathway, enterprise ICP definition, channel partner identification, and first-enterprise-contract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security platforms and MSSPs. Enterprise outreach, procurement committee navigation, reseller ecosystem development,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cybersecurity ventures. Enterprise-demand-validated market sizing, threat landscape narrative, competitive moat analysis,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cybersecurity — from AI-powered threat detection and automated incident response to user behaviour analytics and predictive vulnerability management."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cybersecurity product companies or also with MSSPs and consulting firms?|All three. We work with security product companies on market entry and GTM, MSSPs on market entry and customer acquisition, and security consulting firms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cybersecurity markets does GreyRadius cover?|Southeast Asia, South Asia, the Gulf, and Europe — markets with active cybersecurity regulatory frameworks and high enterprise security spending growth.",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cybersecurity market entry engagement take?|Typically 6–10 weeks for enterprise buyer research, regulatory certification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and approach enterprise CISOs on behalf of cybersecurity companies?|Yes. CISO identification and initial commercial conversations are part of our GTM Execution-as-a-Service for technology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"cybersecurity market entry, security GTM strategy, MSSP consulting, cybersecurity advisory, information security market entry, cyber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"cloud-infrastructure",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"Cloud Infrastructure &amp; Services Market Entry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cloud infrastructure companies, IaaS providers, and managed cloud services firms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"Cloud infrastructure and services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instance to enterprise contract — strategy for cloud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"Cloud infrastructure is the backbone of digital business — and the race to capture enterprise and government cloud workloads across emerging markets is intensifying. IaaS providers, managed cloud service companies, cloud migration specialists, and sovereign cloud operators are all evaluating new market entry opportunities as data sovereignty regulation drives demand for local cloud infrastructure. GreyRadius helps cloud companies validate enterprise and government buyer demand, navigate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"Data localisation laws in Southeast Asia, South Asia, and the Gulf are creating mandatory demand for local cloud infrastructure. Countries including Indonesia, India, Saudi Arabia, and the UAE have all enacted or are enacting data residency requirements that are forcing enterprises and government agencies to migrate to locally-hosted cloud. The cloud providers that establish sovereign cloud infrastructure in these markets in 2024–2027 will capture decade-long contract value.",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cloud infrastructure spending is projected to reach $1.1T by 2028 — with Southeast Asia, South Asia, and the Gulf growing at 25%+ annually driven by enterprise digital transformation, e-government programmes, and AI workload migration.",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regulation is the primary driver of local cloud infrastructure investment — companies with sovereign cloud offerings that keep data within national borders are winning government and regulated industry contracts that global hyperscalers cannot serve.",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"Multi-cloud and hybrid cloud adoption is accelerating — enterprises are maintaining workloads across multiple cloud providers for resilience and cost management, creating opportunity for specialised managed cloud service providers.",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inference workload demand is transforming cloud specifications — GPU-dense inference infrastructure is the fastest-growing cloud workload category, requiring capital investment in specialised infrastructure that most regional providers do not yet offer."</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"Competing with global hyperscalers — AWS, Azure, and GCP — requires differentiation on localisation, compliance, and specialised services that large platforms cannot easily replicate at regional scale.",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cloud procurement requires local incorporation, data sovereignty certification, and security clearances that take significant time and investment to obtain in each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cloud sales cycles are long — CIO-level decisions with multi-year contracts require sustained relationship development and proof-of-concept programmes that are expensive to maintain.",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"Technical talent for cloud architecture and managed services is scarce in many emerging markets — building local delivery capability requires significant investment in hiring and training."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and government cloud demand validation|You need to validate genuine workload migration demand from enterprises and government agencies in your target market, including their data sovereignty requirements and compliance needs.",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and regulatory pathway|You need to understand data localisation laws, government cloud security certifications, and sovereign cloud requirements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a cloud infrastructure or managed services company|You have a cloud platform or managed service and need a go-to-market plan covering enterprise and government buyer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cloud infrastructure investment|You are raising capital for a data centre or cloud platform investment and need a pitch book grounded in enterprise demand data.",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in regional cloud|You need to understand how competing cloud providers are positioned, certified, and winning enterprise and government contracts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"Partnership and channel strategy|You need to identify and engage system integrators, telcos, and resellers who can co-sell your cloud infrastructure in a new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and government demand for cloud infrastructure in a new market. Covers CIO and CTO buyer interviews, data sovereignty requirement mapping, competitive analysis,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cloud infrastructure investments. Covers workload demand modelling, infrastructure capex, operating cost, revenue model,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cloud companies. Regulatory pathway, sovereign cloud certification, enterprise ICP definition, and first-enterprise or first-government contract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cloud platforms. Enterprise and government outreach, system integrator partnership development, and first-contract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cloud infrastructure investments. Enterprise-demand-validated market sizing, financial model,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cloud operations — from AI-powered cost optimisation and workload forecasting to automated security monitoring and intelligent capacity planning."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IaaS providers or also with managed cloud service companies?|Both. We work with IaaS and PaaS providers on market entry and feasibility, and with managed cloud service companies on GTM and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cloud markets does GreyRadius cover?|Southeast Asia, South Asia, the Gulf, and Africa — markets where data sovereignty regulation and enterprise cloud adoption are driving the fastest infrastructure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cloud infrastructure market entry engagement take?|Typically 6–10 weeks for enterprise buyer research, regulatory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government cloud procurement processes?|We map the certification requirements and help identify the right government engagement strategy — formal procurement processes are managed by the company."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"cloud infrastructure market entry, IaaS GTM strategy, cloud services consulting, sovereign cloud advisory, cloud market entry, managed cloud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"insurtech",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"bfsi",</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"Insurtech &amp; Insurance Market Entry | GTM &amp; Feasibility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insurtech companies, digital insurance platforms, and takaful providers with market entry strategy, GTM execution, regulatory pathway mapping,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"Insurtech and digital insurance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product design to first policy — strategy for insurtech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"Insurance markets across Southeast Asia, South Asia, and the Gulf are undergoing digital transformation — with low insurance penetration rates, young and mobile-first populations, and rising risk awareness creating significant opportunity for digital insurance platforms. Insurtech companies, embedded insurance providers, parametric insurance specialists, and takaful operators are all navigating complex regulatory environments and distribution channel decisions. GreyRadius helps insurtech businesses validate consumer demand, navigate licensing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"Insurance penetration in Southeast Asia averages below 3% of GDP — compared to 8–12% in developed markets. The gap represents one of the largest untapped insurance markets in the world. Digital insurance distribution via smartphones is making insurance economically viable to distribute to mass-market consumers for the first time. The companies that establish distribution infrastructure in 2024–2027 will capture the growth wave.",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Asia's insurance market is projected to reach $100B in premiums by 2030 — with digital insurance penetration growing from under 5% to over 25% of new policy sales, driven by mobile-first distribution.",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insurance is growing at 30%+ annually — banks, e-commerce platforms, ride-hailing companies, and healthcare apps are all becoming insurance distribution channels, bypassing traditional agent networks.",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"Takaful — Shariah-compliant insurance — is growing at 14% annually in Muslim-majority markets across Southeast Asia and the Gulf, significantly outpacing conventional insurance growth in these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"Parametric insurance is gaining traction in agriculture, climate, and SME segments — simplified trigger-based products that avoid complex claims processes are achieving higher adoption in underserved segments."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"Insurance licensing requirements are complex and capital-intensive — most markets require significant minimum capital, local incorporation, and regulatory approval that takes 12–24 months.",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is the primary challenge — traditional agent networks are expensive to build, and digital distribution requires partnership with platforms that have high customer acquisition costs.",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"Claims fraud and adverse selection are elevated in low-penetration markets — building actuarial models without historical claims data creates significant underwriting risk.",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insurance is low in many emerging markets — negative perceptions from complex claims processes and agent mis-selling require significant consumer education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"Insurance market demand validation|You need to validate consumer willingness to purchase and pay for insurance in your target market, including product preference, price sensitivity, and distribution channel preferences.",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pathway|You need to understand insurance licensing requirements, minimum capital, local ownership requirements, and approval timelines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strategy|You need to identify and evaluate distribution channels — bancassurance, embedded insurance platforms, agent networks, and digital direct — for your insurance product in a new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insurtech venture|You are raising investment and need a pitch book grounded in market penetration data, unit economics, and a credible path to profitability.",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"Takaful market entry|You are evaluating Shariah-compliant insurance markets and need regulatory mapping, consumer demand research, and product structuring guidance.",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insurance market entry|You have an insurance product and need to identify and engage platform partners — banks, e-commerce, ride-hailing — as distribution channels."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your insurance product in a new market. Covers consumer surveys, broker and agent interviews, regulatory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insurtech platform launches. Covers premium volume modelling, loss ratio assumptions, distribution cost structure,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insurtech companies. Regulatory licence pathway, distribution partner identification, consumer ICP definition, and first-policy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insurtech platforms. Platform partner outreach, embedded distribution pipeline, and first-premium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insurtech ventures. Market-penetration-validated sizing, loss ratio modelling, and investor identification across insurtech-focused VC and 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insurance — from automated underwriting and claims processing to fraud detection, customer personalisation, and parametric trigger monitoring."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life insurance companies or also with P&amp;C and health insurance?|All segments. We work with life, health, P&amp;C, and specialty insurance companies on market entry, and with takaful operators and embedded insurance providers on GTM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insurance markets does GreyRadius cover?|Southeast Asia, South Asia, the Gulf, and Africa — markets with low insurance penetration and high digital adoption growth.",</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insurtech market entry engagement take?|Typically 6–10 weeks for consumer demand research, regulatory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takaful market entry specifically?|Yes. We have specific experience in takaful market entry across the Gulf and Southeast Asia, including regulatory pathway mapping and Shariah-compliant product structuring."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"insurtech market entry, digital insurance GTM, insurance consulting, takaful market entry, embedded insurance advisory, insurtech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"energy-storage",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"Energy Storage &amp; Battery System Consulting | Market Entry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battery energy storage companies, BESS developers, and energy storage technology providers with market entry strategy, feasibility studies,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"Energy storage and battery system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grid connection to first commercial dispatch — strategy for energy storage businesses.",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"Battery energy storage systems are becoming essential infrastructure for grid stability, renewable energy integration, and energy security across global markets. BESS developers, battery technology companies, utility-scale storage operators, and behind-the-meter storage providers are all evaluating new market entry opportunities as falling battery costs and supportive policy environments create commercial viability across new geographies. GreyRadius helps energy storage businesses validate new markets, assess project feasibility, navigate regulatory frameworks,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"Grid-scale battery storage is reaching cost parity with peaker gas plants in an increasing number of markets — and government renewable integration mandates are creating policy-supported demand. The Gulf's renewable energy programmes, Southeast Asia's grid modernisation investment, and South Asia's peak demand management requirements are all creating funded storage demand. Projects signed in 2025–2028 will establish the supply chain relationships that persist.",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energy storage capacity is projected to increase 15x by 2030 — from approximately 50 GWh installed in 2022 to over 700 GWh, driven by renewable energy integration requirements and declining lithium-ion battery costs.",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"Battery storage is increasingly being co-located with solar and wind projects — storage-plus-renewables configurations are achieving higher capacity factors and better grid integration economics than standalone renewable projects.",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"Behind-the-meter commercial and industrial storage is a fast-growing segment — C&amp;I customers with high peak demand charges and power quality requirements are deploying storage as an operational cost management tool.",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"Second-life battery storage — repurposing EV batteries for stationary storage applications — is emerging as a cost-competitive storage solution in markets with high EV adoption and existing battery recycling infrastructure."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connection and dispatch rules for battery storage are still being established in many markets — regulatory uncertainty around ancillary services, capacity markets, and frequency regulation is delaying investment decisions.",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"Revenue stacking complexity — combining energy arbitrage, frequency regulation, capacity market payments, and peak shaving — requires sophisticated financial modelling that many project developers lack.",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"Long-duration storage remains expensive and technically immature — projects requiring more than 4 hours of storage capacity face significantly higher costs and fewer technology options than short-duration applications.",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concentration for battery cells remains in China — geopolitical risk and import tariff exposure are creating cost and procurement risk for project developers outside Asia."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regulatory assessment|You need to understand grid stability services requirements, ancillary services market rules, and regulatory frameworks for battery storage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feasibility|You are evaluating a BESS project and need a full feasibility study covering revenue stack modelling, technology selection, grid connection pathway,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"Customer and offtake identification|You need to identify utilities, grid operators, and C&amp;I customers who are actively procuring battery storage solutions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storage technology|You have a battery technology or storage management platform and need a go-to-market strategy covering utility and C&amp;I buyer outreach.",</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"Raising capital for a storage project or company|You are raising investment and need a pitch book grounded in revenue stack analysis and market demand validation.",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BESS developers and technology providers are positioned and winning contracts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utility and C&amp;I demand for battery storage in a new market. Covers utility and grid operator interviews, regulatory mapping, revenue stack analysis,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BESS investments. Covers revenue stack modelling, technology cost assessment, grid connection pathway, operating cost,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storage developers and technology companies. Regulatory pathway, utility and C&amp;I customer ICP, and first-contract or first-project-signing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storage technology and BESS companies. Utility and C&amp;I outreach, government programme pipeline,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storage projects and companies. Revenue-stack-validated market sizing, project economics, and investor identification across energy infrastructure 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energy storage — from predictive dispatch optimisation and battery degradation modelling to real-time market bidding and automated grid services."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utility-scale BESS developers or also C&amp;I and behind-the-meter storage?|Both. We work with utility-scale developers on feasibility and market entry, and with C&amp;I and behind-the-meter storage companies on GTM and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energy storage markets does GreyRadius cover?|Gulf, Southeast Asia, South Asia, and Africa — markets with active renewable energy programmes and growing grid stability requirements.",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energy storage market entry engagement take?|Typically 6–10 weeks for regulatory mapping, revenue stack analysis,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utility offtake partners for storage projects?|Yes. Utility and grid operator identification and initial commercial conversations are part of our market entry execution service."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"energy storage market entry, BESS GTM strategy, battery storage consulting, grid storage advisory, energy storage feasibility, BESS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"last-mile-delivery",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"Last Mile Delivery &amp; Quick Commerce Consulting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last mile delivery companies, quick commerce platforms, and logistics technology providers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"Last mile delivery and quick commerce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warehouse to doorstep — strategy for delivery businesses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"Last mile delivery and quick commerce are among the most contested and capital-intensive segments in the global logistics industry. Food delivery platforms, grocery quick commerce operators, B2C logistics companies, and delivery technology providers are all competing for market share in rapidly growing urban markets across Southeast Asia, South Asia, the Gulf, and Africa. GreyRadius helps last mile businesses validate market demand, assess operational feasibility,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quick commerce race in Southeast Asia and South Asia is in its first inning — markets like Indonesia, the Philippines, Bangladesh, and Pakistan have large urban populations, smartphone penetration growing rapidly, and last mile infrastructure still being built. The companies establishing dark store networks and delivery operations in these markets in 2024–2027 will hold structural cost and brand advantages.",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last mile delivery market is projected to reach $200B by 2027 — with Southeast Asia and South Asia growing at 20%+ annually driven by e-commerce growth, urbanisation, and rising consumer expectations for speed.",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"Quick commerce — 10-30 minute grocery delivery — is becoming standard in major Southeast Asian and South Asian cities, with consumer expectations shifting permanently post-pandemic.",</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"Drone delivery is moving from pilot to commercial scale in several markets — particularly in low-density suburban areas and island geographies where road delivery is expensive and slow.",</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"Last mile electrification is accelerating — electric two-wheelers and three-wheelers are reducing delivery cost per km and carbon emissions in urban delivery operations in Southeast Asia and South Asia."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"Unit economics are extremely challenging — customer acquisition cost, dark store rent, rider cost, and delivery density requirements create a difficult path to profitability that most operators are still navigating.",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"Geographic expansion requires significant capital — establishing dark store networks and rider fleets in each new city requires upfront investment before revenue is established.",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"Rider retention and labour costs are rising — gig economy delivery riders in most markets are highly mobile between platforms, requiring continuous incentive spend to maintain fleet availability.",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for gig economy delivery workers are evolving — labour classification, minimum earnings guarantees, and social protection requirements are increasing operating costs in multiple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density assessment|You need to validate consumer demand density and spending patterns in a new market before committing to dark store network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"Operational feasibility|You are evaluating a new city or country for last mile operations and need a full feasibility study covering demand density, operational cost,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a delivery technology platform|You have a delivery management system, route optimisation platform, or dark store management tool and need a go-to-market strategy covering logistics operator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last mile business|You are raising investment and need a pitch book grounded in demand density data, unit economics, and a credible path to profitability.",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last mile operators are positioned, priced, and achieving delivery density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"Partnership strategy|You need to identify e-commerce platforms, grocery chains, and restaurant groups as demand supply partners for your delivery network."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and delivery density for a new last mile market. Covers consumer demand surveys, merchant interviews, competitive landscape,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last mile investments. Covers demand density modelling, dark store economics, rider cost, revenue per order,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last mile and quick commerce companies. Regulatory pathway, merchant and platform partner identification, and first-city operational launch.",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delivery technology platforms. Logistics operator outreach, enterprise merchant pipeline, and first-integration or first-contract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last mile ventures. Demand-density-validated market sizing, unit economics, and investor identification across logistics and consumer tech VC.",</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last mile — from route optimisation and demand forecasting to dynamic pricing, rider matching, and predictive inventory management."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last mile operators or also with delivery technology companies?|Both. We work with last mile and quick commerce operators on market entry and feasibility, and with delivery technology companies on GTM and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last mile markets does GreyRadius cover?|Southeast Asia, South Asia, the Gulf, and Africa — markets with high e-commerce growth and significant last mile infrastructure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last mile market entry engagement take?|Typically 6–10 weeks for demand density research, operational feasibility,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dark store network planning and location strategy?|We provide demand density analysis and market assessment — specific site selection and operations planning are delivered in partnership with operational experts."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"last mile delivery market entry, quick commerce GTM strategy, delivery consulting, last mile advisory, quick commerce market entry, logistics last mile",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"streaming-ott",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"media-entertainment",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"Streaming &amp; OTT Platform Consulting | Market Entry &amp; GTM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streaming platforms, OTT operators, and video content companies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"Streaming and OTT platform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content library to paid subscriber — strategy for streaming platforms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"The global streaming and OTT market is entering a new phase — moving from growth-at-all-costs to sustainable economics, market-specific content strategies, and profitable subscriber acquisition. Streaming platforms, FAST channel operators, sports streaming services, and regional OTT players are all evaluating new market entry opportunities as global platforms struggle to localise </w:t>
      </w:r>
      <w:r>
        <w:rPr>
          <w:rFonts w:ascii="Courier New" w:eastAsia="Courier New" w:hAnsi="Courier New" w:cs="Courier New"/>
          <w:color w:val="1B2A4A"/>
          <w:sz w:val="16"/>
          <w:szCs w:val="16"/>
        </w:rPr>
        <w:lastRenderedPageBreak/>
        <w:t>effectively. GreyRadius helps streaming businesses validate audience demand, navigate content and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 and South Asia represent the last major frontier for streaming platform growth — with 800 million smartphone users who are increasingly consuming video on mobile but are price-sensitive and language-diverse. The streaming platforms that invest in local language content and affordable pricing models in 2024–2027 will establish the dominant positions in these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"The global streaming market is projected to reach $330B by 2030 — with Southeast Asia and South Asia growing at 15%+ annually, driven by affordable smartphones, cheaper mobile data, and rising demand for local language content.",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"Ad-supported video on demand is outgrowing subscription VOD in emerging markets — consumer willingness to watch advertising in exchange for free content is creating a viable AVOD business model that SVOD platforms are now adopting.",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"Sports streaming rights are the most powerful subscriber acquisition tool — platforms with exclusive sports rights in key markets are achieving subscriber growth 3–5x faster than entertainment-only platforms.",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"AI-powered content recommendation and dubbing is accelerating content localisation — platforms that can affordably dub or subtitle content into local languages at scale are achieving significantly higher engagement and retention."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"Content localisation cost is the primary market entry barrier — producing or acquiring local language content requires significant investment before subscriber economics are established.",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"Password sharing crackdowns are slowing subscriber growth in mature markets — platforms must balance revenue per household growth with user experience to avoid subscriber churn.",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"Advertising technology infrastructure is underdeveloped in many emerging markets — programmatic advertising revenue potential is lower than in mature markets, affecting AVOD business model viability.",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"Piracy remains a significant competitor in Southeast Asia and South Asia — illegal streaming services that offer free access to premium content create persistent subscriber acquisition headwinds."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"Audience demand and content preference validation|You need to understand what content genres, languages, and price points will drive subscriber acquisition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content certification pathway|You need to understand content certification requirements, broadcast regulations, and foreign content restrictions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a streaming platform|You have an OTT platform and need a go-to-market strategy covering subscriber acquisition, content partnership, and distribution channel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streaming venture|You are raising investment and need a pitch book grounded in audience demand data, content economics, and subscriber projection modelling.",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"Sports rights and content partnership strategy|You need to identify and evaluate sports rights, content studios, and production partners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streaming platforms are positioned, priced, and acquiring subscribers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audience demand for your streaming platform in a new market. Covers consumer surveys, content preference research, competitive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OTT platform launches. Covers subscriber demand modelling, content cost structure, revenue per user,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streaming platforms. Regulatory pathway, content partner identification, distribution channel setup, and first-subscriber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OTT platforms. Subscriber acquisition execution, content partnership development, and first-revenue or first-profitability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streaming ventures. Audience-demand-validated market sizing, content economics, and investor identification across media-focused PE and VC.",</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streaming — from content recommendation and personalisation to automated dubbing, churn prediction, and dynamic pricing."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SVOD platforms or also with AVOD and FAST channel operators?|All models. We work with subscription, ad-supported, and free ad-supported streaming platforms across market entry and GTM.",</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streaming markets does GreyRadius cover?|Southeast Asia, South Asia, the Gulf, and Africa — markets where streaming growth rates are highest and local content investment is most needed.",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streaming market entry engagement take?|Typically 6–10 weeks for audience demand research, content strategy, and market entry planning.",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content production and distribution partners in new markets?|Yes. Content partner identification and initial commercial discussions are part of our market entry execution service for media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"streaming market entry, OTT GTM strategy, video platform consulting, SVOD market entry advisory, streaming platform strategy, OTT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"gaming",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"media-entertainment",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"Gaming Market Entry &amp; GTM Strategy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game studios, gaming platforms, and esports companies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"Gaming market entry and GTM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game launch to monetised player base — strategy for gaming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"Gaming is the world's largest entertainment industry — and mobile gaming has made it truly global, with billions of players across Southeast Asia, South Asia, the Gulf, and Africa. Game studios, gaming platforms, esports operators, and gaming technology companies are all evaluating new market entry opportunities as mobile-first gaming economies mature in emerging markets. GreyRadius helps gaming businesses validate player demand, navigate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 is the world's fastest-growing mobile gaming market — driven by young populations, cheap mobile data, and a gaming culture that spans from casual to hardcore. India's gaming market is entering a phase of monetisation maturity. The Gulf has the highest mobile gaming spend per user outside developed markets. The companies that establish player bases and esports ecosystems in these markets in 2024–2027 will define the category.",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gaming market revenue is projected to reach $300B by 2027 — with mobile gaming representing 55% of revenue and Southeast Asia, South Asia, and the Gulf among the fastest-growing regional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"Esports viewership in Southeast Asia has surpassed traditional sports viewership for the under-25 demographic — creating significant media rights, sponsorship, and live event commercial opportunities.",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"Free-to-play with in-app purchase monetisation dominates emerging markets — consumers are unwilling to pay upfront for games but will spend significantly on cosmetics, battle passes, and character upgrades.",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"Hypercasual and casual games are losing market share to mid-core games with deeper progression systems — players in mature mobile gaming markets are spending more time and money on games with more complexity."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"Game localisation is complex — language translation is only the beginning; cultural adaptation of character design, storylines, and marketing is required for meaningful player acquisition in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"Payment infrastructure for in-app purchases is fragmented — credit card penetration is low in many emerging markets, requiring integration with local payment methods including mobile money, digital wallets, and operator billing.",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restrictions on gaming are evolving — several markets restrict game content, in-app purchase mechanics, and screen time for minors, requiring compliance investment before launch.",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"User acquisition cost is rising globally — iOS privacy changes, rising CPM rates, and platform changes have made digital advertising for gaming more expensive and less effective in the last three years."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"Player demand and genre validation|You need to validate that players in your target market are interested in your game genre and what monetisation mechanics they will engage with.",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content rating pathway|You need to understand content rating requirements, game certification processes, and in-app purchase regulations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a game title or gaming platform|You have a game or gaming platform and need a go-to-market strategy covering player acquisition, community building, and monetisation optimisation.",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gaming venture|You are raising investment and need a pitch book grounded in player demand data, monetisation benchmarks, and market sizing.",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"Esports and competitive gaming strategy|You are evaluating an esports organisation or tournament business and need a market assessment covering viewer demand, sponsor appetite, and commercial viability.",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game titles and gaming platforms are positioned and monetising players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player demand for your game or gaming platform in a new market. Covers player surveys, genre and monetisation preference research, competitive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gaming investments. Covers player acquisition modelling, LTV and ARPU benchmarks, monetisation cost structure,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game studios and gaming platforms. Regulatory pathway, localisation strategy, player acquisition channel identification, and first-10,000-player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gaming companies. Player acquisition execution, community development, influencer partnership pipeline, and first-monetisation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gaming ventures. Player-demand-validated market sizing, monetisation benchmarks, and investor identification across gaming-focused VC and 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gaming — from procedural content generation and AI-powered NPCs to churn prediction, dynamic difficulty adjustment, and fraud detection."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mobile game studios or also with PC, console, and esports companies?|All segments. We work with mobile studios on market entry and GTM, PC and console developers on market entry and fundraising, and esports organisations on market entry and commercial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gaming markets does GreyRadius cover?|Southeast Asia, South Asia, the Gulf, and Africa — markets with the fastest mobile gaming growth and most significant esports audience development.",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gaming market entry engagement take?|Typically 6–10 weeks for player demand research, regulatory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publishing and distribution partners for game studios?|Yes. Publisher and distribution partner identification and initial commercial conversations are part of our market entry execution service for gaming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"gaming market entry, game studio GTM strategy, esports consulting, mobile gaming advisory, gaming market entry consulting, game launch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"autonomous-vehicles",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"Autonomous Vehicle Market Entry Strategy | AV Consulting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autonomous vehicle companies, self-driving technology providers, and robotaxi operators with market entry strategy, regulatory pathway mapping,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"Autonomous vehicle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simulation to first commercial mile — strategy for AV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"Autonomous vehicles are transitioning from technology development to commercial deployment — with robotaxi services, autonomous trucking, and self-driving shuttle programmes all moving from pilot to commercial operation in select markets. AV technology companies, robotaxi operators, autonomous trucking platforms, and AV component suppliers are all making critical market entry, regulatory engagement, and fundraising decisions. GreyRadius helps AV businesses validate commercial demand, navigate regulatory approval processes, build mobility buyer relationships,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regulatory window for AV commercial deployment is opening — Singapore, UAE, Japan, and several US states have established commercial AV frameworks. The Gulf's smart mobility ambitions and Singapore's AV national programme are creating government-supported deployment opportunities. Companies that achieve regulatory approval and commercial deployments in these markets in 2025–2028 will establish reference cases that drive global expansion.",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"The global autonomous vehicle market is projected to reach $550B by 2030 — with robotaxi and autonomous trucking representing the largest near-term commercial revenue opportunities.",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"Level 4 autonomy in geofenced urban environments is commercially available — companies like Waymo, WeRide, and Navya have demonstrated commercial operations, validating the technology for investor and regulatory confidence.",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"Autonomous trucking is achieving commercial deployment faster than consumer robotaxis in many markets — predictable highway routes and severe driver shortages are making the value proposition clearer and the regulatory pathway simpler.",</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"Sensor fusion and computing cost reduction is accelerating AV economics — lidar costs have fallen 90% in five years, making vehicle unit economics viable for commercial fleets at lower utilisation rates."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timelines are long and uncertain — AV testing permits, commercial operation licences, and safety validation requirements differ significantly across markets and are still evolving.",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"Public trust in autonomous vehicles remains limited — high-profile accidents and media coverage have created consumer hesitancy that affects commercial deployment adoption rates.",</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"Insurance and liability frameworks for autonomous vehicles are not yet established in most markets — the absence of clear liability rules is creating commercial risk for operators.",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"High development and fleet cost — AV vehicles cost 3–5x conventional vehicles and require expensive sensor and computing infrastructure, making fleet economics challenging without high utilisation."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and approval strategy|You need to map AV testing permit requirements, commercial operation approval processes, and safety validation frameworks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"Commercial mobility buyer identification|You need to identify fleet operators, logistics companies, and transportation authorities that are actively evaluating autonomous vehicle deployment.",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validation|You need to validate that mobility buyers, logistics operators, or government transport authorities in your target market are genuinely committed to AV procurement.",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AV venture|You are raising investment and need a pitch book grounded in commercial deployment evidence, market demand data, and defensible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"Partnership and ecosystem strategy|You need to identify OEM partners, sensor suppliers, and fleet operators as development and commercial launch partners in a new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in AV|You need to understand how competing AV companies are positioned, approved, and winning commercial deployments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commercial demand for autonomous vehicles in a new market. Covers fleet operator and government transport authority interviews, regulatory pathway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AV fleet investments. Covers vehicle economics, utilisation modelling, regulatory compliance cost,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AV companies. Regulatory approval pathway, mobility buyer ICP, OEM partner identification, and first-commercial-deployment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AV platforms. Fleet buyer outreach, government programme pipeline,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AV ventures. Commercial-deployment-validated market sizing, technology narrative, and investor identification across mobility and deep tech investors.",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AV — from perception system optimisation and edge case handling to fleet management automation and predictive maintenance."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AV technology companies or also with robotaxi operators and autonomous trucking companies?|All three. We work with AV tech companies on market entry and fundraising, robotaxi operators on GTM and commercial launch, and autonomous trucking companies on market entry and feasibility.",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AV markets does GreyRadius cover?|Gulf, Southeast Asia, and South Asia — markets with active AV regulatory frameworks and government smart mobility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AV market entry engagement take?|Typically 8–12 weeks given the complexity of regulatory approval mapping and commercial buyer research.",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AV regulatory approval processes?|We map the regulatory pathway and identify the right engagement strategy — formal safety validation and approval processes are managed by the company."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"autonomous vehicle market entry, self-driving GTM strategy, AV consulting, robotaxi market entry, autonomous driving advisory, AV market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"offshore-wind-market-entry",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"renewable-energy",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"Offshore Wind Market Entry Strategy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offshore wind developers, wind turbine manufacturers, and offshore energy companies with market entry strategy, feasibility studies,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"Offshore wind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seabed lease to first power export — strategy for offshore wind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"Offshore wind is scaling from European strongholds to new markets across Asia and the Gulf — with floating wind technology opening development opportunities in deep water sites that fixed-bottom wind cannot reach. Offshore wind developers, turbine manufacturers, installation vessel operators, and offshore wind supply chain companies are all evaluating new market entry opportunities as government auctions and power purchase agreement frameworks mature across Southeast Asia, South Asia, and emerging markets. GreyRadius helps offshore wind businesses validate new markets, assess project feasibility, navigate regulatory frameworks,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"Asia Pacific offshore wind capacity is projected to grow from 10 GW to over 200 GW by 2030 — with Taiwan, Vietnam, Japan, South Korea, India, and the Philippines all conducting or planning offshore wind auctions. The first-mover advantage in securing seabed leases, grid connection </w:t>
      </w:r>
      <w:r>
        <w:rPr>
          <w:rFonts w:ascii="Courier New" w:eastAsia="Courier New" w:hAnsi="Courier New" w:cs="Courier New"/>
          <w:color w:val="1B2A4A"/>
          <w:sz w:val="16"/>
          <w:szCs w:val="16"/>
        </w:rPr>
        <w:lastRenderedPageBreak/>
        <w:t>agreements, and local supply chain partnerships will be decisive for offshore wind developers entering these markets now.",</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"Asia Pacific offshore wind market is the world's fastest growing — with Vietnam, Japan, India, and the Philippines all conducting offshore wind auctions that will define the regional supply chain for the decade.",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"Floating offshore wind is becoming commercially viable — enabling development in water depths over 60 metres that opens markets in the US West Coast, Japan, Norway, and parts of Southeast Asia where seabed conditions preclude fixed-bottom installations.",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"Offshore wind supply chain localisation is becoming a condition of auction participation — governments are requiring local content in foundation manufacturing, installation, and operations to qualify for seabed leases.",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connection and offshore transmission infrastructure is the primary development bottleneck — inadequate grid infrastructure at connection points is delaying project timelines and increasing capital cost."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"Offshore wind project development costs are extremely high — offshore wind projects typically cost $3–5B+ per GW, making investment decisions irreversible and requiring the highest level of market validation.",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"Permitting and environmental impact assessment timelines are extremely long — offshore wind projects typically take 5–10 years from seabed lease to commercial operation due to permitting requirements.",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capacity is constrained globally — manufacturing capacity for turbines, foundations, and installation vessels is fully booked years in advance, creating equipment availability risk for new market entrants.",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requirements differ by market — understanding and meeting local content requirements is essential for auction eligibility but varies dramatically across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"Offshore wind market assessment|You need to understand the offshore wind regulatory framework, auction pipeline, grid connection capacity, and local content requirements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feasibility|You are evaluating an offshore wind project and need a full feasibility study covering seabed conditions, wind resource, grid connection pathway, supply chain access,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"Local supply chain partner identification|You need to identify local manufacturing partners, installation contractors, and O&amp;M providers that can meet localisation requirements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auction and policy engagement|You need to understand the offshore wind auction process and how to position for maximum competitiveness in upcoming seabed lease rounds.",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offshore wind project|You are raising investment for an offshore wind development and need a pitch book grounded in resource data, policy support, and project economics.",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offshore wind developers are positioning for auctions and building supply chains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the commercial and policy opportunity for offshore wind in a new market. Covers regulatory framework analysis, auction pipeline assessment, grid capacity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technical and economic feasibility for offshore wind projects. Covers wind resource assessment, seabed conditions, grid connection pathway, supply chain access,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offshore wind companies. Regulatory pathway, government auction engagement strategy, local partner identification, and seabed lease application support.",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offshore wind technology and supply chain companies. Developer and tier-1 contractor outreach, localisation partner pipeline, and first-supply-contract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offshore wind projects. Resource-data-validated market sizing, policy support narrative, project economics,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offshore wind — from turbine performance optimisation and predictive maintenance to AIS vessel tracking and automated O&amp;M scheduling."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offshore wind developers or also with turbine manufacturers and supply chain companies?|Both. We work with developers on project feasibility and market entry, and with turbine manufacturers, installation companies, and O&amp;M providers on market entry and GTM.",</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offshore wind markets does GreyRadius cover?|Southeast Asia, South Asia, and emerging markets — markets where offshore wind auctions are active or planned and where first-mover positioning is most valuable.",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offshore wind market entry engagement take?|Typically 8–12 weeks given the complexity of regulatory mapping, resource assessment, and supply chain analysis.",</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support offshore wind auction participation?|We prepare the market analysis and strategic positioning — formal auction bids are prepared by the company with specialist offshore wind advisors."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"offshore wind market entry, wind energy GTM, offshore wind consulting, wind project advisory, offshore energy market entry, floating wind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Europe,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"quantum-computing-market-entry",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"ai-ml-platforms",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"Quantum Computing Market Entry Strategy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quantum computing companies, quantum software developers, and quantum technology providers with market entry strategy,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"Quantum computing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qubit to enterprise use case — strategy for quantum computing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"Quantum computing is transitioning from fundamental research to early commercial application — with pharmaceutical discovery, financial optimisation, logistics scheduling, and cryptography breaking all emerging as near-term use cases with genuine enterprise buyer interest. Quantum hardware companies, quantum software developers, quantum cloud service providers, and quantum consulting firms are all making market entry and commercial launch decisions as the technology reaches commercial viability thresholds. GreyRadius helps quantum businesses validate enterprise buyer demand, navigate government programme access,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quantum advantage threshold — where quantum computers outperform classical computers on commercially relevant problems — is expected for specific use cases in 2025–2028. Companies that establish enterprise relationships and reference deployments before this threshold is crossed will define the commercial quantum market. Government quantum programmes in the US, EU, UK, Gulf, India, and Singapore are creating funded demand pathways that sophisticated market entrants can access now.",</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quantum computing market is projected to reach $450B by 2030 — with pharmaceutical, financial services, and logistics representing the largest near-term commercial market segments.",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"Quantum-as-a-service is becoming the dominant commercial deployment model — IBM, Google, and IonQ are all offering cloud-based quantum access that allows enterprises to experiment without capital investment in hardware.",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"Post-quantum cryptography is creating immediate commercial urgency — governments and enterprises need to upgrade encryption standards before fault-tolerant quantum computers can break current encryption, creating a near-term market for quantum-safe security solutions.",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quantum investment is accelerating globally — the US National Quantum Initiative, EU Quantum Flagship, UK National Quantum Strategy, and Gulf quantum programmes are all creating funded R&amp;D and procurement that companies can attach to."</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"Current quantum computers are noisy and error-prone — NISQ-era devices have limited qubit coherence and high error rates that restrict the complexity of problems they can solve reliably.",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education is still at an early stage — most corporate decision-makers do not understand quantum computing well enough to evaluate vendor claims or approve procurement budgets.",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"Talent scarcity is extreme — quantum computing requires physicists, mathematicians, and engineers with specialised skills that are rare globally, making delivery capacity a bottleneck.",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"Use case validation is complex — identifying the specific problems where quantum computers deliver advantage over classical computing requires deep technical and domain expertise."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validation|You need to identify which enterprise segments are actively exploring quantum computing applications and have budget to commit to proof-of-concept programmes.",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funded opportunity mapping|You need to understand which government quantum programmes, research grants, and co-investment opportunities are accessible to your quantum company.",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 quantum software or services company|You have a quantum platform or consulting service and need a go-to-market plan covering enterprise buyer acquisition and use case development.",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quantum venture|You are raising investment and need a pitch book that clearly explains the quantum advantage narrative, use case timeline,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"Use case identification and prioritisation|You need to identify which enterprise use cases — in which industries — your quantum technology should lead with to maximise near-term commercial traction.",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in quantum computing|You need to understand how competing quantum companies are positioned, funded, and winning enterprise relationships."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enterprise buyer interest in quantum computing applications for your target segment. Covers CTO and innovation leader interviews, use case mapping, competitive landscape,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quantum computing investments. Covers use case adoption modelling, development cost structure, revenue projections,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quantum companies. Government programme mapping, enterprise ICP definition, use case development partner identification, and first-enterprise-relationship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quantum software and services companies. Enterprise outreach, government programme pipeline, and first-proof-of-concept or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quantum ventures. Use-case-validated market sizing, quantum advantage narrative, technology timeline, and investor identification across deep tech and corporate venture funds.",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 identifying where classical AI and quantum computing complement each other and which problems are most suited for hybrid quantum-classical approaches."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quantum hardware companies or also with quantum software and services companies?|Both. We work with hardware companies on fundraising and market entry, and with software, cloud, and consulting companies on GTM and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quantum markets does GreyRadius focus on?|We focus on markets with active government quantum programmes and enterprise early adoption — Gulf, Singapore, India, and Europe.",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quantum market entry engagement take?|Typically 6–10 weeks for enterprise buyer research, government programme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explain quantum computing in pitch books for non-technical investors?|Yes. Translating quantum technology into clear investor narratives is a core part of our fundraising advisory for deep tech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"quantum computing market entry, quantum GTM strategy, quantum tech consulting, QC advisory, quantum business strategy, quantum computing advisory",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"robotics-automation",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"Robotics &amp; Industrial Automation Market Entry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robotics companies, industrial automation providers, and cobot manufacturers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"Robotics and industrial automation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factory floor to first production contract — strategy for robotics businesses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"Industrial robotics and automation are experiencing a period of accelerated global deployment — driven by labour cost inflation, supply chain resilience requirements, and advances in collaborative robot technology that make automation accessible to smaller manufacturers. Robot manufacturers, automation system integrators, machine vision companies, and industrial AI providers are all evaluating new market entry opportunities as robotics adoption spreads from automotive to electronics, food processing, and logistics. GreyRadius helps robotics businesses validate manufacturer demand, navigate system integration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"Manufacturing reshoring and supply chain diversification are creating robotics demand in markets that have historically relied on labour — Southeast Asian manufacturers facing rising labour costs are investing in automation, Indian manufacturers responding to PLI scheme incentives are upgrading production, and Gulf industrial diversification programmes are creating greenfield automation demand.",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industrial robotics market is projected to reach $100B by 2030 — with collaborative robots growing at 30% annually as the technology becomes affordable and flexible enough for small and medium manufacturers.",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"Labour cost inflation across Southeast Asia is the primary automation driver — rising wages in Vietnam, Thailand, and Malaysia are making robotics investments economically justified for mid-market manufacturers for the first time.",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"AI-powered computer vision and flexible grippers are enabling robots to handle previously unautomatable tasks — food processing, garment manufacturing, and e-commerce fulfilment are all seeing rapid robotics adoption.",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manufacturing incentives are embedding robotics requirements — India's PLI scheme, Malaysia's Industry4WRD programme, and Gulf industrial development plans all include automation adoption targets that create funded demand."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"System integration complexity is the primary adoption barrier — robots require complex integration with existing production equipment, IT systems, and workflows that small manufacturers cannot manage independently.",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"Technical talent for robotics installation, programming, and maintenance is scarce in many emerging markets — the talent gap is limiting deployment speed and increasing total cost of ownership.",</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"Return on investment timelines are extended for small and medium manufacturers — capital cost, integration cost, and productivity ramp-up periods make ROI calculations difficult to justify for smaller operations.",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"Safety certification and compliance requirements vary significantly across markets — CE marking, UL certification, and local safety standards require compliance investment before sales."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buyer demand validation|You need to identify which manufacturing segments and company sizes in your target market are actively evaluating robotics and automation investments.",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"System integrator partner strategy|You need to identify and engage the right system integrators, machine builders, and automation distributors who can deploy your robotics solution in a new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a robotics product or automation platform|You have a robot product or automation technology and need a go-to-market strategy covering manufacturer buyer acquisition and integrator channel development.",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"Feasibility for a robotics manufacturing or service investment|You are evaluating manufacturing or service operations in a new geography and need a full feasibility study.",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robotics venture|You are raising investment and need a pitch book grounded in manufacturer demand data and automation market sizing.",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robotics companies are positioned and winning manufacturing contracts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manufacturer demand for robotics and automation in a new market. Covers plant manager and operations buyer interviews, regulatory mapping, competitive landscape,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robotics manufacturing and service investments. Covers manufacturer demand modelling, system integration economics,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robotics companies. Regulatory certification pathway, system integrator and distributor identification, manufacturer ICP, and first-production-contract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robotics platforms. Manufacturer outreach, system integrator channel development,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robotics ventures. Manufacturer-demand-validated market sizing, automation ROI narrative,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robotics — from computer vision and adaptive grasping to autonomous navigation and predictive maintenance for production systems."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robot manufacturers or also with system integrators and automation software companies?|All three. We work with manufacturers on market entry and feasibility, system integrators on GTM and market entry, and automation software companies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robotics markets does GreyRadius cover?|Southeast Asia, South Asia, and the Gulf — markets where labour cost inflation and manufacturing investment are driving robotics demand fastest.",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robotics market entry engagement take?|Typically 6–10 weeks for manufacturer buyer research, partner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system integrator partners for robotics companies?|Yes. System integrator identification and initial commercial conversations are part of our market entry execution service."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"robotics market entry, automation GTM strategy, industrial robot consulting, cobot advisory, robotics market strategy, automation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"hyperscale-data-center",</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"data-centers",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"Hyperscale Data Center Market Entry Strategy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hyperscale data center developers, cloud campus operators, and digital infrastructure companies with market entry strategy, site feasibility,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"Hyperscale data center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"tagline": "From land to live — strategy for hyperscale data center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"Hyperscale data centers — facilities of 100MW+ capacity designed for cloud, AI, and enterprise workloads — are being deployed at unprecedented speed across Southeast Asia, South Asia, and the Gulf as cloud adoption and AI infrastructure demand surge. Hyperscale developers, digital infrastructure REITs, cloud campus operators, and sovereign AI infrastructure investors are all evaluating new market entry opportunities in markets where power, land, and tenant demand align. GreyRadius helps hyperscale businesses validate tenant demand, assess site feasibility, navigate regulatory requirements,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"Malaysia, Indonesia, India, and the Gulf are receiving billions in hyperscale data center investment in 2024–2026. Microsoft, Google, Amazon, and sovereign AI funds are all committing to new markets simultaneously. The land, power, and permit constraints in these markets mean that companies that move first on site acquisition and regulatory engagement will capture the limited high-quality development sites.",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"Hyperscale data center investment in Asia Pacific exceeded $30B in 2023 — with Malaysia, Singapore, India, and the Gulf attracting the largest individual commitments from global cloud providers and sovereign AI funds.",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training workloads require GPU-dense infrastructure with power densities of 20–30 kW per rack — significantly higher than conventional enterprise data centers, requiring different cooling, power, and building specifications.",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"Power purchase agreements for renewable energy are becoming a standard requirement for hyperscale tenants — data center developers that can secure long-term renewable PPAs have a significant competitive advantage in tenant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regulation is creating demand for market-specific hyperscale infrastructure — cloud providers need in-country data center capacity to serve regulated industries and government workloads in markets with localisation requirements."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"Power availability is the primary site constraint — securing 100MW+ of reliable power in a single location is extremely difficult in most emerging markets where grid infrastructure is limited.",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"Permitting timelines for large industrial developments are long — environmental impact assessments, building permits, and power connection agreements can take 18–36 months.",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"Cooling water availability is a growing constraint — hyperscale data centers require enormous quantities of cooling water that is scarce in arid markets including the Gulf and parts of South Asia.",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"Fibre connectivity and network peering infrastructure must be co-located — hyperscale sites require proximity to diverse fibre routes and internet exchange points that limit viable locations."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"Site and market feasibility|You are evaluating a hyperscale development site or market and need a full feasibility study covering power, land, water, connectivity, tenant demand,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"Hyperscale tenant demand validation|You need to validate that cloud provider and enterprise tenant demand exists in your target market before committing to site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"Power and utility engagement strategy|You need to understand how to engage utility companies, grid operators, and renewable energy providers to secure the power agreements needed for hyperscale development.",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government engagement|You need to navigate environmental permitting, zoning, and government incentive programmes for large-scale data center development.",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hyperscale investment|You are raising infrastructure capital and need a pitch book grounded in tenant demand data and site economics.",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landscape|You need to understand which hyperscale developers are building in your target market and how to differentiate your offering."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hyperscale tenant demand and market opportunity in a new geography. Covers cloud provider procurement team interviews, enterprise demand modelling, competitive analysis,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hyperscale data center investments. Covers power cost, land assessment, cooling options, construction cost, tenant demand, revenue model,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hyperscale developers. Regulatory pathway, utility engagement strategy, site shortlisting support, and first-tenant LOI or first-lease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data center service and technology companies serving hyperscale operators. Developer and operator outreach, supply chain partner pipeline, and first-contract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hyperscale investments. Tenant-demand-validated market sizing, site economics, power cost analysis, and investor identification across infrastructure PE and sovereign funds.",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hyperscale operations — from cooling optimisation and power usage effectiveness management to AI-driven capacity planning and predictive infrastructure maintenance."</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hyperscale developers or also with colocation operators serving hyperscale tenants?|Both. We work with hyperscale developers on site feasibility and market entry, and with colocation operators on market entry and tenant acquisition GTM.",</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hyperscale markets does GreyRadius cover?|Southeast Asia, South Asia, and the Gulf — markets receiving the largest hyperscale investment and where first-mover site advantages are most significant.",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hyperscale market entry engagement take?|Typically 8–12 weeks given the complexity of power assessment, tenant demand research, and regulatory mapping.",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utility and government engagement for hyperscale developments?|We map the engagement strategy and identify the right government and utility contacts — formal negotiations are conducted by the company."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"hyperscale data center market entry, cloud campus GTM, hyperscale consulting, large scale data center advisory, hyperscale market entry, AI infrastructure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"bnpl-embedded-finance",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"embedded-finance",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"BNPL &amp; Embedded Finance Market Entry Strategy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BNPL companies, embedded finance platforms, and lending technology providers with market entry strategy, GTM execution, regulatory mapping,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"BNPL and embedded finance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checkout to credit — strategy for embedded finance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"Buy now pay later and embedded finance are reshaping consumer credit across global markets — making instalment purchasing and working capital financing available at the point of transaction without requiring traditional bank relationships. BNPL operators, embedded lending platforms, invoice financing companies, and banking-as-a-service providers are all evaluating new market entry opportunities as consumers and merchants across Southeast Asia, South Asia, and the Gulf adopt embedded payment and credit solutions. GreyRadius helps embedded finance businesses validate consumer and merchant demand, navigate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"BNPL penetration in Southeast Asia and South Asia is in single digits — compared to 20–30% of e-commerce transactions in Australia and Sweden where BNPL is mature. The market entry window to establish BNPL infrastructure before regulatory tightening and market consolidation is open now in Indonesia, the Philippines, Vietnam, India, and several Gulf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BNPL market is projected to reach $700B in transaction value by 2028 — with Southeast Asia and South Asia growing at 40%+ annually as e-commerce adoption and financial inclusion converge.",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"Merchant-side BNPL adoption is accelerating faster than consumer-side — merchants see BNPL as a conversion rate tool and are actively seeking BNPL integration, reducing consumer acquisition cost for operators.",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"B2B embedded finance is growing faster than B2C — working capital financing embedded in procurement platforms, supply chain software, and B2B marketplaces is achieving higher transaction volumes and better credit performance than consumer BNPL.",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for BNPL are tightening globally — Australia, UK, EU, and several Asian markets are introducing affordability assessment requirements that will increase compliance costs but also create barriers to new entrants."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"Credit risk management without traditional credit bureau data is the primary operational challenge in emerging markets — building alternative data credit models takes time and creates early-stage loss rates.",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"Merchant acquisition is expensive — convincing merchants to integrate a new payment option requires sales investment, integration work, and merchant education that increases GTM cost.",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uncertainty is creating investor hesitancy — rapidly evolving BNPL regulation in multiple markets is making unit economics and compliance cost assumptions difficult to model.",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"Funding cost is rising — higher interest rates have increased the cost of capital for BNPL receivables, compressing margins and slowing the path to profitability."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"Consumer and merchant demand validation|You need to validate that consumers and merchants in your target market will adopt embedded finance products and what features and pricing they require.",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pathway|You need to understand lending licence requirements, consumer credit regulations, and BNPL-specific rules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"Merchant acquisition strategy|You need a structured merchant GTM plan — including target merchant segments, integration incentives, and first-merchant acquisition approach.",</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"Raising capital for a BNPL or embedded finance company|You are raising investment and need a pitch book grounded in transaction volume data, credit performance benchmarks, and unit economics.",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"Partnership and distribution strategy|You need to identify e-commerce platforms, marketplaces, and B2B software companies as embedded distribution channels.",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BNPL operators are positioned, pricing, and acquiring merchants and consumers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merchant demand for BNPL and embedded finance in a new market. Covers consumer surveys, merchant interviews, regulatory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embedded finance platform launches. Covers transaction volume modelling, credit loss assumptions, funding cost structure,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BNPL and embedded finance companies. Regulatory licence pathway, merchant acquisition strategy, platform partner identification, and first-transaction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BNPL platforms. Merchant acquisition execution, platform partnership development,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embedded finance ventures. Transaction-volume-validated market sizing, credit performance benchmarks,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embedded finance — from alternative credit scoring and fraud detection to dynamic limit management and automated collections."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BNPL companies or also with B2B embedded finance?|Both. We work with consumer BNPL operators on market entry and GTM, and with B2B embedded finance, supply chain finance, and working capital platforms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embedded finance markets does GreyRadius cover?|Southeast Asia, South Asia, the Gulf, and Africa — markets with high e-commerce growth and significant demand for embedded credit solutions.",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BNPL market entry engagement take?|Typically 6–10 weeks for consumer and merchant demand research, regulatory pathway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e-commerce platform partners for BNPL companies?|Yes. Platform partner identification and initial commercial conversations are part of our GTM Execution-as-a-Service for fintech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"BNPL market entry, embedded finance GTM, buy now pay later consulting, embedded lending advisory, BNPL strategy, fintech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"hospital-market-entry",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"medical-devices",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"Hospital &amp; Healthcare Provider Market Entry Strategy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hospital groups, healthcare operators, and clinic chains with market entry strategy, feasibility studies, GTM execution, and fundraising for new geography expansion.",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"Hospital and healthcare provider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licence application to first admitted patient — strategy for healthcare providers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"Hospital groups, specialty clinic chains, diagnostic centre operators, and primary care networks are all expanding into new geographies — driven by rising healthcare demand, government healthcare investment, and the commercial opportunity in markets where private healthcare quality is limited. GreyRadius helps healthcare providers validate patient demand, navigate regulatory and licensing requirements, identify partnership and acquisition opportunities, and raise capital — grounded in primary research with patients, clinicians, regulators, and hospital administrators.",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 and South Asia are experiencing a healthcare infrastructure deficit that is attracting international hospital groups, specialty clinic chains, and medical equipment distributors. The Gulf's healthcare system expansion — driven by national health strategies in Saudi Arabia and UAE — is creating both greenfield and joint venture opportunities for international healthcare providers. The investment windows tied to these national programmes are open now.",</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"Private healthcare spending in Southeast Asia is growing at 12% annually — driven by rising middle-class incomes, inadequate public healthcare capacity, and increasing chronic disease burden.",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"Medical tourism is a $100B+ global market — with Thailand, India, Malaysia, and Turkey as established destinations, and the Gulf, Vietnam, and Indonesia as emerging medical tourism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"Telemedicine integration is becoming a standard component of private hospital strategy — providers that offer hybrid in-person and digital care are achieving higher patient retention and broader geographic reach.",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"Specialty care — oncology, cardiology, orthopaedics, and fertility — is growing faster than general healthcare in emerging markets as middle-class consumers seek specialist care for complex conditions."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"Healthcare licensing requirements are complex and time-consuming — hospital licences, specialist registrations, and equipment approvals can take 2–4 years in many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"Medical talent localisation requirements restrict staffing flexibility — many markets require that a minimum percentage of medical staff be local nationals, creating talent recruitment challenges.",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"Insurance reimbursement infrastructure is underdeveloped in many emerging markets — private hospitals must either build cash-pay patient volumes or invest in insurance company network relationships.",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local private hospital groups is intensifying — JCI-accredited local operators are upgrading clinical quality and patient experience, raising the competitive bar for international entrants."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"Patient demand validation|You need to validate that sufficient patient demand exists in your target market for your clinical speciality and price point before committing to facility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pathway|You need to understand hospital licensing requirements, medical staff registration, equipment import approvals, and health ministry requirements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"Location and facility assessment|You need to evaluate potential facility locations, catchment area demographics, and competition density to identify the optimal market entry point.",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"Joint venture and acquisition target identification|You need to identify potential local healthcare partners, acquisition targets, or joint venture opportunities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healthcare expansion|You are raising investment for a hospital or clinic chain expansion and need a pitch book grounded in patient demand data and clinical market sizing.",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"Medical tourism programme strategy|You are evaluating international patient attraction and need a GTM plan covering referral partnerships, payer relationships, and patient acquisition channels."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patient demand and market opportunity for healthcare provider expansion. Covers patient surveys, clinician and administrator interviews, competitive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hospital and clinic investments. Covers patient volume modelling, staffing cost, facility capex, revenue per patient,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healthcare providers. Regulatory pathway, facility location assessment, JV partner identification, and first-admitted-patient or first-clinic-opening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healthcare groups. Payer and insurance network development, referral physician outreach,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healthcare expansions. Patient-demand-validated market sizing, clinical quality narrative, and investor identification across healthcare PE and family offices.",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hospital operations — from diagnostic AI and clinical decision support to patient flow optimisation and revenue cycle automation."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 groups or also with specialty clinic chains and diagnostic centres?|All three. We work with hospital groups on market entry and feasibility, specialty clinics on GTM and market entry, and diagnostic centres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healthcare markets does GreyRadius cover?|Southeast Asia, South Asia, the Gulf, and Africa — markets with significant private healthcare demand and government health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hospital market entry engagement take?|Typically 8–12 weeks given the complexity of regulatory licensing research and patient demand assessment.",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joint venture partners for hospital groups entering new markets?|Yes. JV partner identification and initial commercial discussions are part of our market entry execution service for healthcare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"hospital market entry, healthcare provider consulting, clinic expansion advisory, hospital group market entry, healthcare GTM strategy, medical provider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"pharma-distribution",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"pharma",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"Pharmaceutical Distribution Market Entry Strategy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pharmaceutical distribution companies, medicine supply chain businesses, and pharma logistics providers with market entry strategy, GTM execution, and feasibility studies.",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"Pharmaceutical distribution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"tagline": "From cold chain to pharmacy shelf — strategy for pharmaceutical distribution businesses.",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"Pharmaceutical distribution is one of the most regulated and operationally demanding logistics segments — requiring temperature-controlled supply chains, product registration compliance, pharmacovigilance systems, and healthcare professional relationship management across complex regulatory environments. Pharmaceutical wholesalers, specialty drug distributors, cold chain logistics providers for pharma, and medicine supply chain technology companies are all evaluating new market entry opportunities in Southeast Asia, South Asia, and the Gulf. GreyRadius helps pharma distribution businesses validate demand, navigate regulatory requirements, and build market positions.",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"Generic medicine demand is growing at 12% annually across Southeast Asia and South Asia as healthcare access improves and government insurance programmes expand formulary coverage. Specialty and biologics distribution is growing at 20%+ as oncology and immunology treatments become available in emerging markets for the first time. The distribution infrastructure being built now will serve these markets for decades.",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"Pharmaceutical distribution in Southeast Asia is highly fragmented — hundreds of regional distributors serve localised markets, creating significant consolidation opportunity for players with pan-regional capabilities.",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"Cold chain requirements are intensifying — biosimilars, vaccines, and cell therapies all require temperature-controlled distribution infrastructure that most regional distributors in Southeast Asia and South Asia lack.",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"Digital pharmacy platforms are growing at 30%+ annually — disrupting traditional distribution by enabling direct-to-consumer medicine delivery and creating new channel dynamics for pharmaceutical distributors.",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localisation requirements differ significantly across ASEAN markets — product registration, import licences, and distribution licensing requirements vary dramatically between Indonesia, Thailand, Philippines, Vietnam, and Malaysia."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"Product registration timelines vary from 6 months to 5 years across Southeast Asian markets — requiring market entry sequencing strategies that balance registration pipeline investment with commercial return timelines.",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"Cold chain infrastructure gaps create quality risk — in many markets, last-mile cold chain from regional warehouse to pharmacy is the weakest link, creating product quality and regulatory compliance risk.",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professional relationship management is critical but expensive — pharmaceutical distributors must maintain relationships with thousands of prescribing physicians across fragmented healthcare systems.",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"Currency and payment risk is significant in several markets — long accounts receivable cycles and currency volatility in frontier markets create working capital and FX risk."</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channel assessment|You need to understand medicine demand volume, channel structure, and competitive distribution landscape in your target pharmaceutical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and product registration pathway|You need to understand distribution licensing requirements, product registration processes, and import approval timelines across your target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 identification|You need to identify sub-distributors, pharmacy chains, hospital group procurement teams, and government tender bodies as channel partners and customers.",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"Cold chain infrastructure assessment|You need to evaluate cold chain infrastructure availability and gaps in your target market before committing to product distribution.",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pharma distribution business|You are raising investment and need a pitch book grounded in medicine demand data, channel economics,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pharmaceutical distributors are positioned, licensed, and winning accounts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medicine demand and distribution opportunity in a new market. Covers pharmacist and hospital procurement interviews, regulatory mapping, competitive analysis,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pharmaceutical distribution investments. Covers demand volume modelling, cold chain infrastructure cost, regulatory compliance cost,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pharma distribution companies. Regulatory licence pathway, product registration strategy, channel partner identification, and first-account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pharma distribution. Pharmacy and hospital account outreach, government tender pipeline,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pharma distribution ventures. Demand-validated market sizing, channel economics, regulatory timeline,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pharmaceutical distribution — from demand forecasting and inventory optimisation to cold chain monitoring, pharmacovigilance automation, and route optimisation."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full-line pharmaceutical wholesalers or also specialty distributors?|Both. We work with full-line wholesalers on market entry and channel development, and with specialty and biologics distributors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pharmaceutical distribution markets does GreyRadius cover?|Southeast Asia, South Asia, and the Gulf — markets with significant pharmaceutical demand growth and complex regulatory environments.",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pharma distribution market entry engagement take?|Typically 8–12 weeks given the complexity of regulatory licensing mapping and channel demand research.",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pharmacy and hospital distribution partners?|Yes. Channel partner identification and initial commercial conversations are part of our market entry execution service."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"pharma distribution market entry, medicine supply chain GTM, pharmaceutical logistics consulting, drug distribution advisory, pharma market entry, medicine distribution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"mental-health-market-entry",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"mental-health-tech",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"Mental Health Technology Market Entry Strategy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mental health technology companies, digital therapy platforms, and mental wellness providers with market entry strategy,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"Mental health technology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clinical validation to first session — strategy for mental health tech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"Mental health technology is one of the fastest-growing segments in digital health — driven by rising awareness of mental health conditions, a severe shortage of mental health professionals in most markets, and the increasing willingness of consumers to access therapy through digital channels. Mental health app developers, teletherapy platforms, employee wellness companies, and digital psychiatry providers are all expanding into new geographies. GreyRadius helps mental health tech businesses validate consumer and corporate buyer demand, navigate clinical and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"Mental health awareness is reaching a tipping point across Southeast Asia, South Asia, and the Gulf — driven by post-pandemic mental health awareness, increasing media coverage, and generational shifts in attitude toward seeking help. Governments in Singapore, UAE, Saudi Arabia, and India are all launching national mental health programmes. The companies that establish market positions in 2025–2027 will capture the first wave of scaled adoption.",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"The global digital mental health market is projected to reach $100B by 2030 — with Southeast Asia and South Asia growing at 25%+ annually as awareness rises and digital access infrastructure improves.",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"Corporate employer demand for mental health benefits is growing at 30%+ annually — HR directors in Singapore, Gulf companies, and Indian technology firms are actively seeking employee mental health platforms to reduce burnout and improve retention.",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"AI-powered therapy support tools — chatbots, mood tracking, and automated crisis assessment — are reducing the cost of mental health support significantly but are creating regulatory scrutiny in markets that classify them as medical devices.",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"Teletherapy demand is growing rapidly but supply is constrained — licensed therapist availability is severely limited in most emerging markets, creating a talent bottleneck that limits platform scale."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"Stigma around mental health remains high in many markets — consumers are reluctant to disclose mental health needs to employers or seek professional help, limiting market adoption rates.",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"Therapist supply is severely constrained — licensed clinical psychologists and psychiatrists are scarce in Southeast Asia, South Asia, and the Gulf, limiting the human-delivered therapy model.",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digital mental health products is uncertain — some markets classify AI therapy tools as medical devices requiring clinical evidence, while others regulate them as wellness apps.",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"Insurance reimbursement for digital mental health is limited — most mental health platforms in emerging markets operate in a cash-pay environment without insurance coverage, limiting addressable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"Consumer and corporate demand validation|You need to validate willingness to use and pay for digital mental health services in your target market — including stigma assessment, price sensitivity, and feature preferences.",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and clinical evidence requirements|You need to understand how your mental health product is classified in your target market and what clinical evidence is required.",</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"Corporate employer GTM strategy|You have a mental health platform and need a strategy for selling to corporate HR and benefits teams — the fastest growing distribution channel for mental health services.",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mental health tech venture|You are raising investment and need a pitch book grounded in demand data, clinical evidence, and employer market sizing.",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"Therapist supply and clinical partnership strategy|You need to identify licensed therapist networks, clinical training institutions, and mental health professional associations as supply-side partners.",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mental health platforms are positioned, priced, and acquiring users and corporate clients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corporate demand for digital mental health in a new market. Covers consumer surveys, HR buyer interviews, regulatory classification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mental health platform launches. Covers consumer demand modelling, corporate channel sizing, therapist supply assessment, and investor-ready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mental health tech companies. Regulatory pathway, therapist network identification, corporate HR buyer ICP, and first-user or first-employer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mental health platforms. Corporate employer outreach, insurance network development, and first-contract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mental health tech ventures. Demand-validated market sizing, clinical evidence narrative, and investor identification across digital health and impact investors.",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mental health — from AI-powered mood assessment and crisis detection to automated therapy session scheduling and personalised intervention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therapy platforms or also with employee wellness and corporate mental health companies?|Both. We work with therapy platforms on market entry and GTM, and with corporate wellness and employee mental health companies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mental health markets does GreyRadius cover?|Southeast Asia, South Asia, the Gulf, and Africa — markets where mental health awareness is growing fastest and digital delivery is most needed.",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mental health market entry engagement take?|Typically 6–10 weeks for consumer demand research, regulatory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consumers on sensitive mental health topics?|Yes. We use appropriate research methodologies including anonymous surveys and trained moderators to conduct sensitive consumer research on mental health topics."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"mental health tech market entry, digital therapy GTM, mental wellness consulting, therapy platform advisory, digital mental health strategy, mental health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"esg-reporting",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"ESG Reporting &amp; Sustainability Consulting | Market Entry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ESG software companies, sustainability consulting firms, and green finance advisors with market entry strategy,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"ESG reporting and sustainability consulting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carbon disclosure to first enterprise client — strategy for ESG and sustainability businesses.",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"ESG reporting regulation is tightening globally — the EU Corporate Sustainability Reporting Directive, SEC climate disclosure rules, and mandatory ESG reporting frameworks across Southeast Asia and the Gulf are creating significant demand for ESG software, sustainability consulting, and green finance advisory. ESG technology companies, carbon accounting platforms, sustainability advisory firms, and green finance advisors are all evaluating new market entry opportunities as corporate sustainability spending accelerates. GreyRadius helps ESG businesses validate enterprise buyer demand, navigate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"Mandatory ESG reporting is expanding rapidly — IFRS S1 and S2 sustainability disclosure standards are being adopted across Southeast Asia, South Asia, and the Gulf, creating compliance deadlines that enterprises are scrambling to meet. The companies that establish ESG software and advisory relationships with large corporations in 2025–2027 will hold multi-year contract value as reporting requirements intensify.",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ESG software market is projected to reach $20B by 2028 — growing at 26% annually as mandatory disclosure requirements expand from European markets to Asia Pacific, North America, and the Gulf.",</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"Scope 3 emissions reporting is emerging as the most complex and valuable ESG advisory opportunity — supply chain emissions data collection requires deep primary research across supplier networks that most ESG software cannot automate.",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"ESG ratings divergence is creating enterprise buyer confusion — companies rated differently by MSCI, Sustainalytics, and CDP are seeking advisory support to understand and improve their ESG positioning across rating methodologies.",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"Green finance and sustainability-linked lending is growing — banks across Southeast Asia and the Gulf are requiring ESG performance data from corporate borrowers, creating demand for ESG reporting software and advisory."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"ESG data quality is poor across most corporate supply chains — collecting reliable, auditable ESG data from hundreds of suppliers across multiple geographies is technically and operationally complex.",</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"ESG reporting framework proliferation creates compliance complexity — GRI, SASB, TCFD, CSRD, and IFRS S1/S2 all have different requirements that enterprises must navigate simultaneously.",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buying decisions for ESG software are made slowly and by multiple stakeholders — procurement, sustainability, finance, and legal all have input, extending sales cycles.",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is high in emerging markets — corporations in Southeast Asia and South Asia are early in ESG maturity and resistant to large ESG software investments before they face mandatory reporting requirements."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validation|You need to validate which enterprise segments are actively spending on ESG reporting and what their software and advisory requirements are.",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 and compliance requirement mapping|You need to understand which ESG reporting regulations apply to your target market's enterprises and when compliance deadlines fall.",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an ESG software or advisory business|You have an ESG platform or consulting service and need a go-to-market plan covering enterprise buyer acquisition and financial institution channel development.",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ESG tech venture|You are raising investment and need a pitch book grounded in regulatory demand data and enterprise buyer market sizing.",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"Financial institution and corporate partnership strategy|You need to identify banks, asset managers, and corporate procurement programmes as ESG distribution channels.",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ESG software and advisory companies are positioned and winning enterprise clients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demand for ESG reporting software and advisory in a new market. Covers sustainability director and CFO interviews, regulatory mapping, competitive landscape,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ESG technology investments. Covers enterprise adoption modelling, regulatory deadline timeline, revenue per client, and investor-ready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ESG software and advisory companies. Regulatory compliance framework mapping, enterprise ICP definition, financial institution channel development, and first-client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ESG platforms. Corporate sustainability buyer outreach, bank and asset manager channel development, and first-contract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ESG tech ventures. Regulatory-deadline-validated demand sizing, enterprise buyer research,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ESG — from automated data collection and Scope 3 supplier assessment to ESG rating prediction and automated regulatory report generation."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ESG software companies or also with sustainability consulting firms?|Both. We work with ESG software companies on market entry and GTM, and with sustainability consulting firms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ESG markets does GreyRadius cover?|Southeast Asia, South Asia, the Gulf, and Europe — markets where ESG regulation is tightening fastest and corporate sustainability spending is growing.",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ESG market entry engagement take?|Typically 6–10 weeks for enterprise buyer research, regulatory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map mandatory ESG reporting timelines across multiple markets?|Yes. Regulatory timeline mapping is a core part of our market entry service for ESG companies — helping clients understand where compliance urgency is highest."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"ESG consulting market entry, sustainability reporting GTM, ESG advisory, ESG software market entry, corporate sustainability consulting, sustainability market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"slug": "social-commerce",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"ecommerce-tech",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"Social Commerce Market Entry Strategy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social commerce platforms, live shopping companies, and social selling technology providers with market entry strategy, GTM execution,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"Social commerce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social feed to checkout — strategy for social commerce businesses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"Social commerce — the integration of social media and e-commerce into a single shopping experience — is growing at extraordinary speed across Southeast Asia, driven by TikTok Shop, Instagram Shopping, and live commerce platforms that have made social media the primary product discovery and purchase channel for hundreds of millions of consumers. Social commerce platforms, live shopping technology providers, creator commerce companies, and social selling tools are all evaluating new market entry opportunities as social commerce adoption spreads from China and Southeast Asia to South Asia, the Gulf, and beyond. GreyRadius helps social commerce businesses validate consumer and merchant demand,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Asia's social commerce market has grown from near zero to $15B+ in three years — driven by TikTok Shop's expansion and the creator economy. India's social commerce market is estimated at $70B potential, still in the very early stages. The Gulf's high social media usage and premium consumer spending create a significant social commerce opportunity that is largely untapped. The companies building social commerce infrastructure in these markets in 2025–2027 are setting foundations for decade-long market positions.",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"Social commerce transaction value in Southeast Asia exceeded $30B in 2023 — with TikTok Shop becoming the dominant platform in Indonesia, Thailand, and Vietnam within three years of launch.",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"Live shopping — real-time video selling with immediate purchase capability — is growing at 50%+ annually in Southeast Asia and is now expanding to South Asia and the Gulf.",</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"Creator-to-consumer commerce is the fastest-growing social commerce segment — micro-influencers with 10,000–100,000 followers are achieving conversion rates 10x higher than traditional digital advertising.",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social commerce is creating new market entry opportunities for brands — Southeast Asian consumers are purchasing directly from Chinese, Korean, and Japanese brands through social commerce channels."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"Platform dependence creates concentration risk — social commerce businesses built on TikTok Shop, Instagram, or YouTube face algorithm changes and policy shifts that can dramatically affect discovery and sales.",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"Counterfeit and trust issues on social commerce platforms are reducing consumer confidence — quality authentication and seller verification are becoming critical differentiators.",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"Logistics and returns infrastructure for social commerce is fragmented — the high return rates and impulse purchase patterns of social commerce require specialised fulfilment and returns handling.",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"Creator monetisation economics are evolving — creator fees, platform commissions, and brand payment terms are still being negotiated across the ecosystem, creating margin uncertainty."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"Consumer and merchant demand validation|You need to validate that consumers in your target market are ready for social commerce and that merchants will adopt your platform or technology.",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"Platform and channel strategy|You need to identify which social platforms — TikTok, Instagram, YouTube, WhatsApp — have the highest social commerce traction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a social commerce platform or tool|You have a social commerce platform, live shopping tool, or creator commerce product and need a go-to-market strategy covering creator and merchant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social commerce venture|You are raising investment and need a pitch book grounded in consumer demand data, GMV projections, and monetisation benchmarks.",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"Creator network and supply strategy|You need to identify creator agencies, influencer networks, and brand supplier communities as supply-side partners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TikTok Shop, Instagram Shopping, and local social commerce platforms are competing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merchant demand for social commerce in a new market. Covers consumer shopping surveys, merchant interviews, platform analysis,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social commerce platform investments. Covers GMV modelling, take rate analysis, creator acquisition cost, and investor-ready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social commerce companies. Platform partnership strategy, creator network development, merchant acquisition plan, and first-transaction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social commerce platforms. Creator and merchant acquisition execution, brand partnership pipeline, and first-GMV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social commerce ventures. Consumer-demand-validated GMV projections, monetisation benchmarks,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social commerce — from product recommendation and creator matching to live stream optimisation and automated creator performance analytics."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social commerce platforms or also with brands and retailers selling through social commerce?|Both. We work with platforms on market entry and GTM, and with brands using social commerce as a channel on market entry and distribution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social commerce markets does GreyRadius cover?|Southeast Asia, South Asia, and the Gulf — markets where social commerce adoption is fastest and where creator economy infrastructure is developing.",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social commerce market entry engagement take?|Typically 6–10 weeks for consumer demand research, platform analysis,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creator networks and brand suppliers for social commerce companies?|Yes. Creator network and brand supplier identification are part of our market entry execution service for social commerce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"social commerce market entry, live shopping GTM strategy, social selling consulting, social commerce advisory, live commerce market entry, creator commerce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"circular-economy",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"Circular Economy &amp; Waste Technology Market Entry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circular economy companies, waste technology providers, and recycling businesses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"Circular economy and waste technology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waste stream to resource stream — strategy for circular economy businesses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"The circular economy is transitioning from a sustainability concept to a commercially significant sector — driven by resource scarcity, regulatory waste reduction mandates, and the economic value of recovered materials. Recycling technology companies, waste-to-energy operators, take-back programme developers, packaging substitution companies, and circular economy platform developers are all evaluating new market entry opportunities as governments and corporations commit to circular economy targets. GreyRadius helps circular economy businesses validate commercial demand, navigate regulatory requirements,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"Extended producer responsibility regulation is expanding globally — packaging EPR is now mandatory or being implemented in the EU, UK, India, Indonesia, and several Gulf markets. EPR creates funded demand for recycling infrastructure, collection systems, and recycled material processing that is driven by compliance obligation rather than consumer willingness to pay. The infrastructure being built to meet EPR requirements in 2024–2028 will define recycling ecosystems for decades.",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circular economy market is projected to reach $4.5T by 2030 — with packaging recycling, e-waste, battery recycling, and textile recycling representing the largest near-term commercial segments.",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"Extended producer responsibility regulation is creating guaranteed revenue streams for recycling infrastructure — companies that align their business model with EPR compliance obligations are achieving faster revenue ramp-up than those relying on voluntary corporate sustainability commitments.",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"Battery recycling is emerging as one of the most commercially valuable recycling segments — lithium, cobalt, and nickel recovered from EV batteries are approaching the value of primary materials in some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"Waste-to-energy technology is gaining acceptance as an interim waste management solution in markets without adequate organic waste treatment infrastructure — Southeast Asian governments are increasingly approving WtE projects."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"Waste collection infrastructure is fragmented and informal in many markets — the informal waste collection sector in Southeast Asia and South Asia makes it difficult to build formal recycling supply chains.",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"Material quality from mixed waste streams is poor — contamination reduces the value of recovered materials and increases processing cost, affecting unit economics.",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"Consumer behaviour change for waste sorting is slow — achieving the participation rates needed for effective recycling programmes requires sustained consumer education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"Recycled material price volatility affects business model stability — recycled material prices track primary material markets and can fall dramatically, affecting the economics of recycling operations."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regulatory assessment|You need to understand EPR obligations, waste management regulations, and corporate sustainability commitments that create demand for circular economy solutions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"Waste stream and material value assessment|You need to assess the volume, quality, and commercial value of waste streams available in your target market for recycling or recovery.",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circular economy technology|You have a recycling technology, take-back programme, or circular economy platform and need a go-to-market strategy covering corporate and government buyer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circular economy venture|You are raising investment and need a pitch book grounded in EPR regulatory demand, material value analysis,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"Corporate sustainability partnership strategy|You need to identify large corporations with EPR obligations as anchor customers for your recycling or take-back programme.",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recycling operators and waste technology companies are positioned and winning EPR compliance contracts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corporate and government demand for circular economy solutions in a new market. Covers EPR obligation analysis, corporate sustainability buyer interviews, competitive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circular economy investments. Covers waste stream volume modelling, material value analysis, processing cost structure,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circular economy companies. Regulatory compliance mapping, corporate anchor customer identification, and first-EPR-contract or first-tonnage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recycling and circular economy platforms. Corporate and government outreach, EPR compliance programme development, and first-revenue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circular economy ventures. EPR-demand-validated market sizing, material economics, and investor identification across sustainability and impact investors.",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circular economy — from material sorting optimisation and quality assessment to waste stream forecasting and collection route optimisation."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recycling technology companies or also with EPR compliance and take-back programme operators?|Both. We work with recycling technology companies on market entry and feasibility, and with EPR compliance operators and take-back programmes on market entry and GTM.",</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circular economy markets does GreyRadius cover?|Southeast Asia, South Asia, the Gulf, and Europe — markets with active EPR legislation and growing corporate sustainability commitments.",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circular economy market entry engagement take?|Typically 6–10 weeks for regulatory mapping, waste stream assessment,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corporate EPR compliance partners for recycling companies?|Yes. Corporate EPR programme partner identification and initial commercial discussions are part of our market entry execution service."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"circular economy market entry, waste tech GTM, recycling consulting, EPR advisory, circular economy strategy, waste technology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"slug": "agritech",</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"Agritech &amp; Smart Farming Market Entry Strategy | GreyRadius",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agritech companies, precision agriculture providers, and farm technology businesses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"Agritech and smart farming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sensor to harvest — strategy for agritech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"Agricultural technology is transforming farming across Asia and Africa — with precision agriculture, drone spraying, IoT soil monitoring, AI crop disease detection, and digital marketplace platforms all creating significant market entry opportunities in markets where smallholder farmers are the primary agricultural producers. Agritech companies, agricultural input distributors, farm management platform developers, and agricultural fintech providers are all evaluating new geographies. GreyRadius helps agritech businesses validate farmer and agribusiness demand, navigate distribution challenges,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"Government digitalisation of agriculture is accelerating across Southeast Asia, South Asia, and Africa — digital farmer ID systems, subsidised agritech procurement, and agricultural extension programmes are all creating funded demand channels for agritech companies. India's Digital Agriculture Mission, Indonesia's smart farming initiatives, and the Gulf's food security programmes are all creating institutional demand that sophisticated agritech companies can access.",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"Global agritech market is projected to reach $50B by 2030 — with precision agriculture, crop monitoring, and agricultural fintech representing the largest commercial segments in Southeast Asia and South Asia.",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"Smallholder farmer platforms are growing rapidly — agritech companies that serve the 500 million smallholder farmers across Asia and Africa are accessing a market that has been commercially underserved.",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"Drone spraying services are achieving rapid adoption in Southeast Asian rice and palm farming — cost reductions of 30–50% versus manual spraying are driving adoption among commercial farmers.",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input marketplaces are disrupting traditional distribution — digital platforms that connect farmers directly with seed, fertiliser, and pesticide suppliers are capturing margin from traditional distributors."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"Smallholder farmer technology adoption is slow — limited smartphone penetration, low digital literacy, and risk aversion to new technologies make direct farmer acquisition expensive and slow.",</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"Last mile distribution to rural farming communities is challenging — reaching smallholder farmers across dispersed rural geographies requires either field sales forces or agricultural cooperative partnerships.",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"Willingness to pay for agritech is limited among smallholder farmers — the productivity improvement must be clearly demonstrated and the cost recovery period short before adoption.",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data quality and connectivity in rural areas is poor — IoT and precision agriculture technologies require reliable connectivity that is absent in many farming communities."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"Farmer and agribusiness demand validation|You need to validate that farmers and agricultural businesses in your target market will adopt and pay for your agritech solution.",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partner identification|You need to identify agricultural cooperatives, input distributors, microfinance institutions, and government extension programmes as distribution channels.",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an agritech platform|You have a farm management app, precision agriculture technology, or agricultural marketplace and need a go-to-market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agritech venture|You are raising investment and need a pitch book grounded in farmer demand data, adoption benchmarks, and market sizing.",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subsidy access|You need to map government agricultural digitalisation programmes and subsidy schemes that can subsidise farmer adoption of your agritech solution.",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agritech companies are distributed and achieving farmer adoption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farmer and agribusiness demand for your agritech solution in a new market. Covers farmer surveys, agribusiness interviews, distribution landscape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agritech investments. Covers farmer adoption modelling, distribution cost structure, revenue per farmer, and investor-ready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agritech companies. Distribution partner identification, government programme engagement, farmer ICP definition, and first-adoption milestone.",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agritech platforms. Agricultural cooperative and distributor outreach, government programme pipeline, and first-farmer-acquisition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agritech ventures. Farmer-demand-validated market sizing, adoption economics,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agriculture — from crop disease detection and yield prediction to precision irrigation management and automated pest monitoring."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precision agriculture companies or also with agricultural marketplace and fintech companies?|All three. We work with precision agriculture companies on market entry and feasibility, agricultural marketplaces on GTM and market entry, and agricultural fintech on market entry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agritech markets does GreyRadius cover?|Southeast Asia, South Asia, and Africa — markets with the largest smallholder farmer populations and most significant government agritech investment.",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agritech market entry engagement take?|Typically 6–10 weeks for farmer demand research, distribution mapping, and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agricultural cooperative and government programme partners for agritech companies?|Yes. Distribution partner and government programme identification are part of our market entry execution service."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"agritech market entry, smart farming GTM strategy, precision agriculture consulting, agri tech advisory, farm technology market entry, agricultural technology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"slug": "space-tech-market-entry",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"title": "Space Technology Market Entry Strategy | GreyRadius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space technology companies, satellite operators, and new space ventures with market entry strategy, GTM execution, feasibility studies, and fundraising.",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"h1": "Space technology market entry strategy",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orbit to commercial contract — strategy for space technology companies entering new markets.",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"hero": "The space technology sector is undergoing commercialisation at unprecedented speed — with launch cost reductions, miniaturisation of satellite technology, and the emergence of a vibrant new space ecosystem creating market entry opportunities for satellite operators, earth observation companies, space data analytics providers, and in-space manufacturing companies. GreyRadius helps space technology businesses validate commercial demand from government and enterprise buyers, navigate regulatory frameworks, execute GTM plans, and raise capital.",</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"Government space budgets are growing globally — the Gulf's national space programmes, India's ISRO commercialisation, Southeast Asia's satellite connectivity demand, and Africa's earth observation needs are all creating market entry opportunities for space technology companies. The commercial space data and connectivity market is transitioning from niche to mainstream in 2024–2028, and companies entering these markets now are defining the competitive landscape.",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"Global commercial space market is projected to reach $1T by 2040 — with satellite broadband, earth observation, and space-enabled services growing fastest in the near term.",</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"Earth observation data from commercial satellites is becoming the primary source of ground truth for agriculture, urban planning, disaster response, and defence applications — creating significant commercial demand.",</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"LEO satellite broadband — Starlink, OneWeb, and competitors — is extending internet connectivity to unserved and underserved populations across Africa, Southeast Asia, and South Asia, creating both distribution challenges and market opportunities for new entrants.",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space programmes in the Gulf, India, and Southeast Asia are explicitly creating commercial opportunities for private companies through launch contracts, data procurement, and satellite technology development partnerships."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"Spectrum licensing and orbital slot registration are complex international regulatory processes — ITU coordination and national spectrum authority licensing require significant time and expertise.",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customer procurement for space technology is long and complex — defence and intelligence procurement cycles, national security review requirements, and certification processes extend sales timelines.",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"Technology development risk is high — satellite systems have long development cycles, high failure risk during launch, and complex ground infrastructure requirements.",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"Commercial data market pricing is declining rapidly — the proliferation of satellite constellations is driving earth observation data prices down, compressing the revenue model for data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enterprise buyer demand validation|You need to validate which government agencies and enterprise buyers are actively procuring space data, connectivity, or technology solutions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mapping|You need to understand satellite licensing, spectrum coordination, and space operations approval requirements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"GTM for space data or satellite services|You have an earth observation, connectivity, or space analytics product and need a go-to-market strategy covering government and enterprise buyer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space technology venture|You are raising investment and need a pitch book that clearly explains the commercial opportunity, technology risk, and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partnership identification|You need to identify national space agencies, defence procurement programmes, and government data buying programmes as anchor customers.",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satellite operators and space data companies are positioned and winning government and enterprise contracts in your target market."</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enterprise demand for your space technology in a new market. Covers government agency and enterprise buyer interviews, regulatory pathway mapping, and a Go/Defer/Kill recommendation.",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space technology investments. Covers demand modelling, system development cost, launch economics, and bankable financial projections.",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space technology companies. Regulatory approval pathway, government programme mapping, enterprise buyer ICP, and first-contract acquisition.",</w:t>
      </w:r>
    </w:p>
    <w:p w:rsidR="00686A4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"Embedded GTM team for space data and satellite services companies. Government agency outreach, enterprise buyer pipeline, and first-contract milestone tracking.",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space technology ventures. Commercial-demand-validated market sizing, technology narrative, launch risk analysis, and investor identification.",</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space — from automated satellite operations and anomaly detection to AI-powered earth observation analytics and predictive maintenance."</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satellite manufacturers or also with earth observation and space data analytics companies?|Both. We work with satellite manufacturers on fundraising and market entry, and with earth observation and space data companies on GTM and market entry.",</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"What space technology markets does GreyRadius focus on?|Gulf, Southeast Asia, South Asia, and Africa — markets with active government space programmes and growing demand for satellite connectivity and earth observation data.",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space technology market entry engagement take?|Typically 8–12 weeks given the complexity of government buyer research and regulatory pathway mapping.",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procurement contacts for space technology companies?|Yes. Government agency identification and initial commercial conversations are part of our market entry execution service for space companies."</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"keywords": "space tech market entry, satellite GTM strategy, space commerce consulting, new space advisory, space technology market entry, satellite connectivity consulting",</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686A4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686A4F" w:rsidRDefault="00000000">
      <w:pPr>
        <w:shd w:val="clear" w:color="auto" w:fill="F0F0F0"/>
        <w:spacing w:before="14" w:after="14"/>
        <w:ind w:left="360"/>
      </w:pPr>
      <w:r>
        <w:rPr>
          <w:rFonts w:ascii="Courier New" w:eastAsia="Courier New" w:hAnsi="Courier New" w:cs="Courier New"/>
          <w:color w:val="1B2A4A"/>
          <w:sz w:val="16"/>
          <w:szCs w:val="16"/>
        </w:rPr>
        <w:t>]</w:t>
      </w:r>
    </w:p>
    <w:p w:rsidR="00686A4F" w:rsidRDefault="00686A4F">
      <w:pPr>
        <w:pBdr>
          <w:bottom w:val="single" w:sz="8" w:space="1" w:color="1B2A4A"/>
        </w:pBdr>
        <w:spacing w:before="200" w:after="200"/>
      </w:pPr>
    </w:p>
    <w:p w:rsidR="00686A4F" w:rsidRDefault="00000000">
      <w:pPr>
        <w:pStyle w:val="Heading1"/>
      </w:pPr>
      <w:r>
        <w:t>Next: Batch 3</w:t>
      </w:r>
    </w:p>
    <w:p w:rsidR="00686A4F" w:rsidRDefault="00000000">
      <w:pPr>
        <w:spacing w:before="60" w:after="60"/>
      </w:pPr>
      <w:r>
        <w:rPr>
          <w:color w:val="222222"/>
        </w:rPr>
        <w:t>Batch 3 will cover pages 61-80 including:</w:t>
      </w:r>
    </w:p>
    <w:p w:rsidR="00686A4F" w:rsidRDefault="00000000">
      <w:pPr>
        <w:pStyle w:val="ListParagraph"/>
        <w:numPr>
          <w:ilvl w:val="0"/>
          <w:numId w:val="2"/>
        </w:numPr>
        <w:spacing w:before="40" w:after="40"/>
      </w:pPr>
      <w:r>
        <w:rPr>
          <w:color w:val="222222"/>
        </w:rPr>
        <w:t>Remaining Tier 2: Medical Devices, Pharma, Diagnostics, Hotels &amp; Resorts, K-12 Edtech, Corporate Learning, Higher Education, Creator Economy, Beauty &amp; Personal Care, Health Supplements</w:t>
      </w:r>
    </w:p>
    <w:p w:rsidR="00686A4F" w:rsidRDefault="00000000">
      <w:pPr>
        <w:pStyle w:val="ListParagraph"/>
        <w:numPr>
          <w:ilvl w:val="0"/>
          <w:numId w:val="2"/>
        </w:numPr>
        <w:spacing w:before="40" w:after="40"/>
      </w:pPr>
      <w:r>
        <w:rPr>
          <w:color w:val="222222"/>
        </w:rPr>
        <w:t>Tier 3 long-tail: Halal Cosmetics, Halal Tourism, Modest Fashion, Wealthtech, Open Banking, Remittance, Digital Diagnostics, MedTech Wearables, Smart City, Affordable Housing, REIT, Industrial Real Estate, Sustainable Packaging, Vertical Farming, Digital Twin, Plant-Based Food, Functional Food, Luxury Goods, Sports &amp; Wellness, Pet Economy</w:t>
      </w:r>
    </w:p>
    <w:p w:rsidR="00686A4F" w:rsidRDefault="00000000">
      <w:pPr>
        <w:spacing w:before="400"/>
      </w:pPr>
      <w:r>
        <w:rPr>
          <w:i/>
          <w:iCs/>
          <w:color w:val="666666"/>
          <w:sz w:val="16"/>
          <w:szCs w:val="16"/>
        </w:rPr>
        <w:t>GreyRadius Consulting | SEO Build Pack Batch 2 | May 2026 | Confidential</w:t>
      </w:r>
    </w:p>
    <w:sectPr w:rsidR="00686A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560C"/>
    <w:multiLevelType w:val="hybridMultilevel"/>
    <w:tmpl w:val="91280FE2"/>
    <w:lvl w:ilvl="0" w:tplc="BF4EA624">
      <w:start w:val="1"/>
      <w:numFmt w:val="bullet"/>
      <w:lvlText w:val="•"/>
      <w:lvlJc w:val="left"/>
      <w:pPr>
        <w:ind w:left="720" w:hanging="360"/>
      </w:pPr>
    </w:lvl>
    <w:lvl w:ilvl="1" w:tplc="5E8EE1FA">
      <w:numFmt w:val="decimal"/>
      <w:lvlText w:val=""/>
      <w:lvlJc w:val="left"/>
    </w:lvl>
    <w:lvl w:ilvl="2" w:tplc="B554CB6E">
      <w:numFmt w:val="decimal"/>
      <w:lvlText w:val=""/>
      <w:lvlJc w:val="left"/>
    </w:lvl>
    <w:lvl w:ilvl="3" w:tplc="FA6A59B2">
      <w:numFmt w:val="decimal"/>
      <w:lvlText w:val=""/>
      <w:lvlJc w:val="left"/>
    </w:lvl>
    <w:lvl w:ilvl="4" w:tplc="85A69BDA">
      <w:numFmt w:val="decimal"/>
      <w:lvlText w:val=""/>
      <w:lvlJc w:val="left"/>
    </w:lvl>
    <w:lvl w:ilvl="5" w:tplc="8F18FB42">
      <w:numFmt w:val="decimal"/>
      <w:lvlText w:val=""/>
      <w:lvlJc w:val="left"/>
    </w:lvl>
    <w:lvl w:ilvl="6" w:tplc="9CF84C1A">
      <w:numFmt w:val="decimal"/>
      <w:lvlText w:val=""/>
      <w:lvlJc w:val="left"/>
    </w:lvl>
    <w:lvl w:ilvl="7" w:tplc="12AC93B8">
      <w:numFmt w:val="decimal"/>
      <w:lvlText w:val=""/>
      <w:lvlJc w:val="left"/>
    </w:lvl>
    <w:lvl w:ilvl="8" w:tplc="8AB25EC4">
      <w:numFmt w:val="decimal"/>
      <w:lvlText w:val=""/>
      <w:lvlJc w:val="left"/>
    </w:lvl>
  </w:abstractNum>
  <w:abstractNum w:abstractNumId="1" w15:restartNumberingAfterBreak="0">
    <w:nsid w:val="16FE40A6"/>
    <w:multiLevelType w:val="hybridMultilevel"/>
    <w:tmpl w:val="E1DE8716"/>
    <w:lvl w:ilvl="0" w:tplc="FC6E9472">
      <w:start w:val="1"/>
      <w:numFmt w:val="bullet"/>
      <w:lvlText w:val="●"/>
      <w:lvlJc w:val="left"/>
      <w:pPr>
        <w:ind w:left="720" w:hanging="360"/>
      </w:pPr>
    </w:lvl>
    <w:lvl w:ilvl="1" w:tplc="836093CE">
      <w:start w:val="1"/>
      <w:numFmt w:val="bullet"/>
      <w:lvlText w:val="○"/>
      <w:lvlJc w:val="left"/>
      <w:pPr>
        <w:ind w:left="1440" w:hanging="360"/>
      </w:pPr>
    </w:lvl>
    <w:lvl w:ilvl="2" w:tplc="AA784DAC">
      <w:start w:val="1"/>
      <w:numFmt w:val="bullet"/>
      <w:lvlText w:val="■"/>
      <w:lvlJc w:val="left"/>
      <w:pPr>
        <w:ind w:left="2160" w:hanging="360"/>
      </w:pPr>
    </w:lvl>
    <w:lvl w:ilvl="3" w:tplc="46F46442">
      <w:start w:val="1"/>
      <w:numFmt w:val="bullet"/>
      <w:lvlText w:val="●"/>
      <w:lvlJc w:val="left"/>
      <w:pPr>
        <w:ind w:left="2880" w:hanging="360"/>
      </w:pPr>
    </w:lvl>
    <w:lvl w:ilvl="4" w:tplc="987A057A">
      <w:start w:val="1"/>
      <w:numFmt w:val="bullet"/>
      <w:lvlText w:val="○"/>
      <w:lvlJc w:val="left"/>
      <w:pPr>
        <w:ind w:left="3600" w:hanging="360"/>
      </w:pPr>
    </w:lvl>
    <w:lvl w:ilvl="5" w:tplc="913A0068">
      <w:start w:val="1"/>
      <w:numFmt w:val="bullet"/>
      <w:lvlText w:val="■"/>
      <w:lvlJc w:val="left"/>
      <w:pPr>
        <w:ind w:left="4320" w:hanging="360"/>
      </w:pPr>
    </w:lvl>
    <w:lvl w:ilvl="6" w:tplc="0E96F78A">
      <w:start w:val="1"/>
      <w:numFmt w:val="bullet"/>
      <w:lvlText w:val="●"/>
      <w:lvlJc w:val="left"/>
      <w:pPr>
        <w:ind w:left="5040" w:hanging="360"/>
      </w:pPr>
    </w:lvl>
    <w:lvl w:ilvl="7" w:tplc="F2C066B2">
      <w:start w:val="1"/>
      <w:numFmt w:val="bullet"/>
      <w:lvlText w:val="●"/>
      <w:lvlJc w:val="left"/>
      <w:pPr>
        <w:ind w:left="5760" w:hanging="360"/>
      </w:pPr>
    </w:lvl>
    <w:lvl w:ilvl="8" w:tplc="57909A08">
      <w:start w:val="1"/>
      <w:numFmt w:val="bullet"/>
      <w:lvlText w:val="●"/>
      <w:lvlJc w:val="left"/>
      <w:pPr>
        <w:ind w:left="6480" w:hanging="360"/>
      </w:pPr>
    </w:lvl>
  </w:abstractNum>
  <w:num w:numId="1" w16cid:durableId="640692235">
    <w:abstractNumId w:val="1"/>
    <w:lvlOverride w:ilvl="0">
      <w:startOverride w:val="1"/>
    </w:lvlOverride>
  </w:num>
  <w:num w:numId="2" w16cid:durableId="1279488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A4F"/>
    <w:rsid w:val="001045C3"/>
    <w:rsid w:val="00686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3F72C5F7-A28F-3943-B9BD-3E40F6A2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semiHidden/>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22334</Words>
  <Characters>127307</Characters>
  <Application>Microsoft Office Word</Application>
  <DocSecurity>0</DocSecurity>
  <Lines>1060</Lines>
  <Paragraphs>298</Paragraphs>
  <ScaleCrop>false</ScaleCrop>
  <Company/>
  <LinksUpToDate>false</LinksUpToDate>
  <CharactersWithSpaces>149343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2026-06-02T04:37:00Z</dcterms:created>
  <dcterms:modified xsi:type="dcterms:W3CDTF">2026-06-02T04:37:00Z</dcterms:modified>
</cp:coreProperties>
</file>