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36970c656a69755d95aba649374ccb47a3f87c3"/>
    <w:p>
      <w:pPr>
        <w:pStyle w:val="Heading1"/>
      </w:pPr>
      <w:r>
        <w:t xml:space="preserve">The Project Pipeline Was Visible. Market Access Was Not.</w:t>
      </w:r>
    </w:p>
    <w:p>
      <w:pPr>
        <w:pStyle w:val="FirstParagraph"/>
      </w:pPr>
      <w:r>
        <w:rPr>
          <w:b/>
          <w:bCs/>
        </w:rPr>
        <w:t xml:space="preserve">How GreyRadius helped an international solar EPC company reposition NEOM vendor qualification as the entry gate for large-scale Saudi renewable energy opportunities.</w:t>
      </w:r>
    </w:p>
    <w:bookmarkStart w:id="9" w:name="context"/>
    <w:p>
      <w:pPr>
        <w:pStyle w:val="Heading2"/>
      </w:pPr>
      <w:r>
        <w:t xml:space="preserve">Context</w:t>
      </w:r>
    </w:p>
    <w:p>
      <w:pPr>
        <w:pStyle w:val="FirstParagraph"/>
      </w:pPr>
      <w:r>
        <w:t xml:space="preserve">An international solar EPC company was targeting the Gulf as a strategic growth market, with Saudi Arabia and NEOM representing access to large-scale renewable energy opportunities.</w:t>
      </w:r>
    </w:p>
    <w:p>
      <w:pPr>
        <w:pStyle w:val="BodyText"/>
      </w:pPr>
      <w:r>
        <w:t xml:space="preserve">The opportunity was commercially attractive. The company had international EPC experience and relevant technical credentials. Leadership initially viewed the challenge primarily through the project pipeline: identify attractive opportunities, establish bid visibility, and compete where the company had a technical fit.</w:t>
      </w:r>
    </w:p>
    <w:p>
      <w:pPr>
        <w:pStyle w:val="BodyText"/>
      </w:pPr>
      <w:r>
        <w:t xml:space="preserve">But Saudi market entry created a different execution dependency.</w:t>
      </w:r>
    </w:p>
    <w:p>
      <w:pPr>
        <w:pStyle w:val="BodyText"/>
      </w:pPr>
      <w:r>
        <w:t xml:space="preserve">Being capable of delivering a solar EPC project did not automatically mean being positioned to compete for it. Vendor qualification, local delivery capability, procurement expectations, compliance requirements, and evidence of execution readiness could determine access before commercial bidding began.</w:t>
      </w:r>
    </w:p>
    <w:p>
      <w:pPr>
        <w:pStyle w:val="BodyText"/>
      </w:pPr>
      <w:r>
        <w:t xml:space="preserve">The risk was therefore larger than losing an individual project. If qualification readiness lagged opportunity pursuit, the company could build a strong pipeline without having credible access to it.</w:t>
      </w:r>
    </w:p>
    <w:bookmarkEnd w:id="9"/>
    <w:bookmarkStart w:id="10" w:name="the-core-challenge"/>
    <w:p>
      <w:pPr>
        <w:pStyle w:val="Heading2"/>
      </w:pPr>
      <w:r>
        <w:t xml:space="preserve">The Core Challenge</w:t>
      </w:r>
    </w:p>
    <w:p>
      <w:pPr>
        <w:pStyle w:val="FirstParagraph"/>
      </w:pPr>
      <w:r>
        <w:t xml:space="preserve">The surface problem appeared to be</w:t>
      </w:r>
      <w:r>
        <w:t xml:space="preserve"> </w:t>
      </w:r>
      <w:r>
        <w:rPr>
          <w:b/>
          <w:bCs/>
        </w:rPr>
        <w:t xml:space="preserve">winning the right Saudi solar EPC opportunities</w:t>
      </w:r>
      <w:r>
        <w:t xml:space="preserve">.</w:t>
      </w:r>
    </w:p>
    <w:p>
      <w:pPr>
        <w:pStyle w:val="BodyText"/>
      </w:pPr>
      <w:r>
        <w:t xml:space="preserve">The structural issue was</w:t>
      </w:r>
      <w:r>
        <w:t xml:space="preserve"> </w:t>
      </w:r>
      <w:r>
        <w:rPr>
          <w:b/>
          <w:bCs/>
        </w:rPr>
        <w:t xml:space="preserve">becoming procurement-ready before those opportunities reached the point of competition</w:t>
      </w:r>
      <w:r>
        <w:t xml:space="preserve">.</w:t>
      </w:r>
    </w:p>
    <w:p>
      <w:pPr>
        <w:pStyle w:val="BodyText"/>
      </w:pPr>
      <w:r>
        <w:t xml:space="preserve">The existing entry model was opportunity-led. Projects were being assessed against technical attractiveness and commercial potential, while vendor qualification and Saudi delivery requirements were treated more like downstream bid dependencies.</w:t>
      </w:r>
    </w:p>
    <w:p>
      <w:pPr>
        <w:pStyle w:val="BodyText"/>
      </w:pPr>
      <w:r>
        <w:t xml:space="preserve">That created scaling friction between global capability and local market access.</w:t>
      </w:r>
    </w:p>
    <w:p>
      <w:pPr>
        <w:pStyle w:val="BodyText"/>
      </w:pPr>
      <w:r>
        <w:t xml:space="preserve">International EPC credentials demonstrated technical experience, but procurement stakeholders also needed confidence that the company could operate within Saudi requirements. Local execution capability, compliance readiness, delivery structure and procurement alignment therefore became part of the commercial proposition—not simply operational matters to resolve after a project was identified.</w:t>
      </w:r>
    </w:p>
    <w:p>
      <w:pPr>
        <w:pStyle w:val="BodyText"/>
      </w:pPr>
      <w:r>
        <w:t xml:space="preserve">Without that alignment, business development risked moving faster than operating maturity. Attractive opportunities could enter the pipeline before the organization was structurally ready to pursue them.</w:t>
      </w:r>
    </w:p>
    <w:bookmarkEnd w:id="10"/>
    <w:bookmarkStart w:id="11" w:name="the-decision-shift"/>
    <w:p>
      <w:pPr>
        <w:pStyle w:val="Heading2"/>
      </w:pPr>
      <w:r>
        <w:t xml:space="preserve">The Decision Shift</w:t>
      </w:r>
    </w:p>
    <w:p>
      <w:pPr>
        <w:pStyle w:val="FirstParagraph"/>
      </w:pPr>
      <w:r>
        <w:t xml:space="preserve">The critical shift was from</w:t>
      </w:r>
      <w:r>
        <w:t xml:space="preserve"> </w:t>
      </w:r>
      <w:r>
        <w:rPr>
          <w:b/>
          <w:bCs/>
        </w:rPr>
        <w:t xml:space="preserve">project pursuit to qualification-first market entry</w:t>
      </w:r>
      <w:r>
        <w:t xml:space="preserve">.</w:t>
      </w:r>
    </w:p>
    <w:p>
      <w:pPr>
        <w:pStyle w:val="BodyText"/>
      </w:pPr>
      <w:r>
        <w:t xml:space="preserve">The company stopped treating vendor qualification as a procurement step attached to individual bids and started treating it as market-access infrastructure.</w:t>
      </w:r>
    </w:p>
    <w:p>
      <w:pPr>
        <w:pStyle w:val="BodyText"/>
      </w:pPr>
      <w:r>
        <w:t xml:space="preserve">That reframed the expansion question.</w:t>
      </w:r>
    </w:p>
    <w:p>
      <w:pPr>
        <w:pStyle w:val="BodyText"/>
      </w:pPr>
      <w:r>
        <w:t xml:space="preserve">Instead of asking,</w:t>
      </w:r>
      <w:r>
        <w:t xml:space="preserve"> </w:t>
      </w:r>
      <w:r>
        <w:rPr>
          <w:b/>
          <w:bCs/>
        </w:rPr>
        <w:t xml:space="preserve">“Which projects should we pursue?”</w:t>
      </w:r>
      <w:r>
        <w:t xml:space="preserve">, leadership first needed to ask,</w:t>
      </w:r>
      <w:r>
        <w:t xml:space="preserve"> </w:t>
      </w:r>
      <w:r>
        <w:rPr>
          <w:b/>
          <w:bCs/>
        </w:rPr>
        <w:t xml:space="preserve">“Where are we qualified, credible and operationally ready to compete?”</w:t>
      </w:r>
    </w:p>
    <w:p>
      <w:pPr>
        <w:pStyle w:val="BodyText"/>
      </w:pPr>
      <w:r>
        <w:t xml:space="preserve">NEOM vendor qualification therefore became an entry gate rather than a downstream administrative milestone.</w:t>
      </w:r>
    </w:p>
    <w:p>
      <w:pPr>
        <w:pStyle w:val="BodyText"/>
      </w:pPr>
      <w:r>
        <w:t xml:space="preserve">The implication extended beyond NEOM. Gulf expansion could no longer be sequenced only around market size or visible project pipelines. Expansion sequencing needed to reflect qualification status, procurement access, local delivery readiness and the strength of the company’s technical credentials for specific project types.</w:t>
      </w:r>
    </w:p>
    <w:p>
      <w:pPr>
        <w:pStyle w:val="BodyText"/>
      </w:pPr>
      <w:r>
        <w:t xml:space="preserve">The strategic realization was simple:</w:t>
      </w:r>
      <w:r>
        <w:t xml:space="preserve"> </w:t>
      </w:r>
      <w:r>
        <w:rPr>
          <w:b/>
          <w:bCs/>
        </w:rPr>
        <w:t xml:space="preserve">in procurement-led infrastructure markets, commercial opportunity exists only when the operating model can access it.</w:t>
      </w:r>
    </w:p>
    <w:bookmarkEnd w:id="11"/>
    <w:bookmarkStart w:id="12" w:name="what-changed-in-execution"/>
    <w:p>
      <w:pPr>
        <w:pStyle w:val="Heading2"/>
      </w:pPr>
      <w:r>
        <w:t xml:space="preserve">What Changed in Execution</w:t>
      </w:r>
    </w:p>
    <w:p>
      <w:pPr>
        <w:pStyle w:val="FirstParagraph"/>
      </w:pPr>
      <w:r>
        <w:t xml:space="preserve">Market-entry priorities became anchored to procurement readiness rather than pipeline volume alone.</w:t>
      </w:r>
    </w:p>
    <w:p>
      <w:pPr>
        <w:pStyle w:val="BodyText"/>
      </w:pPr>
      <w:r>
        <w:t xml:space="preserve">Saudi-local delivery capability was incorporated into the operating model, reducing the disconnect between international EPC credentials and the execution confidence required by local procurement stakeholders.</w:t>
      </w:r>
    </w:p>
    <w:p>
      <w:pPr>
        <w:pStyle w:val="BodyText"/>
      </w:pPr>
      <w:r>
        <w:t xml:space="preserve">Bid selection also became more disciplined. Opportunities were assessed not only for revenue potential, but for alignment with proven technical capability, execution track record and realistic qualification status.</w:t>
      </w:r>
    </w:p>
    <w:p>
      <w:pPr>
        <w:pStyle w:val="BodyText"/>
      </w:pPr>
      <w:r>
        <w:t xml:space="preserve">This reduced reactive coordination between business development, qualification, technical and delivery requirements. Instead of solving market-access dependencies after an opportunity emerged, those dependencies became part of the entry architecture.</w:t>
      </w:r>
    </w:p>
    <w:p>
      <w:pPr>
        <w:pStyle w:val="BodyText"/>
      </w:pPr>
      <w:r>
        <w:t xml:space="preserve">Expansion sequencing across the Gulf also became more deliberate. Qualification status and procurement accessibility became decision inputs for where commercial resources should be deployed and when.</w:t>
      </w:r>
    </w:p>
    <w:p>
      <w:pPr>
        <w:pStyle w:val="BodyText"/>
      </w:pPr>
      <w:r>
        <w:t xml:space="preserve">The result was a more scalable market-entry model: qualification established access, operating readiness established credibility, and selective bidding concentrated resources where the company had a defensible right to compete.</w:t>
      </w:r>
    </w:p>
    <w:bookmarkEnd w:id="12"/>
    <w:bookmarkStart w:id="13" w:name="business-impact-delivered"/>
    <w:p>
      <w:pPr>
        <w:pStyle w:val="Heading2"/>
      </w:pPr>
      <w:r>
        <w:t xml:space="preserve">Business Impact Delivered</w:t>
      </w:r>
    </w:p>
    <w:p>
      <w:pPr>
        <w:pStyle w:val="FirstParagraph"/>
      </w:pPr>
      <w:r>
        <w:t xml:space="preserve">The immediate impact was stronger readiness for NEOM-linked procurement and reduced friction between opportunity identification and actual bid eligibility.</w:t>
      </w:r>
    </w:p>
    <w:p>
      <w:pPr>
        <w:pStyle w:val="BodyText"/>
      </w:pPr>
      <w:r>
        <w:t xml:space="preserve">More importantly, the company gained greater execution visibility around Saudi market entry. Leadership could distinguish between a visible market opportunity and an opportunity the organization was genuinely positioned to pursue.</w:t>
      </w:r>
    </w:p>
    <w:p>
      <w:pPr>
        <w:pStyle w:val="BodyText"/>
      </w:pPr>
      <w:r>
        <w:t xml:space="preserve">That improved commercial discipline.</w:t>
      </w:r>
    </w:p>
    <w:p>
      <w:pPr>
        <w:pStyle w:val="BodyText"/>
      </w:pPr>
      <w:r>
        <w:t xml:space="preserve">Resources could be concentrated on opportunities matching the company’s technical and execution credentials rather than spread across a broad project pipeline. Local delivery requirements were incorporated earlier, reducing the risk of discovering critical capability gaps during procurement.</w:t>
      </w:r>
    </w:p>
    <w:p>
      <w:pPr>
        <w:pStyle w:val="BodyText"/>
      </w:pPr>
      <w:r>
        <w:t xml:space="preserve">The model also created a stronger foundation for Gulf expansion. Instead of replicating opportunity-led business development market by market, expansion could be sequenced around qualification, procurement access and delivery readiness.</w:t>
      </w:r>
    </w:p>
    <w:p>
      <w:pPr>
        <w:pStyle w:val="BodyText"/>
      </w:pPr>
      <w:r>
        <w:t xml:space="preserve">Commercial conversion and revenue impact were not disclosed. The value was therefore not positioned as an immediate revenue claim, but as improved market-access readiness and stronger positioning for large-scale Saudi solar EPC opportunities.</w:t>
      </w:r>
    </w:p>
    <w:bookmarkEnd w:id="13"/>
    <w:bookmarkStart w:id="14" w:name="key-outcomes"/>
    <w:p>
      <w:pPr>
        <w:pStyle w:val="Heading2"/>
      </w:pPr>
      <w:r>
        <w:t xml:space="preserve">Key Outcomes</w:t>
      </w:r>
    </w:p>
    <w:p>
      <w:pPr>
        <w:pStyle w:val="Compact"/>
        <w:numPr>
          <w:ilvl w:val="0"/>
          <w:numId w:val="1001"/>
        </w:numPr>
      </w:pPr>
      <w:r>
        <w:rPr>
          <w:b/>
          <w:bCs/>
        </w:rPr>
        <w:t xml:space="preserve">NEOM vendor qualification:</w:t>
      </w:r>
      <w:r>
        <w:t xml:space="preserve"> </w:t>
      </w:r>
      <w:r>
        <w:t xml:space="preserve">Targeted as a strategic market-access priority</w:t>
      </w:r>
    </w:p>
    <w:p>
      <w:pPr>
        <w:pStyle w:val="Compact"/>
        <w:numPr>
          <w:ilvl w:val="0"/>
          <w:numId w:val="1001"/>
        </w:numPr>
      </w:pPr>
      <w:r>
        <w:rPr>
          <w:b/>
          <w:bCs/>
        </w:rPr>
        <w:t xml:space="preserve">Market-entry model:</w:t>
      </w:r>
      <w:r>
        <w:t xml:space="preserve"> </w:t>
      </w:r>
      <w:r>
        <w:t xml:space="preserve">Project pursuit → qualification-first entry</w:t>
      </w:r>
    </w:p>
    <w:p>
      <w:pPr>
        <w:pStyle w:val="Compact"/>
        <w:numPr>
          <w:ilvl w:val="0"/>
          <w:numId w:val="1001"/>
        </w:numPr>
      </w:pPr>
      <w:r>
        <w:rPr>
          <w:b/>
          <w:bCs/>
        </w:rPr>
        <w:t xml:space="preserve">Saudi delivery model:</w:t>
      </w:r>
      <w:r>
        <w:t xml:space="preserve"> </w:t>
      </w:r>
      <w:r>
        <w:t xml:space="preserve">Local execution capability integrated into entry planning</w:t>
      </w:r>
    </w:p>
    <w:p>
      <w:pPr>
        <w:pStyle w:val="Compact"/>
        <w:numPr>
          <w:ilvl w:val="0"/>
          <w:numId w:val="1001"/>
        </w:numPr>
      </w:pPr>
      <w:r>
        <w:rPr>
          <w:b/>
          <w:bCs/>
        </w:rPr>
        <w:t xml:space="preserve">Bid discipline:</w:t>
      </w:r>
      <w:r>
        <w:t xml:space="preserve"> </w:t>
      </w:r>
      <w:r>
        <w:t xml:space="preserve">Opportunities prioritized against proven technical and execution credentials</w:t>
      </w:r>
    </w:p>
    <w:p>
      <w:pPr>
        <w:pStyle w:val="Compact"/>
        <w:numPr>
          <w:ilvl w:val="0"/>
          <w:numId w:val="1001"/>
        </w:numPr>
      </w:pPr>
      <w:r>
        <w:rPr>
          <w:b/>
          <w:bCs/>
        </w:rPr>
        <w:t xml:space="preserve">Expansion sequencing:</w:t>
      </w:r>
      <w:r>
        <w:t xml:space="preserve"> </w:t>
      </w:r>
      <w:r>
        <w:t xml:space="preserve">Linked to qualification status and procurement access</w:t>
      </w:r>
    </w:p>
    <w:p>
      <w:pPr>
        <w:pStyle w:val="Compact"/>
        <w:numPr>
          <w:ilvl w:val="0"/>
          <w:numId w:val="1001"/>
        </w:numPr>
      </w:pPr>
      <w:r>
        <w:rPr>
          <w:b/>
          <w:bCs/>
        </w:rPr>
        <w:t xml:space="preserve">Market-entry friction:</w:t>
      </w:r>
      <w:r>
        <w:t xml:space="preserve"> </w:t>
      </w:r>
      <w:r>
        <w:t xml:space="preserve">Reduced through earlier alignment of commercial and delivery readiness</w:t>
      </w:r>
    </w:p>
    <w:p>
      <w:pPr>
        <w:pStyle w:val="Compact"/>
        <w:numPr>
          <w:ilvl w:val="0"/>
          <w:numId w:val="1001"/>
        </w:numPr>
      </w:pPr>
      <w:r>
        <w:rPr>
          <w:b/>
          <w:bCs/>
        </w:rPr>
        <w:t xml:space="preserve">Project / contract value:</w:t>
      </w:r>
      <w:r>
        <w:t xml:space="preserve"> </w:t>
      </w:r>
      <w:r>
        <w:t xml:space="preserve">Not disclosed</w:t>
      </w:r>
    </w:p>
    <w:p>
      <w:pPr>
        <w:pStyle w:val="Compact"/>
        <w:numPr>
          <w:ilvl w:val="0"/>
          <w:numId w:val="1001"/>
        </w:numPr>
      </w:pPr>
      <w:r>
        <w:rPr>
          <w:b/>
          <w:bCs/>
        </w:rPr>
        <w:t xml:space="preserve">Commercial conversion / revenue impact:</w:t>
      </w:r>
      <w:r>
        <w:t xml:space="preserve"> </w:t>
      </w:r>
      <w:r>
        <w:t xml:space="preserve">Not disclosed</w:t>
      </w:r>
    </w:p>
    <w:p>
      <w:pPr>
        <w:pStyle w:val="FirstParagraph"/>
      </w:pPr>
      <w:r>
        <w:t xml:space="preserve">In Gulf renewable energy, the largest project pipeline does not necessarily create the strongest market position. When procurement qualification determines who gets to compete, qualification is not administration around the strategy—it is part of the strategy itself.</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