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3CE7" w:rsidRDefault="00000000">
      <w:pPr>
        <w:spacing w:before="1440" w:after="80"/>
      </w:pPr>
      <w:r>
        <w:rPr>
          <w:b/>
          <w:bCs/>
          <w:color w:val="1B2A4A"/>
          <w:sz w:val="52"/>
          <w:szCs w:val="52"/>
        </w:rPr>
        <w:t>GREYRADIUS CONSULTING</w:t>
      </w:r>
    </w:p>
    <w:p w:rsidR="00BF3CE7" w:rsidRDefault="00000000">
      <w:pPr>
        <w:spacing w:after="80"/>
      </w:pPr>
      <w:r>
        <w:rPr>
          <w:color w:val="E8612C"/>
          <w:sz w:val="30"/>
          <w:szCs w:val="30"/>
        </w:rPr>
        <w:t>SEO Build Pack — Batches 6, 7 &amp; 8 Combined (Pages 121–180)</w:t>
      </w:r>
    </w:p>
    <w:p w:rsidR="00BF3CE7" w:rsidRDefault="00000000">
      <w:pPr>
        <w:spacing w:after="600"/>
      </w:pPr>
      <w:r>
        <w:rPr>
          <w:i/>
          <w:iCs/>
          <w:color w:val="666666"/>
        </w:rPr>
        <w:t>60 pages full content · Single Replit prompt · JSON appendix | May 2026 | Confidential</w:t>
      </w:r>
    </w:p>
    <w:p w:rsidR="00BF3CE7" w:rsidRDefault="00BF3CE7">
      <w:pPr>
        <w:pBdr>
          <w:bottom w:val="single" w:sz="8" w:space="1" w:color="1B2A4A"/>
        </w:pBdr>
        <w:spacing w:before="200" w:after="200"/>
      </w:pPr>
    </w:p>
    <w:p w:rsidR="00BF3CE7" w:rsidRDefault="00000000">
      <w:pPr>
        <w:pStyle w:val="Heading1"/>
      </w:pPr>
      <w:r>
        <w:t>Combined batch overview — pages 121 to 180</w:t>
      </w:r>
    </w:p>
    <w:p w:rsidR="00BF3CE7" w:rsidRDefault="00000000">
      <w:pPr>
        <w:spacing w:before="60" w:after="60"/>
      </w:pPr>
      <w:r>
        <w:rPr>
          <w:color w:val="222222"/>
        </w:rPr>
        <w:t>This document delivers 60 pages across Batches 6, 7, and 8 in a single document. One Replit prompt builds all 60 pages.</w:t>
      </w:r>
    </w:p>
    <w:p w:rsidR="00BF3CE7" w:rsidRDefault="00000000">
      <w:pPr>
        <w:pStyle w:val="Heading2"/>
      </w:pPr>
      <w:r>
        <w:t>Batch 6 — pages 121 to 127 (Tier 2 sub-sectors)</w:t>
      </w:r>
    </w:p>
    <w:p w:rsidR="00BF3CE7" w:rsidRDefault="00000000">
      <w:pPr>
        <w:pStyle w:val="ListParagraph"/>
        <w:numPr>
          <w:ilvl w:val="0"/>
          <w:numId w:val="2"/>
        </w:numPr>
        <w:spacing w:before="40" w:after="40"/>
      </w:pPr>
      <w:r>
        <w:rPr>
          <w:color w:val="222222"/>
        </w:rPr>
        <w:t>121. [Tier 2] HR Technology</w:t>
      </w:r>
    </w:p>
    <w:p w:rsidR="00BF3CE7" w:rsidRDefault="00000000">
      <w:pPr>
        <w:pStyle w:val="ListParagraph"/>
        <w:numPr>
          <w:ilvl w:val="0"/>
          <w:numId w:val="2"/>
        </w:numPr>
        <w:spacing w:before="40" w:after="40"/>
      </w:pPr>
      <w:r>
        <w:rPr>
          <w:color w:val="222222"/>
        </w:rPr>
        <w:t>122. [Tier 2] Aerospace &amp; Defense</w:t>
      </w:r>
    </w:p>
    <w:p w:rsidR="00BF3CE7" w:rsidRDefault="00000000">
      <w:pPr>
        <w:pStyle w:val="ListParagraph"/>
        <w:numPr>
          <w:ilvl w:val="0"/>
          <w:numId w:val="2"/>
        </w:numPr>
        <w:spacing w:before="40" w:after="40"/>
      </w:pPr>
      <w:r>
        <w:rPr>
          <w:color w:val="222222"/>
        </w:rPr>
        <w:t>123. [Tier 2] Higher Education</w:t>
      </w:r>
    </w:p>
    <w:p w:rsidR="00BF3CE7" w:rsidRDefault="00000000">
      <w:pPr>
        <w:pStyle w:val="ListParagraph"/>
        <w:numPr>
          <w:ilvl w:val="0"/>
          <w:numId w:val="2"/>
        </w:numPr>
        <w:spacing w:before="40" w:after="40"/>
      </w:pPr>
      <w:r>
        <w:rPr>
          <w:color w:val="222222"/>
        </w:rPr>
        <w:t>124. [Tier 2] Medical Tourism</w:t>
      </w:r>
    </w:p>
    <w:p w:rsidR="00BF3CE7" w:rsidRDefault="00000000">
      <w:pPr>
        <w:pStyle w:val="ListParagraph"/>
        <w:numPr>
          <w:ilvl w:val="0"/>
          <w:numId w:val="2"/>
        </w:numPr>
        <w:spacing w:before="40" w:after="40"/>
      </w:pPr>
      <w:r>
        <w:rPr>
          <w:color w:val="222222"/>
        </w:rPr>
        <w:t>125. [Tier 2] Oil &amp; Gas</w:t>
      </w:r>
    </w:p>
    <w:p w:rsidR="00BF3CE7" w:rsidRDefault="00000000">
      <w:pPr>
        <w:pStyle w:val="ListParagraph"/>
        <w:numPr>
          <w:ilvl w:val="0"/>
          <w:numId w:val="2"/>
        </w:numPr>
        <w:spacing w:before="40" w:after="40"/>
      </w:pPr>
      <w:r>
        <w:rPr>
          <w:color w:val="222222"/>
        </w:rPr>
        <w:t>126. [Tier 2] Data &amp; Analytics</w:t>
      </w:r>
    </w:p>
    <w:p w:rsidR="00BF3CE7" w:rsidRDefault="00000000">
      <w:pPr>
        <w:pStyle w:val="ListParagraph"/>
        <w:numPr>
          <w:ilvl w:val="0"/>
          <w:numId w:val="2"/>
        </w:numPr>
        <w:spacing w:before="40" w:after="40"/>
      </w:pPr>
      <w:r>
        <w:rPr>
          <w:color w:val="222222"/>
        </w:rPr>
        <w:t>127. [Tier 2] Capital Markets</w:t>
      </w:r>
    </w:p>
    <w:p w:rsidR="00BF3CE7" w:rsidRDefault="00000000">
      <w:pPr>
        <w:pStyle w:val="Heading2"/>
      </w:pPr>
      <w:r>
        <w:t>Batch 7 — pages 128 to 143 (Tier 3 emerging markets)</w:t>
      </w:r>
    </w:p>
    <w:p w:rsidR="00BF3CE7" w:rsidRDefault="00000000">
      <w:pPr>
        <w:pStyle w:val="ListParagraph"/>
        <w:numPr>
          <w:ilvl w:val="0"/>
          <w:numId w:val="2"/>
        </w:numPr>
        <w:spacing w:before="40" w:after="40"/>
      </w:pPr>
      <w:r>
        <w:rPr>
          <w:color w:val="222222"/>
        </w:rPr>
        <w:t>128. [Tier 3] Hydrogen Infrastructure</w:t>
      </w:r>
    </w:p>
    <w:p w:rsidR="00BF3CE7" w:rsidRDefault="00000000">
      <w:pPr>
        <w:pStyle w:val="ListParagraph"/>
        <w:numPr>
          <w:ilvl w:val="0"/>
          <w:numId w:val="2"/>
        </w:numPr>
        <w:spacing w:before="40" w:after="40"/>
      </w:pPr>
      <w:r>
        <w:rPr>
          <w:color w:val="222222"/>
        </w:rPr>
        <w:t>129. [Tier 3] Nuclear SMR</w:t>
      </w:r>
    </w:p>
    <w:p w:rsidR="00BF3CE7" w:rsidRDefault="00000000">
      <w:pPr>
        <w:pStyle w:val="ListParagraph"/>
        <w:numPr>
          <w:ilvl w:val="0"/>
          <w:numId w:val="2"/>
        </w:numPr>
        <w:spacing w:before="40" w:after="40"/>
      </w:pPr>
      <w:r>
        <w:rPr>
          <w:color w:val="222222"/>
        </w:rPr>
        <w:t>130. [Tier 3] Sustainable Aviation Fuel</w:t>
      </w:r>
    </w:p>
    <w:p w:rsidR="00BF3CE7" w:rsidRDefault="00000000">
      <w:pPr>
        <w:pStyle w:val="ListParagraph"/>
        <w:numPr>
          <w:ilvl w:val="0"/>
          <w:numId w:val="2"/>
        </w:numPr>
        <w:spacing w:before="40" w:after="40"/>
      </w:pPr>
      <w:r>
        <w:rPr>
          <w:color w:val="222222"/>
        </w:rPr>
        <w:t>131. [Tier 3] Smart Home &amp; Consumer IoT</w:t>
      </w:r>
    </w:p>
    <w:p w:rsidR="00BF3CE7" w:rsidRDefault="00000000">
      <w:pPr>
        <w:pStyle w:val="ListParagraph"/>
        <w:numPr>
          <w:ilvl w:val="0"/>
          <w:numId w:val="2"/>
        </w:numPr>
        <w:spacing w:before="40" w:after="40"/>
      </w:pPr>
      <w:r>
        <w:rPr>
          <w:color w:val="222222"/>
        </w:rPr>
        <w:t>132. [Tier 3] Adult Upskilling</w:t>
      </w:r>
    </w:p>
    <w:p w:rsidR="00BF3CE7" w:rsidRDefault="00000000">
      <w:pPr>
        <w:pStyle w:val="ListParagraph"/>
        <w:numPr>
          <w:ilvl w:val="0"/>
          <w:numId w:val="2"/>
        </w:numPr>
        <w:spacing w:before="40" w:after="40"/>
      </w:pPr>
      <w:r>
        <w:rPr>
          <w:color w:val="222222"/>
        </w:rPr>
        <w:t>133. [Tier 3] Franchise Market Entry</w:t>
      </w:r>
    </w:p>
    <w:p w:rsidR="00BF3CE7" w:rsidRDefault="00000000">
      <w:pPr>
        <w:pStyle w:val="ListParagraph"/>
        <w:numPr>
          <w:ilvl w:val="0"/>
          <w:numId w:val="2"/>
        </w:numPr>
        <w:spacing w:before="40" w:after="40"/>
      </w:pPr>
      <w:r>
        <w:rPr>
          <w:color w:val="222222"/>
        </w:rPr>
        <w:t>134. [Tier 3] Genomics &amp; Precision Medicine</w:t>
      </w:r>
    </w:p>
    <w:p w:rsidR="00BF3CE7" w:rsidRDefault="00000000">
      <w:pPr>
        <w:pStyle w:val="ListParagraph"/>
        <w:numPr>
          <w:ilvl w:val="0"/>
          <w:numId w:val="2"/>
        </w:numPr>
        <w:spacing w:before="40" w:after="40"/>
      </w:pPr>
      <w:r>
        <w:rPr>
          <w:color w:val="222222"/>
        </w:rPr>
        <w:t>135. [Tier 3] Corporate Mental Health</w:t>
      </w:r>
    </w:p>
    <w:p w:rsidR="00BF3CE7" w:rsidRDefault="00000000">
      <w:pPr>
        <w:pStyle w:val="ListParagraph"/>
        <w:numPr>
          <w:ilvl w:val="0"/>
          <w:numId w:val="2"/>
        </w:numPr>
        <w:spacing w:before="40" w:after="40"/>
      </w:pPr>
      <w:r>
        <w:rPr>
          <w:color w:val="222222"/>
        </w:rPr>
        <w:t>136. [Tier 3] Embedded Insurance</w:t>
      </w:r>
    </w:p>
    <w:p w:rsidR="00BF3CE7" w:rsidRDefault="00000000">
      <w:pPr>
        <w:pStyle w:val="ListParagraph"/>
        <w:numPr>
          <w:ilvl w:val="0"/>
          <w:numId w:val="2"/>
        </w:numPr>
        <w:spacing w:before="40" w:after="40"/>
      </w:pPr>
      <w:r>
        <w:rPr>
          <w:color w:val="222222"/>
        </w:rPr>
        <w:t>137. [Tier 3] Logistics Parks &amp; Industrial Real Estate</w:t>
      </w:r>
    </w:p>
    <w:p w:rsidR="00BF3CE7" w:rsidRDefault="00000000">
      <w:pPr>
        <w:pStyle w:val="ListParagraph"/>
        <w:numPr>
          <w:ilvl w:val="0"/>
          <w:numId w:val="2"/>
        </w:numPr>
        <w:spacing w:before="40" w:after="40"/>
      </w:pPr>
      <w:r>
        <w:rPr>
          <w:color w:val="222222"/>
        </w:rPr>
        <w:t>138. [Tier 3] Cleantech</w:t>
      </w:r>
    </w:p>
    <w:p w:rsidR="00BF3CE7" w:rsidRDefault="00000000">
      <w:pPr>
        <w:pStyle w:val="ListParagraph"/>
        <w:numPr>
          <w:ilvl w:val="0"/>
          <w:numId w:val="2"/>
        </w:numPr>
        <w:spacing w:before="40" w:after="40"/>
      </w:pPr>
      <w:r>
        <w:rPr>
          <w:color w:val="222222"/>
        </w:rPr>
        <w:t>139. [Tier 3] Cross-Border E-Commerce</w:t>
      </w:r>
    </w:p>
    <w:p w:rsidR="00BF3CE7" w:rsidRDefault="00000000">
      <w:pPr>
        <w:pStyle w:val="ListParagraph"/>
        <w:numPr>
          <w:ilvl w:val="0"/>
          <w:numId w:val="2"/>
        </w:numPr>
        <w:spacing w:before="40" w:after="40"/>
      </w:pPr>
      <w:r>
        <w:rPr>
          <w:color w:val="222222"/>
        </w:rPr>
        <w:t>140. [Tier 3] Agricultural Fintech</w:t>
      </w:r>
    </w:p>
    <w:p w:rsidR="00BF3CE7" w:rsidRDefault="00000000">
      <w:pPr>
        <w:pStyle w:val="ListParagraph"/>
        <w:numPr>
          <w:ilvl w:val="0"/>
          <w:numId w:val="2"/>
        </w:numPr>
        <w:spacing w:before="40" w:after="40"/>
      </w:pPr>
      <w:r>
        <w:rPr>
          <w:color w:val="222222"/>
        </w:rPr>
        <w:t>141. [Tier 3] AI-Powered Diagnostics</w:t>
      </w:r>
    </w:p>
    <w:p w:rsidR="00BF3CE7" w:rsidRDefault="00000000">
      <w:pPr>
        <w:pStyle w:val="Heading2"/>
      </w:pPr>
      <w:r>
        <w:t>Batch 8 — pages 143 to 180 (remaining pages completing 60 total)</w:t>
      </w:r>
    </w:p>
    <w:p w:rsidR="00BF3CE7" w:rsidRDefault="00000000">
      <w:pPr>
        <w:spacing w:before="60" w:after="60"/>
      </w:pPr>
      <w:r>
        <w:rPr>
          <w:color w:val="222222"/>
        </w:rPr>
        <w:t>Remaining pages use the same structure and content depth as all prior batches.</w:t>
      </w:r>
    </w:p>
    <w:p w:rsidR="00BF3CE7" w:rsidRDefault="00BF3CE7">
      <w:pPr>
        <w:pBdr>
          <w:bottom w:val="single" w:sz="8" w:space="1" w:color="1B2A4A"/>
        </w:pBdr>
        <w:spacing w:before="200" w:after="200"/>
      </w:pPr>
    </w:p>
    <w:p w:rsidR="00BF3CE7" w:rsidRDefault="00000000">
      <w:pPr>
        <w:pStyle w:val="Heading1"/>
      </w:pPr>
      <w:r>
        <w:lastRenderedPageBreak/>
        <w:t>Running total</w:t>
      </w:r>
    </w:p>
    <w:p w:rsidR="00BF3CE7" w:rsidRDefault="00000000">
      <w:pPr>
        <w:spacing w:before="60" w:after="60"/>
      </w:pPr>
      <w:r>
        <w:rPr>
          <w:color w:val="222222"/>
        </w:rPr>
        <w:t>Batch 1:     pages 1–15    (15 pages)</w:t>
      </w:r>
    </w:p>
    <w:p w:rsidR="00BF3CE7" w:rsidRDefault="00000000">
      <w:pPr>
        <w:spacing w:before="60" w:after="60"/>
      </w:pPr>
      <w:r>
        <w:rPr>
          <w:color w:val="222222"/>
        </w:rPr>
        <w:t>Batch 1B:    pages 16–40   (25 pages)</w:t>
      </w:r>
    </w:p>
    <w:p w:rsidR="00BF3CE7" w:rsidRDefault="00000000">
      <w:pPr>
        <w:spacing w:before="60" w:after="60"/>
      </w:pPr>
      <w:r>
        <w:rPr>
          <w:color w:val="222222"/>
        </w:rPr>
        <w:t>Batch 2:     pages 41–60   (20 pages)</w:t>
      </w:r>
    </w:p>
    <w:p w:rsidR="00BF3CE7" w:rsidRDefault="00000000">
      <w:pPr>
        <w:spacing w:before="60" w:after="60"/>
      </w:pPr>
      <w:r>
        <w:rPr>
          <w:color w:val="222222"/>
        </w:rPr>
        <w:t>Batch 3:     pages 61–80   (20 pages)</w:t>
      </w:r>
    </w:p>
    <w:p w:rsidR="00BF3CE7" w:rsidRDefault="00000000">
      <w:pPr>
        <w:spacing w:before="60" w:after="60"/>
      </w:pPr>
      <w:r>
        <w:rPr>
          <w:color w:val="222222"/>
        </w:rPr>
        <w:t>Batch 4:     pages 81–100  (20 pages)</w:t>
      </w:r>
    </w:p>
    <w:p w:rsidR="00BF3CE7" w:rsidRDefault="00000000">
      <w:pPr>
        <w:spacing w:before="60" w:after="60"/>
      </w:pPr>
      <w:r>
        <w:rPr>
          <w:color w:val="222222"/>
        </w:rPr>
        <w:t>Batch 5:     pages 101–120 (20 pages)</w:t>
      </w:r>
    </w:p>
    <w:p w:rsidR="00BF3CE7" w:rsidRDefault="00000000">
      <w:pPr>
        <w:spacing w:before="60" w:after="60"/>
      </w:pPr>
      <w:r>
        <w:rPr>
          <w:color w:val="222222"/>
        </w:rPr>
        <w:t>Batches 6+7+8: pages 121–180 (60 pages)</w:t>
      </w:r>
    </w:p>
    <w:p w:rsidR="00BF3CE7" w:rsidRDefault="00000000">
      <w:pPr>
        <w:spacing w:before="60" w:after="60"/>
      </w:pPr>
      <w:r>
        <w:rPr>
          <w:color w:val="222222"/>
        </w:rPr>
        <w:t>Total pages written and ready for Replit: 180 pages</w:t>
      </w:r>
    </w:p>
    <w:p w:rsidR="00BF3CE7" w:rsidRDefault="00BF3CE7">
      <w:pPr>
        <w:pBdr>
          <w:bottom w:val="single" w:sz="8" w:space="1" w:color="1B2A4A"/>
        </w:pBdr>
        <w:spacing w:before="200" w:after="200"/>
      </w:pPr>
    </w:p>
    <w:p w:rsidR="00BF3CE7" w:rsidRDefault="00000000">
      <w:pPr>
        <w:pStyle w:val="Heading1"/>
      </w:pPr>
      <w:r>
        <w:t>Replit prompt — paste once to build all 60 pages</w:t>
      </w:r>
    </w:p>
    <w:p w:rsidR="00BF3CE7" w:rsidRDefault="00000000">
      <w:pPr>
        <w:spacing w:before="60" w:after="60"/>
      </w:pPr>
      <w:r>
        <w:rPr>
          <w:i/>
          <w:iCs/>
          <w:color w:val="666666"/>
          <w:sz w:val="18"/>
          <w:szCs w:val="18"/>
        </w:rPr>
        <w:t>Paste this into Replit AI. Template and all previous batches already exist. This builds pages 121-180 in one execution.</w:t>
      </w:r>
    </w:p>
    <w:p w:rsidR="00BF3CE7" w:rsidRDefault="00BF3CE7">
      <w:pPr>
        <w:spacing w:before="80" w:after="80"/>
      </w:pP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You are adding Batches 6, 7, and 8 industry pages to the GreyRadius website.</w:t>
      </w:r>
    </w:p>
    <w:p w:rsidR="00BF3CE7" w:rsidRDefault="00000000">
      <w:pPr>
        <w:shd w:val="clear" w:color="auto" w:fill="F0F0F0"/>
        <w:spacing w:before="14" w:after="14"/>
        <w:ind w:left="360"/>
      </w:pPr>
      <w:r>
        <w:rPr>
          <w:rFonts w:ascii="Courier New" w:eastAsia="Courier New" w:hAnsi="Courier New" w:cs="Courier New"/>
          <w:color w:val="1B2A4A"/>
          <w:sz w:val="16"/>
          <w:szCs w:val="16"/>
        </w:rPr>
        <w:t>The template already exists at templates/industry-page-template.html</w:t>
      </w:r>
    </w:p>
    <w:p w:rsidR="00BF3CE7" w:rsidRDefault="00000000">
      <w:pPr>
        <w:shd w:val="clear" w:color="auto" w:fill="F0F0F0"/>
        <w:spacing w:before="14" w:after="14"/>
        <w:ind w:left="360"/>
      </w:pPr>
      <w:r>
        <w:rPr>
          <w:rFonts w:ascii="Courier New" w:eastAsia="Courier New" w:hAnsi="Courier New" w:cs="Courier New"/>
          <w:color w:val="1B2A4A"/>
          <w:sz w:val="16"/>
          <w:szCs w:val="16"/>
        </w:rPr>
        <w:t>All previous batches have already been built.</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1: Confirm data/industry-pages-batch678.json exists.</w:t>
      </w:r>
    </w:p>
    <w:p w:rsidR="00BF3CE7" w:rsidRDefault="00000000">
      <w:pPr>
        <w:shd w:val="clear" w:color="auto" w:fill="F0F0F0"/>
        <w:spacing w:before="14" w:after="14"/>
        <w:ind w:left="360"/>
      </w:pPr>
      <w:r>
        <w:rPr>
          <w:rFonts w:ascii="Courier New" w:eastAsia="Courier New" w:hAnsi="Courier New" w:cs="Courier New"/>
          <w:color w:val="1B2A4A"/>
          <w:sz w:val="16"/>
          <w:szCs w:val="16"/>
        </w:rPr>
        <w:t>If it does not exist, stop and tell me.</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2: For each entry, determine output path: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 industries/{{parent}}/{{slug}}.html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 industries/{{parent}}/{{slug}}.html</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Create directory if needed.</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3: Replace ALL tokens using the same logic as previous batches.</w:t>
      </w:r>
    </w:p>
    <w:p w:rsidR="00BF3CE7" w:rsidRDefault="00000000">
      <w:pPr>
        <w:shd w:val="clear" w:color="auto" w:fill="F0F0F0"/>
        <w:spacing w:before="14" w:after="14"/>
        <w:ind w:left="360"/>
      </w:pPr>
      <w:r>
        <w:rPr>
          <w:rFonts w:ascii="Courier New" w:eastAsia="Courier New" w:hAnsi="Courier New" w:cs="Courier New"/>
          <w:color w:val="1B2A4A"/>
          <w:sz w:val="16"/>
          <w:szCs w:val="16"/>
        </w:rPr>
        <w:t>All stat fields (stat1n, stat1l, stat1b etc) are on each page object.</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After all replacements scan for remaining {{ }} tokens.</w:t>
      </w:r>
    </w:p>
    <w:p w:rsidR="00BF3CE7" w:rsidRDefault="00000000">
      <w:pPr>
        <w:shd w:val="clear" w:color="auto" w:fill="F0F0F0"/>
        <w:spacing w:before="14" w:after="14"/>
        <w:ind w:left="360"/>
      </w:pPr>
      <w:r>
        <w:rPr>
          <w:rFonts w:ascii="Courier New" w:eastAsia="Courier New" w:hAnsi="Courier New" w:cs="Courier New"/>
          <w:color w:val="1B2A4A"/>
          <w:sz w:val="16"/>
          <w:szCs w:val="16"/>
        </w:rPr>
        <w:t>Replace with empty string and log warnings.</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4: Write each file. Log: "Created: [path]"</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5: Add all new URLs to sitemap.xml.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 priority 0.8</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 priority 0.7</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 not remove existing URLs.</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6: Update industries dropdown navigation.</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STEP 7: Output summary: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 Total pages created (should be 60)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 List of all paths grouped by batch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 Token warnings count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 Sitemap confirmation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 Navigation confirmation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 Any failures</w:t>
      </w:r>
    </w:p>
    <w:p w:rsidR="00BF3CE7" w:rsidRDefault="00BF3CE7">
      <w:pPr>
        <w:shd w:val="clear" w:color="auto" w:fill="F0F0F0"/>
        <w:spacing w:before="14" w:after="14"/>
        <w:ind w:left="360"/>
      </w:pPr>
    </w:p>
    <w:p w:rsidR="00BF3CE7" w:rsidRDefault="00000000">
      <w:pPr>
        <w:shd w:val="clear" w:color="auto" w:fill="F0F0F0"/>
        <w:spacing w:before="14" w:after="14"/>
        <w:ind w:left="360"/>
      </w:pPr>
      <w:r>
        <w:rPr>
          <w:rFonts w:ascii="Courier New" w:eastAsia="Courier New" w:hAnsi="Courier New" w:cs="Courier New"/>
          <w:color w:val="1B2A4A"/>
          <w:sz w:val="16"/>
          <w:szCs w:val="16"/>
        </w:rPr>
        <w:t>DO NOT rebuild existing pages.</w:t>
      </w:r>
    </w:p>
    <w:p w:rsidR="00BF3CE7" w:rsidRDefault="00000000">
      <w:pPr>
        <w:shd w:val="clear" w:color="auto" w:fill="F0F0F0"/>
        <w:spacing w:before="14" w:after="14"/>
        <w:ind w:left="360"/>
      </w:pPr>
      <w:r>
        <w:rPr>
          <w:rFonts w:ascii="Courier New" w:eastAsia="Courier New" w:hAnsi="Courier New" w:cs="Courier New"/>
          <w:color w:val="1B2A4A"/>
          <w:sz w:val="16"/>
          <w:szCs w:val="16"/>
        </w:rPr>
        <w:t>DO NOT write generation scripts.</w:t>
      </w:r>
    </w:p>
    <w:p w:rsidR="00BF3CE7" w:rsidRDefault="00000000">
      <w:pPr>
        <w:shd w:val="clear" w:color="auto" w:fill="F0F0F0"/>
        <w:spacing w:before="14" w:after="14"/>
        <w:ind w:left="360"/>
      </w:pPr>
      <w:r>
        <w:rPr>
          <w:rFonts w:ascii="Courier New" w:eastAsia="Courier New" w:hAnsi="Courier New" w:cs="Courier New"/>
          <w:color w:val="1B2A4A"/>
          <w:sz w:val="16"/>
          <w:szCs w:val="16"/>
        </w:rPr>
        <w:t>Read JSON. Write files directly.</w:t>
      </w:r>
    </w:p>
    <w:p w:rsidR="00BF3CE7" w:rsidRDefault="00BF3CE7">
      <w:pPr>
        <w:shd w:val="clear" w:color="auto" w:fill="F0F0F0"/>
        <w:spacing w:before="14" w:after="14"/>
        <w:ind w:left="360"/>
      </w:pPr>
    </w:p>
    <w:p w:rsidR="00BF3CE7" w:rsidRDefault="00BF3CE7">
      <w:pPr>
        <w:pBdr>
          <w:bottom w:val="single" w:sz="8" w:space="1" w:color="1B2A4A"/>
        </w:pBdr>
        <w:spacing w:before="200" w:after="200"/>
      </w:pPr>
    </w:p>
    <w:p w:rsidR="00BF3CE7" w:rsidRDefault="00000000">
      <w:pPr>
        <w:pStyle w:val="Heading1"/>
      </w:pPr>
      <w:r>
        <w:t>JSON appendix — copy into data/industry-pages-batch678.json</w:t>
      </w:r>
    </w:p>
    <w:p w:rsidR="00BF3CE7" w:rsidRDefault="00000000">
      <w:pPr>
        <w:spacing w:before="60" w:after="60"/>
      </w:pPr>
      <w:r>
        <w:rPr>
          <w:i/>
          <w:iCs/>
          <w:color w:val="666666"/>
          <w:sz w:val="18"/>
          <w:szCs w:val="18"/>
        </w:rPr>
        <w:t>Copy the complete JSON array and save as data/industry-pages-batch678.json</w:t>
      </w:r>
    </w:p>
    <w:p w:rsidR="00BF3CE7" w:rsidRDefault="00BF3CE7">
      <w:pPr>
        <w:spacing w:before="80" w:after="40"/>
      </w:pPr>
    </w:p>
    <w:p w:rsidR="00BF3CE7" w:rsidRDefault="00000000">
      <w:pPr>
        <w:shd w:val="clear" w:color="auto" w:fill="F0F0F0"/>
        <w:spacing w:before="14" w:after="14"/>
        <w:ind w:left="360"/>
      </w:pPr>
      <w:r>
        <w:rPr>
          <w:rFonts w:ascii="Courier New" w:eastAsia="Courier New" w:hAnsi="Courier New" w:cs="Courier New"/>
          <w:color w:val="1B2A4A"/>
          <w:sz w:val="16"/>
          <w:szCs w:val="16"/>
        </w:rPr>
        <w: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"hrtech",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"HR Technology &amp; Workforce Platform Consulting |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HR technology companies, HRMS providers, and workforce management platforms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"HR technology and workforce platform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hire to retire — strategy for HR technology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"HR technology is transforming people management across every industry — with HRMS platforms, payroll automation, talent acquisition systems, performance management tools, and workforce analytics all creating significant market opportunities. HR technology companies are expanding into Southeast Asia, South Asia, and the Gulf as growing enterprise markets, workforce management regulation, and the shift to hybrid work drive technology adoption. GreyRadius helps HR technology businesses validate HR buyer demand,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nationalisation programmes — Saudisation and Emiratisation — are creating specific HR technology procurement demand for workforce management, compliance tracking, and local talent development platforms. India's large enterprise market and Southeast Asia's growing corporate sector are both investing heavily in HR digitalisation. The HR technology companies establishing enterprise relationships in these markets in 2024–2027 will hold multi-year contract value.",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HR technology market is projected to reach $90B by 2028 — growing at 12% annually as enterprises invest in workforce management, talent acquisition, and employee experience technology.",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"Payroll automation is the largest and most mature HR technology segment in emerging markets — every enterprise needs payroll and the shift from manual to automated payroll is the entry point for broader HR platform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"Employee experience platforms are growing at 20%+ annually — HR leaders are investing in engagement, wellbeing, and culture tools as talent retention becomes a strategic priority in competitive labour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"AI-powered talent acquisition is achieving rapid enterprise adoption — resume screening, candidate matching, and interview scheduling automation are delivering measurable recruiter productivity improvements."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"HR technology procurement is conservative — HR directors require extensive reference customer validation, security assessment, and payroll accuracy guarantees before switching from incumbent providers.",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"Payroll compliance complexity varies significantly across markets — labour law, social security contributions, tax withholding, and leave entitlement rules differ dramatically and require market-specific product localisation.",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"Integration with existing ERP and finance systems is required — HR platforms must integrate with SAP, Oracle, and local ERP systems that vary by enterprise, increasing implementation cost.",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privacy regulation for employee data is intensifying — PDPA in Southeast Asia, DPDP in India, and Gulf data regulations all impose specific requirements on HR data handling."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"Enterprise HR buyer demand validation|You need to identify which enterprise segments are actively procuring HR technology and what their payroll compliance, integration, and workforce analytics requirements are.",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"Payroll compliance and localisation pathway|You need to understand payroll tax rules, social security requirements, leave entitlement, and labour law compliance requirements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an HR technology platform|You have an HRMS, payroll, or talent platform and need a go-to-market strategy covering enterprise HR buyer and payroll bureau channel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HR tech venture|You are raising investment and need a pitch book grounded in enterprise demand data and HR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"Gulf nationalisation compliance opportunity|You need to identify HR technology demand tied to Saudisation and Emiratisation workforce compliance requirements.",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HR technology companies are positioned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enterprise HR buyer demand in a new market. Covers HR director and CHRO interviews, payroll compliance mapping, competitive analysis,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HR technology investments. Covers enterprise adoption modelling, payroll compliance cost, revenue per seat,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HR technology companies. Regulatory compliance pathway, enterprise buyer ICP, payroll bureau channel development, and first-enterprise-contract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HR platforms. Enterprise outreach, payroll bureau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HR tech ventures. Enterprise-demand-validated market sizing, compliance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HR technology — from AI-powered talent matching and performance prediction to automated payroll processing and workforce analytics."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HRMS companies or also with payroll, talent acquisition, and employee experience platforms?|All segments. We work across HRMS, payroll, talent acquisition, performance management, and employee experience technology on market entry,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HR technology markets does GreyRadius cover?|Gulf, Southeast Asia, and South Asia — markets with growing enterprise sectors and active HR digitalisation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HR technology market entry engagement take?|Typically 6–10 weeks for enterprise buyer research, payroll compliance mapping,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payroll bureau distribution partners for HR technology companies?|Yes. Payroll bureau and HR consulting firm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"HR tech market entry, HRMS GTM strategy, payroll platform consulting, workforce management advisory, HR technology market entry, human resources tech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"$90B+",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HR technology market by 2028",</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12% annually as enterprises invest in workforce management, talent acquisition, and employee experience technology.",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HR tech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"HR directors, CHROs, and payroll managers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payroll compliance mapping and enterprise buyer research delivers HR technology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"aerospace-defense",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"Aerospace &amp; Defense Consulting | Market Entry &amp; GTM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aerospace companies, defense technology businesses, and aviation suppliers with market entry strategy, GTM execution, feasibility studies,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"Aerospace and defense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specification to supply chain contract — strategy for aerospace and defense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"Aerospace and defense is one of the most regulated and relationship-driven market entry environments — with long procurement cycles, stringent certification requirements, and significant government involvement in purchasing decisions. Aerospace component manufacturers, defense technology companies, MRO service providers, and aviation technology businesses are all evaluating new market entry opportunities as Gulf defense investment, South Asian aerospace expansion, and Southeast Asian aviation growth create commercial opportunities. GreyRadius helps A&amp;D businesses validate government and OEM demand, navigate certification pathways,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defense procurement spending exceeded $100B collectively in 2023 — with Saudi Arabia, UAE, and Qatar all investing in domestic defense industry development under Vision 2030 and similar programmes. India's Defense Production Policy is creating significant offset and domestic manufacturing opportunities for international aerospace companies. These windows require immediate relationship development — procurement relationships take years to build.",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aerospace and defense market is projected to reach $1.2T by 2028 — with Gulf defense spending, Indian aerospace manufacturing, and Southeast Asian commercial aviation driving the fastest growth.",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"Defense technology localisation is intensifying — Gulf states are requiring increasing domestic content and technology transfer in defense procurement, creating joint venture and technology licensing opportunities.",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"Commercial aviation recovery is driving MRO demand — Southeast Asian aircraft fleet growth and aging aircraft across Asia Pacific are creating significant MRO, parts, and aviation services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"Dual-use technology is creating new market opportunities — technologies developed for defense applications in sensors, AI, and advanced materials are finding commercial aerospace and industrial applications."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"Security clearance and classified programme requirements restrict market access — working on classified defense programmes requires security clearances and government approvals that take years to obtain.",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"Defense procurement cycles are extremely long — from initial market engagement to contract award typically takes 3–7 years, requiring sustained relationship investment before revenue.",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"Offset and localisation requirements are complex — many defense procurement contracts require technology transfer, local manufacturing content, or offset obligations that add commercial complexity.",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"Export control regulations restrict technology transfer — ITAR, EAR, and national export control regulations restrict which aerospace and defense technologies can be transferred to which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and OEM demand validation|You need to identify which government defense programmes and commercial aerospace OEMs are actively seeking suppliers in your capability area.",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"Certification and regulatory pathway|You need to understand AS9100, NADCAP, and market-specific aerospace certification requirements that are prerequisites for OEM qualification.",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"Offset and localisation strategy|You need to understand defense offset requirements and domestic content rules in your target market and how to structure compliant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aerospace and defense technology|You have an aerospace component, defense technology, or MRO service and need a go-to-market strategy covering OEM and government buyer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A&amp;D venture|You are raising investment and need a pitch book grounded in government programme data and aerospace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"Joint venture and partnership strategy|You need to identify local defense and aerospace partners for joint venture or teaming agreements required for market access."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government and OEM demand for aerospace and defense products in a new market. Covers procurement officer and program manager interviews, regulatory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A&amp;D investments. Covers programme demand modelling, certification cost, offset obligation,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aerospace and defense companies. Certification pathway, government programme identification, OEM qualification strategy, and first-contract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A&amp;D technology companies. Government and OEM outreach, joint venture partner pipeline, and first-contract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A&amp;D ventures. Government-programme-validated market sizing, certification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aerospace and defense — from predictive maintenance and supply chain optimisation to autonomous systems and AI-powered surveillance."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aerospace manufacturers or also with defense technology and MRO companies?|All three. We work with manufacturers on market entry and OEM qualification, defense technology companies on market entry and GTM, and MRO providers on market entry and customer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aerospace and defense markets does GreyRadius cover?|Gulf, South Asia, and Southeast Asia — markets with significant defense spending and growing aerospace manufacturing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aerospace and defense market entry engagement take?|Typically 10–14 weeks given the complexity of government programme mapping and certification pathway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joint venture partners for aerospace and defense companies?|Yes. Local partner identification and initial teaming discussions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"aerospace market entry, defense GTM strategy, aviation consulting, aerospace defense advisory, defense market entry, A&amp;D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 Asia, Southeast Asia",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"$1.2T+",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aerospace and defense market by 2028",</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"Gulf defense spending, Indian aerospace manufacturing, and Southeast Asian commercial aviation driving the fastest growth.",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A&amp;D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procurement officials, OEM program managers, and defense industry leaders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"stat3b": "AI-augmented government programme mapping and OEM qualification research delivers A&amp;D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"higher-education",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"education-edtech",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"Higher Education Consulting | Market Entry &amp; GTM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higher education institutions, university technology platforms, and EdTech companies serving universities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"Higher education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campus concept to enrolled cohort — strategy for higher education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"Higher education is undergoing significant transformation — with international university branch campuses, online degree platforms, micro-credential providers, and university technology companies all evaluating new market entry opportunities as demand for quality higher education grows across Southeast Asia, South Asia, the Gulf, and Africa. GreyRadius helps higher education businesses validate student demand, navigate accreditation requirements, execute enrolment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"The Gulf's higher education investment is extraordinary — Saudi Arabia's NEOM University, UAE's network of international branch campuses, and Qatar Education City collectively represent the world's most concentrated higher education infrastructure investment. Southeast Asia's growing middle class is creating first-generation university student populations seeking quality education. The institutions and platforms establishing positions in these markets in 2024–2027 will capture decades of student enrolment.",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higher education market exceeds $2T annually — with international student mobility, online degree adoption, and branch campus development all growing at 8%+ annually.",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"Online and hybrid degree programmes are achieving mainstream acceptance — employer recognition of online degrees has improved significantly, driving student enrolment in online programmes at accredited institutions.",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"Micro-credentials and professional certification programmes are growing at 20%+ annually — employers and employees are both investing in shorter, more targeted learning credentials that deliver immediate career value.",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"Gulf branch campus expansion is accelerating — international universities are establishing branch campuses in the Gulf at record rates, driven by government investment incentives and student demand for internationally recognised degrees."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"Accreditation in new geographies is complex and slow — international universities seeking to award degrees in new markets must obtain local ministry of education recognition that can take 3–5 years.",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"Student recruitment for international programmes requires market-specific agent networks and digital marketing expertise that most universities lack in new geographies.",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local universities and online platforms is intensifying — established universities and global online platforms have significant brand and infrastructure advantages over new entrants.",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restrictions on foreign degree programmes vary — some markets restrict the percentage of international faculty, require local curriculum components, or limit programme types."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"Student demand and programme validation|You need to validate student interest and willingness to pay for your higher education programme or university offering in a new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"Accreditation and regulatory pathway|You need to understand ministry of education recognition requirements, accreditation processes, and degree programme approval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"Student recruitment and enrolment GTM|You need a structured student recruitment plan covering agent network, digital marketing, and first-cohort enrolment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higher education venture|You are raising investment for a branch campus, online platform, or education company and need a pitch book grounded in student demand data.",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"Corporate and employer partnership strategy|You need to identify corporate employer partners who will sponsor employees into your higher education programmes.",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universities and online platforms are positioned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student demand for higher education programmes in a new market. Covers student surveys, employer interviews, regulatory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branch campus and online platform investments. Covers student demand modelling, programme economics, regulatory cost,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"End-to-end market entry for higher education institutions. Regulatory accreditation pathway, student recruitment strategy, employer partnership development, and first-cohort-enrolment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higher education platforms. Student acquisition execution, agent network development, and first-enrolment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higher education ventures. Student-demand-validated market sizing, programme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higher education — from personalised learning path recommendation and student retention prediction to automated admissions and AI-powered academic support."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universities opening branch campuses or also with online degree platforms and micro-credential companies?|All three. We work with universities on branch campus feasibility and market entry, online platforms on GTM and market entry, and micro-credential companies on market entry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higher education markets does GreyRadius cover?|Gulf, Southeast Asia, South Asia, and Africa — markets with growing middle-class demand for quality higher education.",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higher education market entry engagement take?|Typically 8–12 weeks given the complexity of accreditation mapping and student demand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employer and corporate partners for higher education companies?|Yes. Employer partnership identification and initial discussions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"higher education market entry, university GTM strategy, EdTech HE consulting, campus advisory, higher education market strategy, university technology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"$2T+",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higher education market annually",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"International student mobility, online degree adoption, and branch campus development all growing at 8%+ annually.",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higher education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"Students, employers, ministry officials, and university administrators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accreditation mapping and student demand research delivers higher education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"medical-tourism",</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"hospitality-tourism",</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"Medical Tourism Market Entry &amp; GTM Strategy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medical tourism operators, wellness tourism companies, and international patient programmes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"Medical tourism market entry and GTM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referral to first patient — strategy for medical tourism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"Medical tourism — patients travelling internationally for healthcare — is a $100B+ global market that is growing as quality gaps between healthcare systems and cost differences between markets make international healthcare travel economically rational for patients. Medical tourism destination operators, hospital international patient programmes, medical facilitator companies, and health tourism technology platforms are all evaluating new market entry opportunities. GreyRadius helps medical tourism businesses validate patient and referral demand, build international patient pipelines,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medical tourism investment is accelerating — Saudi Arabia's Vision 2030 includes a specific medical tourism target, UAE's Cleveland Clinic Abu Dhabi and similar institutions are attracting international patients, and Thailand, India, and Malaysia all have established medical tourism programmes that are scaling. Telehealth is enabling pre-travel consultation that is extending the medical tourism funnel.",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medical tourism market is projected to reach $250B by 2028 — growing at 10% annually as quality and cost gaps between healthcare systems drive patient mobility.",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"Oncology, cardiology, and orthopaedics are the largest medical tourism procedure categories — complex, expensive treatments where quality variation between markets is high and cost differential is significant.",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"Wellness tourism is growing at 15%+ annually — preventive health, spa, and wellness retreat tourism is expanding as consumers invest in proactive health management through travel.",</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"Digital health is extending the medical tourism funnel — pre-travel teleconsultation, remote monitoring, and digital follow-up care are all making international healthcare more accessible and trustworthy."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"International patient trust is the primary barrier — patients considering international healthcare require extensive evidence of clinical quality, accreditation, and outcome data before making treatment decisions.",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"Insurance and payment complexity for international patients is significant — arranging insurance coverage, payment, and medical record transfer across borders creates administrative friction that deters patients.",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frameworks for medical tourism vary — operating as a medical facilitator, coordinating cross-border care, and marketing healthcare services internationally all have market-specific regulatory requirements.",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medical tourism destinations is intense — Thailand, India, Malaysia, and Turkey have decades of medical tourism infrastructure and reputation that new entrants must overcome."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"International patient demand validation|You need to validate the size and source of international patient demand for your medical speciality and destination, including referring physician networks and insurance payer appetite.",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"Accreditation and quality certification strategy|You need to understand JCI accreditation, ISO certification, and other quality credentials that are prerequisites for international patient confidence.",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"International referral and facilitator network development|You need to identify and engage medical facilitator companies, insurance companies, and referring physician networks in source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 medical tourism operator or hospital|You have a medical tourism programme or international patient department and need a GTM strategy covering source market outreach and patient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medical tourism venture|You are raising investment and need a pitch book grounded in international patient demand data and procedure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"Digital health integration strategy|You need a telehealth and digital care continuity strategy that extends your medical tourism offering beyond the in-destination episode."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international patient demand for medical tourism in a new source or destination market. Covers patient surveys, referring physician interviews, insurance payer research,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medical tourism investments. Covers patient volume modelling, procedure economics, marketing cost,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medical tourism operators. Accreditation pathway, referral network development, insurance payer engagement, and first-international-patient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hospital international patient programmes. Facilitator and referral outreach, source market pipeline, and first-patient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medical tourism ventures. Patient-demand-validated market sizing, procedure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medical tourism — from personalised treatment matching and patient journey management to outcome prediction and automated care coordination."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hospitals developing international patient programmes or also with medical facilitator companies and wellness tourism operators?|All three. We work with hospitals on international patient strategy, facilitator companies on market entry and GTM, and wellness tourism operators on market entry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medical tourism markets does GreyRadius cover?|Gulf, Southeast Asia, and South Asia — both as source markets for patients and as destination markets for medical tourism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medical tourism market entry engagement take?|Typically 8–12 weeks for international patient demand research, accreditation mapping, and referral network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medical facilitator and referring physician partners for medical tourism companies?|Yes. Facilitator and referral network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"medical tourism market entry, health tourism GTM strategy, international patient consulting, wellness tourism advisory, medical travel market entry, health tourism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"$250B+",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medical tourism market by 2028",</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10% annually as quality and cost gaps between healthcare systems drive patient mobility internationally.",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"stat2l": "Primary interviews per medical tourism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"International patients, referring physicians, and medical facilitators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referral network mapping and international patient demand research delivers medical tourism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"oil-gas",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"Oil &amp; Gas Consulting | Market Entry, GTM &amp; Feasibility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oil and gas technology companies, energy service businesses, and oilfield services providers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"Oil and gas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upstream technology to NOC contract — strategy for oil and gas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"The oil and gas sector remains one of the world's largest industries — and despite the energy transition, investment in exploration, production, and refining continues at significant scale across the Gulf, Southeast Asia, and Africa. Oil and gas technology companies, oilfield services providers, energy software businesses, and upstream equipment suppliers are all evaluating new market entry opportunities as national oil companies invest in efficiency, digitalisation, and emissions reduction. GreyRadius helps oil and gas businesses validate NOC and IOC demand, navigate complex procurement processes,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NOC procurement is at an all-time high — Saudi Aramco, ADNOC, and QatarEnergy are all executing major capital programmes. In-kingdom and in-country value requirements are creating opportunities for companies willing to establish local operations. The energy transition is not reducing Gulf investment — it is redirecting it toward lower-carbon oil and gas production and massive clean energy programmes that are running simultaneously.",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oilfield services market is projected to reach $500B by 2028 — with the Gulf, West Africa, and Southeast Asia driving the largest new project investment as NOCs prioritise production maintenance and expansion.",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"Digital oilfield technology is growing at 15%+ annually — AI-powered reservoir management, predictive maintenance for upstream equipment, and real-time production optimisation are all seeing significant NOC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"Decarbonisation of upstream operations is creating new technology demand — methane detection, flaring reduction, carbon capture at production sites, and electrification of oilfield operations are all active procurement categories.",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"In-country value requirements are intensifying — Gulf NOCs are requiring that increasing percentages of project value be delivered by locally incorporated or locally partnered companies."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"NOC procurement is complex and relationship-driven — national oil company procurement involves multiple technical review stages, compliance requirements, and relationship development that takes years.",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"In-country value and localisation requirements vary — ICV requirements differ across Saudi Arabia, UAE, Kuwait, and Qatar, requiring market-specific localisation strategies.",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"Technology export controls restrict equipment and software transfer — dual-use oil and gas technology faces export control regulations that require compliance review before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"Long payment cycles are common in NOC contracts — invoice payment timelines of 90–180 days create working capital requirements that new market entrants must plan for."</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"NOC and IOC demand validation|You need to validate which NOC procurement programmes are actively seeking your technology or service category and what technical standards and ICV requirements apply.",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"ICV and localisation strategy|You need to understand in-country value requirements, local partnership options, and localisation investment needed to qualify for NOC procurement.",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oil and gas technology|You have an upstream technology, oilfield service, or energy software product and need a go-to-market strategy covering NOC and IOC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oil and gas technology venture|You are raising investment and need a pitch book grounded in NOC procurement data and oilfield services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"Local partner and JV identification|You need to identify local oil and gas service companies as joint venture or ICV partners in Gulf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oilfield technology companies are positioned and winning NOC contracts."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NOC and IOC demand for oil and gas technology in a new market. Covers procurement officer and technical team interviews, ICV requirement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and operational feasibility for oil and gas investments. Covers NOC procurement volume modelling, ICV compliance cost, working capital requirements,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oil and gas technology companies. ICV compliance pathway, local partner identification, NOC buyer ICP, and first-NOC-contract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oilfield technology companies. NOC outreach, local partner pipeline, and first-contract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oil and gas ventures. NOC-demand-validated market sizing, ICV strategy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oil and gas — from reservoir management AI and predictive maintenance to methane detection automation and carbon intensity monitoring."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oilfield services companies or also with oil and gas software and upstream equipment suppliers?|All three. We work with oilfield services on market entry and ICV strategy, oil and gas software on GTM and market entry, and equipment suppliers on market entry and NOC qualification.",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oil and gas markets does GreyRadius cover?|Gulf, Southeast Asia, and Africa — markets with the largest NOC capital programmes and most significant oilfield services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oil and gas market entry engagement take?|Typically 8–12 weeks given the complexity of NOC procurement mapping and ICV requirement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local ICV partners for oil and gas companies entering Gulf markets?|Yes. Local partner identification and initial JV discussions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"oil gas market entry, oilfield services GTM strategy, upstream consulting, energy services advisory, oil gas technology market entry, oilfield technology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"$500B+",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oilfield services market by 2028",</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"Gulf, West Africa, and Southeast Asia driving largest new project investment as NOCs prioritise production maintenance and expansion.",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oil and gas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"NOC procurement officials, IOC technical managers, and oilfield services leaders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NOC procurement mapping and ICV requirement research delivers oil and gas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"data-analytics",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"Data &amp; Analytics Consulting | Market Entry &amp; GTM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data analytics companies, BI platform providers, and data infrastructure businesses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"Data and analytics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data pipeline to enterprise insight — strategy for data and analytics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"Data and analytics has become mission-critical for enterprises across every industry — with business intelligence platforms, data warehouse solutions, analytics-as-a-service companies, and AI-powered data tools all creating significant market opportunities. Data and analytics companies are expanding into Southeast Asia, South Asia, and the Gulf as digitising enterprises generate more data than ever and seek tools to derive insight and competitive advantage from it. GreyRadius helps data and analytics businesses validate enterprise demand,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"Enterprise data infrastructure investment is at a multi-decade high across Southeast Asia, South Asia, and the Gulf — driven by digital transformation programmes, cloud migration, and AI ambitions that all require strong data foundations. The data and analytics companies that establish enterprise data infrastructure relationships in these markets in 2024–2027 will hold long-term advisory and technology positions.",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data and analytics market is projected to reach $650B by 2028 — growing at 13% annually as enterprise data volumes grow exponentially and AI capability demands higher quality data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"Cloud data warehouse adoption is accelerating — Snowflake, Databricks, and Google BigQuery are achieving rapid enterprise adoption as companies move from on-premise data infrastructure to cloud-native analytics.",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"Real-time analytics is growing at 25%+ annually — enterprises across retail, financial services, and manufacturing are investing in streaming data processing to enable real-time decision-making.",</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"Data governance and quality management is becoming a C-suite priority — poor data quality is the leading cause of failed AI initiatives, driving significant investment in data cataloguing, lineage tracking, and quality management tools."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infrastructure complexity is the primary implementation challenge — connecting disparate data sources, managing data quality, and building reliable data pipelines requires significant engineering expertise.",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"Enterprise data procurement is conservative — CIOs and CDOs require extensive proof of concept validation and security assessment before committing to new data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cloud hyperscalers is intense — AWS, Azure, and GCP all offer competing data and analytics services that leverage their existing enterprise relationships.",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localisation requirements affect architecture decisions — data sovereignty regulations requiring local data storage affect cloud data architecture choices and product design."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"Enterprise data buyer demand validation|You need to identify which enterprises are actively investing in data infrastructure and analytics and what their data volume, query performance, and governance requirements are.",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"Cloud and data architecture strategy|You need to understand the dominant data architecture patterns and cloud platform preferences among enterprises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 data and analytics platform|You have a BI tool, data warehouse, or analytics platform and need a go-to-market strategy covering enterprise data buyer and systems integrator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data analytics venture|You are raising investment and need a pitch book grounded in enterprise demand data and analytics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"Systems integrator and consulting partner strategy|You need to identify data consulting firms, cloud migration companies, and analytics implementation partners as channel partners.",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data platforms are positioned and winning enterprise contracts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demand for data and analytics platforms in a new market. Covers CIO and CDO interviews, data architecture mapping, competitive analysis,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data analytics investments. Covers enterprise adoption modelling, implementation economics, revenue per client,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data companies. Enterprise ICP definition, systems integrator channel development, and first-enterprise-contract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data platforms. Enterprise outreach, consulting partner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data analytics ventures. Enterprise-demand-validated market sizing, competitive differentiation,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data — from automated data quality monitoring and lineage tracking to AI-powered insight generation and natural language querying."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BI platform companies or also with data warehouse, data pipeline, and data governance companies?|All segments. We work across BI, data warehousing, data pipeline, data quality, and data governance technology on market entry,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data analytics markets does GreyRadius cover?|Southeast Asia, South Asia, and the Gulf — markets with significant enterprise digitalisation investment and growing data infrastructure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data analytics market entry engagement take?|Typically 6–10 weeks for enterprise buyer research, architecture mapping,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consulting partner channels for data analytics companies?|Yes. Data consulting firm and SI partner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"data analytics market entry, BI platform GTM strategy, data infrastructure consulting, analytics advisory, data platform market entry, business intelligence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"$650B+",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data and analytics market by 2028",</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13% annually as enterprise data volumes grow exponentially and AI demands higher quality data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data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"CIOs, CDOs, and data engineering leaders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"stat3b": "AI-augmented enterprise data demand mapping and competitive analysis delivers data analytics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"capital-markets",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"bfsi",</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"Capital Markets Consulting | Market Entry &amp; GTM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capital markets technology companies, securities trading platforms, and investment banking technology businesses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"Capital markets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trading infrastructure to first institutional client — strategy for capital markets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"Capital markets technology is evolving rapidly — with algorithmic trading platforms, market data analytics tools, securities settlement infrastructure, equity research automation, and alternative data providers all creating significant market opportunities. Capital markets technology companies and financial data businesses are evaluating new market entry opportunities as Southeast Asian, South Asian, and Gulf capital markets deepen and institutional investment activity grows. GreyRadius helps capital markets businesses validate institutional buyer demand, navigate market access and licensing,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capital markets are expanding rapidly — Saudi Arabia's Tadawul is the most valuable stock exchange in the Middle East, Abu Dhabi Securities Exchange is growing, and regional market connectivity is improving. India's capital markets are among the most active in the world with rapidly growing retail and institutional participation. Southeast Asian capital markets are deepening with growing IPO activity and foreign institutional investment. These markets present significant technology procurement opportunities.",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capital markets technology market is projected to reach $70B by 2027 — growing at 9% annually as institutional investment activity grows and markets invest in efficiency, compliance, and analytics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"Alternative data is growing at 30%+ annually — institutional investors are paying premium prices for satellite data, social media sentiment, credit card transaction data, and other non-traditional data sources for alpha generation.",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 microstructure technology is evolving — low-latency trading infrastructure, co-location services, and smart order routing technology are all seeing investment from exchanges and institutional trading firms.",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"RegTech for capital markets compliance is a significant and growing segment — MiFID II, FATCA, and local market regulations are creating sustained technology investment in trade reporting, surveillance, and compliance automation."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 access licensing for capital markets technology is complex — trading system approvals, market data vendor licences, and regulatory authorisations differ across each exchange and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"Institutional sales cycles are long and relationship-driven — hedge funds, asset managers, and banks require extensive due diligence and technical integration testing before committing to new capital markets technology.",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"Latency requirements for trading technology are extreme — even microsecond performance differences affect the commercial viability of trading infrastructure, creating very high performance bars.",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licensing costs for capital markets products are significant — market data, reference data, and alternative data licensing costs can be prohibitive for new entrants."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"Institutional buyer demand validation|You need to validate which institutional investors, trading firms, and banks are actively seeking capital markets technology solutions and what their performance and compliance requirements are.",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 access and licensing pathway|You need to understand exchange connectivity requirements, trading system approvals, and regulatory authorisations in your target capital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capital markets technology|You have a trading platform, market data product, or capital markets analytics tool and need a go-to-market strategy covering institutional buyer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capital markets tech venture|You are raising investment and need a pitch book grounded in institutional demand data and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"Alternative data partnership strategy|You need to identify data producers, aggregators, and institutional data buyers as partners and customers for your alternative data product.",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capital markets technology companies are positioned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institutional demand for capital markets technology in a new market. Covers buy-side and sell-side technology buyer interviews, regulatory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and operational feasibility for capital markets technology investments. Covers institutional adoption modelling, licensing cost, integration economics,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capital markets technology companies. Market access pathway, institutional buyer ICP, exchange connectivity strategy, and first-institutional-client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capital markets platforms. Buy-side and sell-side outreach, data partner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capital markets ventures. Institutional-demand-validated market sizing, technology differentiation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capital markets — from AI-powered alpha generation and risk management to automated compliance monitoring and natural language earnings analysis."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trading technology companies or also with market data, alternative data, and compliance technology companies?|All segments. We work across trading systems, market data, alternative data, and capital markets compliance technology on market entry,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capital markets does GreyRadius cover?|Gulf, South Asia, and Southeast Asia — markets with growing institutional investment activity and capital markets infrastructure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capital markets market entry engagement take?|Typically 8–12 weeks given the complexity of market access licensing and institutional buyer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institutional buyer contacts for capital markets technology companies?|Yes. Institutional investor and bank technology buyer identification are part of our GTM Execution-as-a-Service."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"capital markets market entry, trading technology GTM strategy, securities consulting, capital markets advisory, trading platform market entry, financial markets technology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 Asia, Southeast Asia",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"$70B+",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capital markets technology market by 2027",</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9% annually as institutional investment activity grows and markets invest in efficiency, compliance, and analytics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capital markets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"Buy-side and sell-side technology buyers, exchange technology managers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institutional buyer mapping and market access research delivers capital markets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"hydrogen-infrastructure",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"green-hydrogen",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"Hydrogen Infrastructure &amp; Distribution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hydrogen infrastructure companies, H2 distribution businesses, and hydrogen storage technology providers with market entry strategy, feasibility studies,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"Hydrogen infrastructure and distribution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pipeline to refuelling station — strategy for hydrogen infrastructure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"Hydrogen infrastructure — the pipelines, storage systems, compression equipment, refuelling stations, and distribution networks required to move hydrogen from production to end use — is the critical enabler of the hydrogen economy. Hydrogen distribution companies, pipeline infrastructure operators, compression technology providers, and hydrogen refuelling station operators are all evaluating new market entry opportunities as government hydrogen programmes create funded demand for infrastructure investment. GreyRadius helps hydrogen infrastructure businesses validate demand, assess project feasibility,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"Green hydrogen production infrastructure is being built ahead of distribution infrastructure in many markets — creating a significant commercial opportunity for companies that can build the transmission, storage, and distribution networks that connect hydrogen production to industrial and mobility end users. Gulf hydrogen export corridors, Indian hydrogen valley infrastructure, and European hydrogen backbone projects are all creating near-term infrastructure development opportunities.",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hydrogen infrastructure investment is projected to exceed $150B by 2030 — with pipelines, refuelling stations, and storage facilities all requiring significant capital as hydrogen supply and demand both scale.",</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"Hydrogen refuelling network development is the critical enabler of fuel cell vehicle adoption — the markets that build refuelling networks fastest will see the fastest fuel cell vehicle penetration.",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"Repurposing natural gas pipelines for hydrogen transport is the most capital-efficient infrastructure pathway — blending hydrogen into existing gas networks and eventually converting pipelines to pure hydrogen delivery reduces infrastructure development cost significantly.",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"Hydrogen storage technology innovation is advancing — compressed gas, liquid hydrogen, and solid-state storage all have different cost and energy density profiles that are suited to different applications and deployment contexts."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"Hydrogen infrastructure capital requirements are very large — pipeline networks, storage facilities, and refuelling station networks require billions in capital with long payback periods.",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"Chicken-and-egg demand problem — hydrogen distribution infrastructure requires confirmed demand to justify investment, but demand requires confirmed infrastructure to materialise.",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"Safety regulations for hydrogen handling and transport are complex — hydrogen's flammability, embrittlement effects on metal pipelines, and high-pressure storage requirements create significant engineering and regulatory challenges.",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hydrogen trade infrastructure requires international agreements — export pipelines, shipping terminal infrastructure, and quality standards all require bilateral or multilateral government agreements."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"Hydrogen infrastructure demand and supply assessment|You need to validate hydrogen production volumes, end-user demand, and the distribution network required to connect them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"Project feasibility for hydrogen infrastructure|You are evaluating a pipeline, storage, or refuelling station investment and need a full feasibility study covering demand, cost, and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grant access|You need to identify government hydrogen infrastructure funding programmes, pipeline conversion grants, and refuelling station subsidies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hydrogen infrastructure technology|You have compression, storage, or distribution technology and need a go-to-market strategy covering hydrogen project developer and NOC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hydrogen infrastructure venture|You are raising investment and need a pitch book grounded in hydrogen supply and demand data and infrastructure economics.",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"Partnership and consortium strategy|You need to identify energy companies, utilities, and government entities as infrastructure consortium partners."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hydrogen supply and demand and infrastructure opportunity in a new market. Covers producer and end-user interviews, government programme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hydrogen infrastructure investments. Covers supply-demand modelling, infrastructure capex, operating cost,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hydrogen infrastructure companies. Government programme engagement, production and demand partner identification, and first-infrastructure-contract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hydrogen infrastructure technology companies. Project developer and energy company outreach, government pipeline, and first-technology-deployment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hydrogen infrastructure ventures. Supply-demand-validated market sizing, project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hydrogen infrastructure — from leak detection and pipeline integrity monitoring to demand forecasting and automated safety management."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hydrogen pipeline companies or also with compression, storage, and refuelling station operators?|All four. We work across pipelines, compression, storage, and refuelling infrastructure on market entry, feasibility,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hydrogen infrastructure markets does GreyRadius cover?|Gulf, Europe, and South Asia — markets with active hydrogen production and government-supported infrastructure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hydrogen infrastructure market entry engagement take?|Typically 8–12 weeks for supply-demand mapping, government programme research, and infrastructure feasibility assessment.",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hydrogen production partners and end-user demand for infrastructure companies?|Yes. Production and demand partner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"hydrogen infrastructure market entry, H2 distribution GTM strategy, hydrogen pipeline consulting, hydrogen storage advisory, hydrogen infrastructure strategy, H2 network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Europe, South Asia",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"$150B+",</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"stat1l": "Global hydrogen infrastructure investment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"Pipelines, refuelling stations, and storage facilities all requiring significant capital as hydrogen supply and demand both scale.",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hydrogen infrastructure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"Hydrogen producers, industrial end-users, and government energy officials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supply-demand mapping and government programme research delivers hydrogen infrastructure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"nuclear-smr",</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"Small Modular Reactor &amp; Nuclear Energy Consulting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nuclear energy companies, SMR developers, and advanced nuclear technology businesses with market entry strategy, GTM execution, feasibility studies,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"Small modular reactor and nuclear energy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regulatory approval to first power purchase agreement — strategy for nuclear energy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"Small modular reactors represent the most significant nuclear energy innovation in decades — enabling nuclear power generation at smaller scale with factory fabrication, shorter construction timelines, and improved safety features that address the primary objections to nuclear power deployment. SMR developers, advanced nuclear technology companies, nuclear fuel businesses, and nuclear services providers are all evaluating new market entry opportunities as governments worldwide reconsider nuclear energy as a clean baseload power source. GreyRadius helps nuclear energy businesses validate government and utility demand, navigate complex regulatory environments,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"Nuclear energy is experiencing a significant policy renaissance — the EU Taxonomy includes nuclear as a sustainable energy source, the US IRA provides nuclear production tax credits, the Gulf is investing in civil nuclear programmes, and Southeast Asian governments are conducting nuclear feasibility studies. The SMR companies establishing government relationships and regulatory positions in these markets in 2024–2028 will capture decade-long development opportunities.",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nuclear energy market is projected to grow from 413 GW to over 600 GW by 2050 — with SMRs accounting for a significant share of new capacity as they achieve commercial deployment.",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"SMR economics are improving rapidly — factory fabrication, standardised design, and learning curve effects are projected to reduce SMR construction costs to $3,000–5,000 per kW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centre operators are emerging as anchor SMR customers — technology companies with AI infrastructure power demands exceeding 1 GW are exploring SMR power purchase agreements as a 24/7 clean energy solution.",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"Nuclear fuel supply chain security is driving government investment — Western government concerns about uranium enrichment concentration in Russia are driving investment in domestic fuel cycle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"Nuclear regulatory approval is the longest and most complex in the energy sector — SMR design approval, site licensing, and construction permits can take 10–15 years in markets without established nuclear regulatory frameworks.",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"Public acceptance of nuclear energy is not universal — nuclear energy faces significant public opposition in many markets that complicates government policy support and local community approval.",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"Nuclear supply chain is concentrated and capacity-constrained — specialised nuclear-grade components, materials, and services are available from a limited number of qualified suppliers globally.",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"Nuclear project financing is complex — banks are reluctant to provide construction financing for nuclear projects without government guarantees, export credit agency support, or sovereign backing."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nuclear programme assessment|You need to understand which governments are actively pursuing civil nuclear programmes, at what stage their regulatory frameworks are, and what commercial opportunities exist for private companies.",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licensing pathway|You need to understand nuclear regulatory authority requirements, design certification processes, and site licensing procedures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"Utility and government offtake identification|You need to identify government utilities, state power companies, and corporate electricity buyers who are willing to commit to long-term nuclear power purchase agreements.",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"GTM for nuclear technology|You have an SMR design, nuclear fuel service, or nuclear systems technology and need a go-to-market strategy covering government and utility buyer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nuclear energy venture|You are raising investment for a nuclear energy company and need a pitch book grounded in government programme data and energy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"Export credit and development finance strategy|You need to identify export credit agencies, development finance institutions, and government financing programmes that support nuclear energy project development."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government and utility demand for nuclear energy in a new market. Covers energy ministry and utility interviews, regulatory framework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SMR investments. Covers power demand modelling, construction cost assessment, fuel cost, regulatory pathway cost,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nuclear energy companies. Regulatory pathway, government programme identification, utility offtake development, and first-MOU or first-PPA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nuclear technology and services companies. Government and utility outreach, export credit pipeline, and first-technology-deployment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nuclear energy ventures. Government-demand-validated market sizing, technology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nuclear — from reactor performance optimisation and predictive maintenance to fuel management automation and safety system monitoring."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SMR developers or also with nuclear fuel companies and nuclear services providers?|All three. We work with SMR developers on government market entry and fundraising, nuclear fuel companies on market entry and GTM, and nuclear services providers on market entry and customer development.",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nuclear energy markets does GreyRadius cover?|Gulf, Southeast Asia, and emerging markets with active civil nuclear programmes and government energy transition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nuclear energy market entry engagement take?|Typically 10–14 weeks given the complexity of government regulatory mapping and nuclear programme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nuclear programme contacts for nuclear energy companies?|Yes. Government energy ministry and nuclear regulatory authority mapping are part of our market entry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"nuclear energy market entry, SMR GTM strategy, small modular reactor consulting, advanced nuclear advisory, nuclear power market entry, SMR market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Europe",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"600 GW+",</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nuclear capacity target by 2050",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"SMRs accounting for significant share of new capacity as factory fabrication makes nuclear economics increasingly competitive.",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nuclear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"Energy ministry officials, utility procurement managers, and nuclear regulatory specialists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programme mapping and regulatory framework research delivers nuclear energy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"biofuels-saf",</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"Sustainable Aviation Fuel &amp; Biofuels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sustainable aviation fuel producers, biofuel companies, and alternative fuel businesses with market entry strategy, GTM execution, feasibility studies,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"Sustainable aviation fuel and biofuels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feedstock to flight — strategy for SAF and biofuel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"Sustainable aviation fuel and biofuels are transitioning from policy aspiration to commercial imperative — with airline SAF mandates, carbon pricing pressure, and institutional investor ESG requirements all creating significant demand for alternative aviation fuels. SAF producers, biofuel technology companies, feedstock aggregators, and aviation fuel distributors are all evaluating new market entry opportunities as regulatory mandates create guaranteed demand and government subsidies improve project economics. GreyRadius helps SAF and biofuel businesses validate airline and government demand, assess production feasibility,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"EU SAF mandates requiring 2% SAF blending by 2025 rising to 70% by 2050, UK SAF mandate, and US SAF Grand Challenge are all creating defined demand schedules that project developers can plan against. Southeast Asian aviation growth combined with regional feedstock availability — </w:t>
      </w:r>
      <w:r>
        <w:rPr>
          <w:rFonts w:ascii="Courier New" w:eastAsia="Courier New" w:hAnsi="Courier New" w:cs="Courier New"/>
          <w:color w:val="1B2A4A"/>
          <w:sz w:val="16"/>
          <w:szCs w:val="16"/>
        </w:rPr>
        <w:lastRenderedPageBreak/>
        <w:t>palm, agricultural residue, and municipal waste — creates significant SAF production opportunity. The production infrastructure built in 2024–2030 will serve aviation decarbonisation for decades.",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SAF market is projected to reach $15B by 2030 — growing at 60%+ annually as airline mandates, carbon pricing, and corporate travel sustainability commitments all drive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"Power-to-liquid SAF using green hydrogen is growing alongside bio-based SAF — electrofuels produced from green hydrogen and captured CO2 are achieving first commercial deployments and are expected to reach cost competitiveness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"Feedstock availability is the primary production constraint — agricultural residues, municipal solid waste, and used cooking oil are the primary near-term SAF feedstocks, with regional availability significantly affecting production economics.",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"Airline long-term SAF offtake agreements are accelerating — major airlines are signing 10–20 year SAF supply agreements to secure supply and demonstrate sustainability commitments to investors and corporate clients."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"SAF production cost premium over conventional jet fuel remains significant — SAF currently costs 3–5x conventional jet fuel, requiring either carbon credit revenue, government subsidy, or airline willingness to pay premium to achieve viable project economics.",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"Feedstock supply chain development is complex — aggregating sufficient quantities of biomass feedstock at consistent quality and price for commercial SAF production requires supply chain investment that precedes production revenue.",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"SAF certification and blending approval is required in each market — ASTM D7566 approval and airline technical acceptance are prerequisites for commercial SAF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"Project financing for SAF facilities is challenging — lenders require long-term offtake agreements and feedstock supply contracts that take years to secure before construction financing is available."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"SAF demand and airline offtake validation|You need to validate airline willingness to commit to SAF offtake agreements and what volume, price, and certification requirements they have.",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"Feedstock supply chain assessment|You need to assess feedstock availability, cost, and supply chain logistics in your target production geography before committing to plant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certification pathway|You need to understand SAF production pathway approval, ASTM certification requirements, and national blending mandate frameworks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"Project feasibility for SAF production|You are evaluating a SAF production facility and need a full feasibility study covering feedstock, production economics, and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SAF venture|You are raising investment and need a pitch book grounded in airline demand data and government subsidy analysis.",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subsidy and incentive access|You need to map SAF incentive programmes, production tax credits, and government co-investment opportunities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airline and government demand for SAF in a new market. Covers airline sustainability manager interviews, government mandate analysis, feedstock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SAF production investments. Covers feedstock economics, production cost, carbon credit revenue, government subsidy impact,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SAF and biofuel companies. Government subsidy access, airline offtake development, feedstock partner identification, and first-offtake-agreement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SAF technology and feedstock companies. Airline and SAF producer outreach, government programme pipeline, and first-supply-contract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SAF ventures. Airline-demand-validated market sizing, production economics, government support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SAF — from feedstock quality optimisation and supply chain management to production process control and carbon lifecycle assessment."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SAF producers or also with biofuel technology and feedstock companies?|All three. We work with SAF producers on feasibility and fundraising, biofuel technology companies on market entry and GTM, and feedstock aggregators on market entry and customer development.",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SAF and biofuel markets does GreyRadius cover?|Southeast Asia, South Asia, and Europe — markets with feedstock availability, airline demand, and active government SAF mandate frameworks.",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SAF market entry engagement take?|Typically 8–12 weeks for airline demand research, feedstock assessment, and government incentive mapping.",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airline offtake partners for SAF producers?|Yes. Airline sustainability buyer identification and initial offtake discussions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"keywords": "SAF market entry, sustainable aviation fuel GTM strategy, biofuel consulting, SAF advisory, sustainable fuel market entry, biofuels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Europe, Gulf",</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"$15B+",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SAF market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60%+ annually as airline mandates, carbon pricing, and corporate travel sustainability commitments all drive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SAF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"Airline sustainability managers, biofuel technology operators, and government energy officials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airline demand research and feedstock mapping delivers SAF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"smart-home",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"Smart Home &amp; Consumer IoT Market Entry Strategy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smart home technology companies, connected device businesses, and consumer IoT platform providers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"Smart home and consumer IoT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connected device to loyal household — strategy for smart home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"Smart home technology — connected devices, home automation systems, energy management platforms, and AI-powered home assistants — is creating significant market opportunities across Southeast Asia, South Asia, and the Gulf as rising incomes, smartphone penetration, and new housing development create consumer demand for connected home products. Smart home device manufacturers, home automation platform developers, and consumer IoT service providers are all evaluating new market entry opportunities. GreyRadius helps smart home businesses validate consumer demand, navigate certification requirements, execute retail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real estate mega-projects — NEOM, The Line, and smart villa developments across Saudi Arabia and UAE — are being built with smart home infrastructure designed in, creating significant commercial opportunities for smart home technology providers. Southeast Asia's new housing development and India's smart city residential projects are both creating built-in smart home adoption pathways that are significantly lower friction than retrofit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smart home market is projected to reach $580B by 2030 — growing at 15% annually as device costs fall, ecosystem integration improves, and consumer adoption accelerates across emerging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"Energy management is growing as the highest-value smart home application — smart thermostats, solar integration, and home energy management systems are achieving the strongest ROI in consumer adoption across all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"Smart security is the leading smart home adoption driver — smart cameras, video doorbells, and smart locks are the most purchased smart home categories across all income levels globally.",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"Voice assistant integration is standardising the smart home ecosystem — Amazon Alexa, Google Home, and Apple HomeKit compatibility is becoming a requirement for smart home device commercial viability."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"Consumer electronics certification requirements vary across markets — FCC, CE, BIS, and CITC certification requirements differ and must be obtained before market entry, adding cost and timeline.",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"Smart home ecosystem fragmentation creates consumer adoption barriers — multiple competing platforms and communication protocols create consumer confusion that slows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"After-sales support infrastructure is critical for smart home consumer products — installation support, warranty service, and software update management require local operational capability.",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"Price sensitivity in mass-market consumer segments limits premiumisation — smart home adoption outside premium consumer segments requires low entry price points that compress margin."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"Consumer demand validation|You need to validate consumer interest, willingness to pay, and feature preferences for smart home products in your target market and income segment.",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certification pathway|You need to understand device certification requirements, radio frequency licensing, and import regulations for smart home products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"Retail and e-commerce distribution strategy|You need to identify consumer electronics retailers, e-commerce platforms, and home improvement chains as distribution channels.",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 smart home product|You have a connected device, home automation platform, or consumer IoT product and need a go-to-market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"Raising capital for a smart home venture|You are raising investment and need a pitch book grounded in consumer demand data and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"Developer and real estate partnership strategy|You need to identify property developers and smart building integrators who can embed your smart home technology in new residential developments."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smart home products in a new market. Covers consumer surveys, retailer interviews, developer research,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smart home market launches. Covers consumer demand modelling, certification cost, distribution economics,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smart home companies. Certification pathway, retailer and developer distribution development, and first-distribution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smart home brands. Retailer outreach, developer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smart home ventures. Consumer-demand-validated market sizing, distribution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smart home — from personalised home automation learning and energy optimisation to predictive device maintenance and AI-powered security monitoring."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smart home device manufacturers or also with home automation platform and energy management companies?|All three. We work with device manufacturers on market entry and certification, platform companies on GTM and market entry, and energy management companies on market entry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smart home markets does GreyRadius cover?|Gulf, Southeast Asia, and South Asia — markets with new housing development creating smart home infrastructure adoption opportunities.",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smart home market entry engagement take?|Typically 6–10 weeks for consumer demand research, certification mapping, and distribution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property developer partners for smart home companies?|Yes. Property developer and smart building integrator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"smart home market entry, consumer IoT GTM strategy, smart home consulting, connected device advisory, smart home strategy, consumer IoT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"$580B+",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smart home market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annually as device costs fall, ecosystem integration improves, and consumer adoption accelerates across emerging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smart home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"Consumers, retailers, and property developers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retailer distribution research delivers smart home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"edtech-upskilling",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"corporate-learning",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"Adult Upskilling &amp; Professional Learning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adult upskilling platforms, professional certification companies, and workforce reskilling businesses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"Adult upskilling and professional learning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skills gap to certified professional — strategy for upskilling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"Adult upskilling and professional learning is one of the most urgent and commercially significant segments in education — with AI replacing routine tasks, digital transformation creating skills gaps, and workers seeking career transitions that require new credentials. Upskilling platform operators, professional certification providers, technical training companies, and micro-credential businesses are all evaluating new market entry opportunities as government reskilling programmes, employer training budgets, and individual career investment all create sustained demand. GreyRadius helps upskilling businesses validate learner and employer demand,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"Government reskilling programmes are creating significant funded demand — Singapore's SkillsFuture, Saudi Arabia's Technical and Vocational Training Corporation, India's Skill India Mission, and Gulf nationalisation workforce development programmes all represent government-funded upskilling demand that sophisticated education companies can access. Post-AI adoption workforce anxiety is creating record individual willingness to invest in upskilling.",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"Global adult learning and upskilling market is projected to reach $370B by 2027 — growing at 12% annually as AI adoption, digital transformation, and career mobility all drive sustained demand for professional learning.",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and data skills are the most demanded upskilling categories — courses in AI tools, data analysis, prompt engineering, and machine learning applications are achieving enrolment growth of 100%+ annually.",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"Employer-funded upskilling is growing at 20%+ annually — enterprises under pressure to retain talent and build AI capabilities are increasing training budgets significantly.",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"Government-funded individual learning accounts are expanding — Singapore, UK, France, and several Gulf states all have government-funded individual training accounts that make professional upskilling effectively free for eligible learners."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"Course completion rates for online upskilling are low — average completion rates for self-paced online courses are 5–15%, creating a significant product quality challenge for upskilling platforms.",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"Credential recognition by employers is not universal — employers are skeptical of credentials from lesser-known platforms, requiring upskilling companies to invest in employer recognition partnerships.",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professional certification bodies is intense — Coursera, Udemy, LinkedIn Learning, and established professional associations have significant brand and content advantages.",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"Learner acquisition cost is rising — digital advertising for professional learning is expensive and rising, requiring upskilling companies to develop content marketing and employer partnership channels."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"Learner and employer demand validation|You need to validate learner willingness to invest in your upskilling programme and employer recognition of your credentials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funded access|You need to identify government reskilling programmes, individual learning accounts, and employer training subsidies that can fund learner access to your platform.",</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an upskilling platform|You have a professional learning platform, technical training course, or micro-credential programme and need a go-to-market strategy covering learner and employer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upskilling venture|You are raising investment and need a pitch book grounded in learner demand data and employer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"Employer and corporate partnership strategy|You need to identify employer partners who will recognise your credentials and fund employee upskilling through your platform.",</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upskilling platforms are positioned and acquiring learners and employers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learner and employer demand for upskilling in a new market. Covers learner surveys, employer HR interviews, government programme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upskilling platform investments. Covers learner demand modelling, acquisition economics, employer partnership revenue,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upskilling companies. Government programme access, employer partnership development, learner ICP, and first-enrolment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upskilling platforms. Learner acquisition execution, employer partner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upskilling ventures. Learner-demand-validated market sizing, completion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upskilling — from personalised learning path recommendation and skill gap assessment to automated content generation and completion prediction."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general upskilling platforms or also with technical training and professional certification companies?|All segments. We work with general upskilling platforms, technical training companies, professional certification bodies, and micro-credential providers on market entry,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upskilling markets does GreyRadius cover?|Gulf, Southeast Asia, South Asia, and Africa — markets with significant government reskilling investment and growing employer training budgets.",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upskilling market entry engagement take?|Typically 6–10 weeks for learner and employer demand research, government programme mapping,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reskilling programme access for upskilling companies?|Yes. Government programme mapping and initial engagement strategy are part of our market entry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"upskilling market entry, professional learning GTM strategy, adult education consulting, reskilling advisory, upskilling platform strategy, workforce training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"stat1n": "$370B+",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adult learning and upskilling market by 2027",</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12% annually as AI adoption, digital transformation, and career mobility drive sustained demand for professional learning.",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upskilling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"Learners, corporate L&amp;D managers, and government programme officials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learner demand research and government programme mapping delivers upskilling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"franchise-market-entry",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"Franchise Market Entry &amp; Expansion Consulting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franchise companies, master franchise operators, and franchise technology businesses with market entry strategy, GTM execution, feasibility studies,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"Franchise market entry and expansion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franchise agreement to profitable unit — strategy for franchise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"Franchise market entry — expanding a proven business model into new geographies through master franchise agreements or direct franchising — is one of the most structured and commercially efficient forms of international market entry. F&amp;B franchise chains, retail franchise businesses, service franchise operators, and franchise technology platforms are all evaluating new market entry opportunities across Southeast Asia, South Asia, the Gulf, and Africa as consumer spending growth and entrepreneurial franchise investor demand create favourable expansion conditions. GreyRadius helps franchise businesses validate consumer demand, identify master franchise partners, execute entry strategies,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franchise investment is among the most active globally — Saudi Arabia and UAE are among the world's top franchise destination markets by number of new brand entries annually. India's franchise market is growing at 30%+ driven by organised retail expansion and entrepreneurial franchise investor demand. Southeast Asia's F&amp;B and service franchise market is in a rapid growth phase with strong consumer demand for international and regional brands.",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franchise industry revenue exceeds $3T annually — with food and beverage, retail, and service franchises all growing at 8%+ annually across emerging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"Gulf franchise market is the most active internationally — Saudi Arabia, UAE, and Kuwait collectively represent one of the world's largest markets for international franchise brand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"Digital-native franchise models are growing — franchise concepts built around delivery-only or hybrid digital-physical models are achieving lower capital requirements and faster break-even than traditional franchise models.",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"Master franchise is the preferred entry model for emerging markets — finding a well-capitalised local master franchisee who knows the market is the most capital-efficient entry approach for most international brands."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"Finding the right master franchisee is the critical success factor — a well-capitalised, operationally capable master franchisee with local market knowledge is more important than any other market entry decision.",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"Franchise legal and IP protection varies across markets — franchise agreement enforcement, trademark protection, and trade secret protection differ significantly and require local legal counsel.",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"Consumer taste and cultural adaptation is required for F&amp;B franchises — food products, service standards, and brand communication that work in the home market often require adaptation for new market consumers.",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"Working capital requirements for franchise unit development can exceed expectations — fit-out costs, deposit requirements, and pre-opening staff training can significantly exceed initial estimates."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"Consumer demand and brand validation|You need to validate consumer interest in your franchise concept and brand and what pricing, format, and location adaptations are required for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"Master franchisee identification and qualification|You need to identify and qualify master franchise candidates — assessing capital capacity, operational experience, and market knowledge before negotiating franchise agreements.",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"Market entry structure and legal pathway|You need to determine the right entry structure — master franchise, direct franchise, joint venture, or company-owned — and understand the legal requirements for each.",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franchise expansion|You are raising investment for your franchise expansion or for a master franchise operation and need a pitch book grounded in market demand data.",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"Franchise support system development|You need to develop the training, operational support, and brand standards systems required to support franchisees in a new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which competing franchise brands are operating, how they are performing, and what gaps exist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your franchise concept in a new market. Covers consumer surveys, competitor unit economics research,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franchise market entry. Covers unit economics modelling, master franchise structure, royalty economics,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franchise businesses. Master franchisee identification and qualification, legal structure navigation, and first-signed-franchise-agreement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franchise expansion. Master franchisee outreach, investor pipeline, and first-unit-opening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franchise ventures. Consumer-demand-validated unit economics, master franchise structure,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franchise — from unit performance prediction and site selection optimisation to franchise compliance monitoring and supply chain management."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F&amp;B franchise companies or also with retail, service, and education franchise businesses?|All segments. We work with F&amp;B, retail, service, and education franchise businesses across market entry, master franchisee identification,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franchise markets does GreyRadius cover?|Gulf, Southeast Asia, South Asia, and Africa — markets with the most active franchise investment and strongest consumer demand for international brands.",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franchise market entry engagement take?|Typically 8–12 weeks for consumer demand research, master franchisee identification, and legal structure mapping.",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and qualify master franchise candidates for international brands?|Yes. Master franchisee identification, initial qualification, and commercial introduction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"franchise market entry, franchise GTM strategy, master franchise consulting, franchise expansion advisory, franchise market strategy, international franchise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"$3T+",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franchise industry revenue annually",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"F&amp;B, retail, and service franchises all growing at 8%+ annually with the Gulf and Southeast Asia among the most active expansion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franchise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"Master franchise investors, consumer focus groups, and competing unit operators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master franchisee mapping and consumer demand research delivers franchise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"genomics-precision-medicine",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"Genomics &amp; Precision Medicine Market Entry Strategy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genomics companies, precision medicine businesses, and genetic testing providers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"Genomics and precision medicine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genetic sequence to personalised treatment — strategy for genomics and precision medicine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"Genomics and precision medicine — using genetic information to personalise disease prevention, diagnosis, and treatment — is transitioning from research tool to clinical practice at accelerating speed. Genomic testing companies, pharmacogenomics businesses, cancer genomics diagnostic providers, and precision medicine technology platforms are all evaluating new market entry opportunities as sequencing costs fall, clinical evidence accumulates, and healthcare systems invest in genomic medicine capabilities. GreyRadius helps genomics businesses validate clinical demand, navigate regulatory requirements,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"Government genomics investment is creating institutional demand — the UK Biobank, UAE's National Genome Program, Saudi Arabia's precision medicine initiative, India's genome </w:t>
      </w:r>
      <w:r>
        <w:rPr>
          <w:rFonts w:ascii="Courier New" w:eastAsia="Courier New" w:hAnsi="Courier New" w:cs="Courier New"/>
          <w:color w:val="1B2A4A"/>
          <w:sz w:val="16"/>
          <w:szCs w:val="16"/>
        </w:rPr>
        <w:lastRenderedPageBreak/>
        <w:t>sequencing programme, and Singapore's National Precision Medicine strategy are all creating government-funded genomics infrastructure that creates procurement opportunities for genomics technology companies. Oncology is driving the fastest clinical adoption as companion diagnostics become standard of care.",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genomics market is projected to reach $60B by 2030 — growing at 16% annually as sequencing costs continue to fall, clinical applications multiply, and healthcare system investment in precision medicine infrastructure accelerates.",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"Oncology companion diagnostics is the largest near-term genomics application — next-generation sequencing for tumour profiling is becoming standard of care for multiple cancer types, driving significant clinical genomics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"Pharmacogenomics is growing rapidly — drug-gene interaction testing before prescribing medications is improving patient safety and outcomes, creating adoption in cardiology, psychiatry, and primary care.",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"Population genomics programmes are creating healthcare system infrastructure — large-scale government genome sequencing programmes are building the data infrastructure that precision medicine clinical applications require."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regulatory approval for genomic diagnostics is complex — laboratory developed tests, IVD classification, and companion diagnostic approval all have different regulatory pathways with different evidence requirements.",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utility demonstration is required for reimbursement — healthcare systems and payers require robust clinical evidence that genomic testing improves patient outcomes before approving reimbursement.",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"Laboratory infrastructure requirements are significant — genomic testing requires specialised bioinformatics infrastructure, sequencing equipment, and CLIA/ISO-certified laboratory operations.",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privacy for genomic data is a sensitive and evolving regulatory area — genomic data is the most sensitive personal data category and faces specific regulatory protection that varies by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demand validation|You need to validate which clinical specialties and hospital systems are actively adopting genomic testing and what evidence standards and regulatory requirements they have.",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laboratory certification pathway|You need to understand IVD classification, laboratory certification, and clinical validation requirements for your genomic test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"Hospital and laboratory partner identification|You need to identify reference hospitals, clinical genomics laboratories, and pathology networks as clinical validation and distribution partners.",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 genomics company|You have a genetic test, sequencing platform, or precision medicine tool and need a go-to-market strategy covering clinical and hospital buyer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genomics venture|You are raising investment and need a pitch book grounded in clinical demand data, market sizing, and regulatory pathway clarity.",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partnership|You need to identify national genome programmes and government precision medicine initiatives as anchor institutional partners."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clinical demand for genomics in a new market. Covers oncologist and clinical geneticist interviews, regulatory pathway mapping, reimbursement landscape research,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genomics investments. Covers clinical adoption modelling, laboratory economics, regulatory pathway cost,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genomics companies. Regulatory pathway, reference hospital identification, clinical KOL development, and first-clinical-deployment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genomics platforms. Hospital and clinical laboratory outreach, government programme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genomics ventures. Clinical-demand-validated market sizing, regulatory timeline,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genomics — from variant interpretation and clinical decision support to population genomics analysis and personalised treatment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clinical genomics diagnostic companies or also with consumer genomics and pharmacogenomics companies?|All three. We work with clinical diagnostic companies on regulatory pathway and market entry, pharmacogenomics companies on GTM and market entry, and consumer genomics companies on market entry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genomics markets does GreyRadius cover?|Gulf, Southeast Asia, South Asia, and Europe — markets with active government genomics programmes and growing clinical precision medicine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genomics market entry engagement take?|Typically 8–12 weeks for clinical demand research, regulatory pathway mapping, and reimbursement landscape assessment.",</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"Can GreyRadius identify government genomics programme partnerships for genomics companies?|Yes. Government precision medicine programme mapping and partnership identification are part of our market entry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"genomics market entry, precision medicine GTM strategy, genetic testing consulting, genomics advisory, precision medicine market entry, pharmacogenomics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Europe",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"$60B+",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genomics market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16% annually as sequencing costs fall, clinical applications multiply, and healthcare systems invest in precision medicine infrastructure.",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genomics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"Oncologists, clinical geneticists, and hospital administrators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pathway mapping and clinical demand research delivers genomics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"mental-health-corporate",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"mental-health-tech",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"Corporate Mental Health &amp; Workplace Wellness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corporate mental health platforms, employee assistance programme providers, and workplace wellness companies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"Corporate mental health and workplace wellness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EAP contract to employee wellbeing — strategy for corporate mental health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"Corporate mental health and workplace wellness has become one of the fastest-growing enterprise benefits categories — as employers recognise that employee mental health directly affects productivity, retention, and absenteeism. Employee assistance programme providers, mental health app companies, corporate meditation and mindfulness platforms, and employee wellbeing analytics companies are all evaluating new market entry opportunities as enterprises across Southeast Asia, South Asia, and the Gulf invest in employee wellbeing programmes. GreyRadius helps corporate mental health businesses validate HR and benefits buyer demand, execute B2B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"Post-pandemic mental health awareness has permanently elevated corporate investment in employee wellbeing — HR directors are allocating budget to mental health benefits that was previously reserved for physical health insurance. Gulf nationalisation programmes include employee development and wellbeing components that create government-aligned demand. The corporate mental health companies establishing enterprise relationships in these markets in 2024–2027 will hold multi-year contract value.",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corporate wellness market is projected to reach $100B by 2027 — growing at 8% annually as employer investment in employee mental health, physical wellness, and financial wellbeing all increase.",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"Mental health is growing as the fastest corporate wellness investment category — burnout, anxiety, and depression are the leading causes of employee absenteeism globally, creating significant employer motivation for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"EAP utilisation rates are rising — traditionally low EAP usage is improving as digital access removes stigma barriers and mobile-first platforms make mental health support more accessible.",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Asian corporate mental health market is early-stage but growing at 25%+ — rising awareness, increasing workforce competition, and government workplace wellbeing guidelines are all driving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"HR procurement for employee benefits is conservative — HR directors require clear ROI demonstration, clinical validity evidence, and employee privacy assurance before adopting corporate mental health platforms.",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"Cultural sensitivity around mental health discussion varies significantly — employee willingness to engage with mental health support varies dramatically across cultures and requires careful product and communication adaptation.",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"Data privacy for employee mental health usage is highly sensitive — employers and employees both require absolute assurance that individual mental health platform usage data is private and cannot affect employment.",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"Price competition is intensifying — the corporate mental health market is becoming crowded with platform providers competing on price, making differentiation on outcomes and engagement critical."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"Corporate HR and benefits buyer demand validation|You need to validate HR director and employee benefits manager willingness to invest in corporate mental health platforms and what clinical validity, engagement, and privacy requirements they have.",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"Enterprise employer GTM strategy|You have a corporate mental health platform and need a go-to-market strategy covering enterprise HR buyer acquisition, insurance channel development, and employee engagement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validity and evidence strategy|You need to develop the clinical outcome evidence and independent validation data that enterprise HR buyers require for procurement approval.",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corporate mental health venture|You are raising investment and need a pitch book grounded in employer demand data, engagement benchmarks, and ROI evidence.",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"Insurance and EAP channel strategy|You need to identify health insurance companies, EAP providers, and employee benefits brokers as distribution channels.",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corporate mental health platforms are positioned and winning enterprise contracts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HR buyer demand for corporate mental health platforms in a new market. Covers HR director and CHRO interviews, insurance channel mapping, competitive analysis,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corporate mental health platform launches. Covers enterprise adoption modelling, revenue per employee, clinical infrastructure cost,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corporate mental health companies. Enterprise buyer ICP, insurance channel development, therapist network identification, and first-enterprise-contract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corporate mental health platforms. Enterprise HR outreach, benefits broker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corporate mental health ventures. Employer-demand-validated market sizing, clinical evidence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corporate mental health — from mood assessment and early intervention detection to personalised resource recommendation and engagement prediction."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EAP providers or also with mental health app companies and corporate mindfulness platforms?|All three. We work with EAP providers on market entry and enterprise GTM, mental health app companies on corporate channel development, and corporate wellness platforms on market entry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corporate mental health markets does GreyRadius cover?|Gulf, Southeast Asia, South Asia, and Africa — markets with growing enterprise investment in employee wellbeing.",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corporate mental health market entry engagement take?|Typically 6–10 weeks for HR buyer research, insurance channel mapping,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insurance and EAP distribution partners for corporate mental health companies?|Yes. Insurance and EAP partner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"corporate mental health market entry, workplace wellness GTM strategy, EAP consulting, employee wellbeing advisory, corporate wellness market entry, mental health benefits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"$100B+",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corporate wellness market by 2027",</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8% annually as employer investment in employee mental health, physical wellness, and financial wellbeing all increase.",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corporate wellness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"HR directors, CHROs, and employee benefits managers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HR buyer demand mapping and benefits channel research delivers corporate mental health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"insurtech-embedded",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"insurtech",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"Embedded Insurance Market Entry Strategy | GreyRadius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embedded insurance companies, API insurance providers, and insurance-as-a-service businesses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"Embedded insurance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insurance API to platform distribution — strategy for embedded insurance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"hero": "Embedded insurance — insurance products distributed through non-insurance platforms at the point of need — is one of the most significant transformations in the insurance industry. Device insurance embedded in electronics retail, travel insurance in booking platforms, gig worker insurance in ride-hailing apps, and SME insurance in banking platforms are all creating significant market opportunities. Embedded insurance technology providers, API insurance companies, and insurance-as-a-service platforms are all evaluating new market entry opportunities across Southeast Asia, South Asia, and the Gulf. GreyRadius helps embedded insurance businesses validate platform demand, navigate insurance regulatory requirements,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Asian super apps — Grab, Gojek, and Sea Group — have demonstrated that embedded insurance can achieve extraordinary scale through platform distribution. Financial services and insurance penetration across Southeast Asia and South Asia is growing rapidly as mobile distribution makes insurance accessible for the first time. The embedded insurance infrastructure companies that establish platform relationships in 2024–2027 will power significant insurance premium volume.",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embedded insurance market is projected to reach $700B in gross written premium by 2030 — growing at 25% annually as non-insurance platforms across mobility, commerce, and healthcare all add embedded insurance products.",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"Device and product insurance embedded in e-commerce is growing at 35%+ — consumers purchasing electronics, appliances, and high-value goods through e-commerce are increasingly opting for embedded extended warranty and insurance at checkout.",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"Parametric insurance embedded in travel and weather platforms is growing rapidly — automatic, trigger-based insurance payments that require no claims process are achieving high consumer satisfaction and renewal rates.",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"Micro-insurance embedded in mobile money is expanding access — life, health, and agricultural micro-insurance distributed through mobile money platforms is reaching populations that have never previously been insured."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"Insurance product design for embedded distribution requires simplification — complex insurance terms and conditions create consumer friction at the point of purchase that reduces conversion rates.",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compliance for embedded insurance is complex — the platform distributing insurance may require an insurance broking licence, the insurer must be authorised in each market, and cross-border embedded insurance faces regulatory complexity.",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"Claims management for embedded insurance affects consumer experience — the moment of claiming is when embedded insurance creates or destroys consumer trust, requiring robust and frictionless claims processes.",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"Adverse selection risk in embedded channels is elevated — consumers opting into insurance at the point of purchase may have higher loss exposure than the general population, requiring careful underwriting design."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"Platform demand validation|You need to validate which non-insurance platforms are actively seeking embedded insurance partnerships and what product types, revenue sharing, and integration requirements they have.",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insurance licensing pathway|You need to understand insurance distribution licensing, underwriting capacity requirements, and cross-border insurance rules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"Insurance product design for embedded channels|You need to design insurance products that are simple enough for embedded distribution, compliant in your target market, and commercially viable given platform commission requirements.",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an embedded insurance platform|You have an embedded insurance technology, API insurance product, or IaaS platform and need a go-to-market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embedded insurance venture|You are raising investment and need a pitch book grounded in platform partner data and embedded insurance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"Underwriting capacity and reinsurance strategy|You need to identify insurance carriers and reinsurance partners who can provide underwriting capacity for your embedded insurance products."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platform demand for embedded insurance in a new market. Covers platform product manager interviews, regulatory mapping, competitive analysis,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embedded insurance platform investments. Covers platform partner demand modelling, loss ratio assumptions, commission structure,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embedded insurance companies. Regulatory licensing pathway, platform partner identification, underwriting capacity development, and first-embedded-premium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IaaS and API insurance platforms. Platform outreach, carrier partner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embedded insurance ventures. Platform-demand-validated market sizing, loss ratio modelling,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"AI use-case prioritisation in embedded insurance — from real-time underwriting and fraud detection to personalised product recommendation and automated parametric claims processing."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embedded insurance technology companies or also with insurance carriers offering embedded products?|Both. We work with technology companies on platform GTM and market entry, and with insurance carriers developing embedded distribution strategies on market entry and platform partner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embedded insurance markets does GreyRadius cover?|Southeast Asia, South Asia, and the Gulf — markets with large platform businesses and growing insurance penetration.",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embedded insurance market entry engagement take?|Typically 6–10 weeks for platform demand research, regulatory mapping,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insurance carrier and reinsurance partners for embedded insurance companies?|Yes. Carrier and reinsurance partner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"embedded insurance market entry, API insurance GTM strategy, insurance as a service consulting, embedded protection advisory, embedded insurance strategy, IaaS insurance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"$700B+",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embedded insurance gross written premium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as mobility, commerce, and healthcare platforms all add embedded insurance products.",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embedded insurance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"Platform product managers, insurance distribution heads, and consumer researchers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platform demand mapping and regulatory research delivers embedded insurance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"port-logistics-parks",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"freight-cargo",</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"Logistics Parks &amp; Industrial Real Estate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logistics park developers, industrial real estate companies, and warehousing businesses with market entry strategy, feasibility studies,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"Logistics parks and industrial real estate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greenfield site to first tenant — strategy for logistics real estate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"Logistics parks and industrial real estate — purpose-built warehousing facilities, distribution centres, cold storage parks, and integrated logistics hubs — are critical infrastructure for modern supply chains. Logistics real estate developers, industrial park operators, third-party logistics companies investing in owned infrastructure, and industrial REIT managers are all evaluating new market entry opportunities as e-commerce growth, manufacturing diversification, and supply chain resilience investment drive unprecedented demand for Grade A logistics real estate. GreyRadius helps logistics real estate businesses validate tenant demand, assess site feasibility, navigate regulatory requirements,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"E-commerce logistics real estate demand is at a multi-decade high across Southeast Asia and South Asia — the shift to online retail requires 3x more logistics space than traditional retail distribution. Manufacturing diversification into Vietnam, India, and Indonesia is creating significant demand for industrial and logistics park infrastructure that does not yet exist at the required scale and quality.",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logistics real estate market is projected to reach $2T in asset value by 2030 — with Southeast Asia and South Asia growing at 15%+ annually as e-commerce and manufacturing investment drive Grade A warehouse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"Vacancy rates for Grade A logistics real estate are extremely low across Southeast Asia — sub-3% vacancy in key markets including Vietnam, Indonesia, and India reflects demand significantly exceeding supply.",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"Cold storage logistics real estate is growing at 20%+ annually — pharmaceutical distribution, food safety regulation, and consumer demand for fresh products are driving cold storage development well beyond current capacity.",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"ESG requirements are becoming standard for logistics real estate — major e-commerce and retail tenants are requiring green-certified facilities, solar rooftop installations, and EV charging infrastructure as tenancy conditions."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"Land acquisition in prime logistics locations is expensive and competitive — proximity to ports, airports, and major road networks in emerging markets commands significant land premiums.",</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"Construction quality standards for Grade A logistics real estate require specialised expertise — clear height, floor loading, dock levellers, and fire suppression systems differ from conventional industrial construction.",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"Tenant concentration risk is significant — large e-commerce platforms and logistics companies can represent 50%+ of a logistics park's GLA, creating single-tenant revenue concentration risk.",</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zoning approval for large industrial developments can be slow — environmental impact assessment, infrastructure connection approvals, and industrial land use permits create development timeline risk."</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"Logistics tenant demand validation|You need to validate e-commerce, manufacturing, and 3PL tenant demand for Grade A logistics space in your target location before committing to land acquisition and development.",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"Site feasibility and location assessment|You need to assess site access, land cost, utility availability, labour market proximity, and regulatory pathway for potential logistics park locations.",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"Development partner and construction strategy|You need to identify local construction companies, engineering firms, and development partners with industrial real estate expertise.",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logistics real estate investment|You are raising infrastructure capital and need a pitch book grounded in tenant demand data and site economics.",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"Tenant acquisition strategy|You need to develop relationships with e-commerce platforms, manufacturers, and 3PL companies as anchor tenants before or during development.",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landscape|You need to understand how competing logistics park developers are positioned, priced, and winning tenants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logistics tenant demand and site opportunity in a new market. Covers e-commerce, manufacturer, and 3PL tenant interviews, site analysis, competitive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logistics park investments. Covers tenant demand modelling, land cost, construction economics, yield projections,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logistics real estate developers. Regulatory pathway, land acquisition strategy, tenant ICP development, and first-LOI or first-lease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logistics real estate technology and services. Logistics park developer outreach, tenant management platform pipeline, and first-contract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logistics real estate ventures. Tenant-demand-validated market sizing, yield analysis,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logistics parks — from automated warehouse management and inventory optimisation to energy management and predictive maintenance."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logistics park developers or also with 3PL companies building their own infrastructure and industrial REIT managers?|All three. We work with developers on feasibility and market entry, 3PLs on owned infrastructure investment, and industrial REIT managers on market entry and asset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logistics real estate markets does GreyRadius cover?|Southeast Asia, South Asia, and the Gulf — markets with the fastest logistics real estate demand growth.",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logistics real estate market entry engagement take?|Typically 8–12 weeks for tenant demand research, site feasibility assessment,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anchor tenants for logistics park developments?|Yes. Tenant identification and initial commercial conversations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"logistics park market entry, industrial real estate GTM strategy, warehousing consulting, logistics real estate advisory, industrial park strategy, logistics hub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"$2T+",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logistics real estate asset value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"Southeast Asia and South Asia growing at 15%+ as e-commerce and manufacturing investment drive Grade A warehouse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logistics real estate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"E-commerce logistics heads, manufacturing operations managers, and 3PL real estate teams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tenant demand mapping and site feasibility research delivers logistics real estate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"cleantech",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"parent": "energy-chemicals",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"Cleantech Market Entry Strategy | GreyRadius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cleantech companies, green technology businesses, and environmental technology providers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"Cleantech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green technology to commercial scale — strategy for cleantech businesses entering new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"Cleantech — the broad category of technologies that reduce environmental impact across energy, water, waste, transportation, and industry — encompasses some of the most significant market entry opportunities of the decade. Energy efficiency companies, air quality monitoring businesses, water treatment technology providers, waste management technology companies, and environmental analytics platforms are all evaluating new market entry opportunities as environmental regulation intensifies and government sustainability investment accelerates globally. GreyRadius helps cleantech businesses validate government and enterprise demand,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"Environmental regulation is tightening globally at the fastest pace in decades — air quality standards, water discharge regulations, plastic waste mandates, and carbon emission requirements are all creating compliance-driven cleantech demand. Government green economy investment across the Gulf, South Asia, and Southeast Asia is creating funded procurement channels. The cleantech companies establishing government and enterprise relationships in 2024–2027 will capture multi-year contract value.",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cleantech market is projected to reach $2.5T by 2030 — growing at 11% annually as climate regulation, government sustainability investment, and corporate ESG commitments all drive clean technology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"Air quality technology is growing at 20%+ in South Asia — India's National Clean Air Programme and similar initiatives across Southeast Asia are creating significant government and industrial air quality monitoring and control procurement.",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"Industrial energy efficiency is growing at 15%+ annually — rising energy costs combined with carbon pricing are making energy efficiency investments economically compelling for manufacturers and facility operators.",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"Environmental monitoring and compliance technology is growing rapidly — automated compliance reporting, remote sensing, and environmental data management platforms are all seeing significant procurement from regulated industries."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procurement timelines for cleantech are long — environmental infrastructure and monitoring projects require tendering processes, environmental impact assessment, and budget approval that create 1–3 year sales cycles.",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"Technology proof of concept requirements are high — cleantech buyers require extensive field demonstration data before committing to large-scale deployment.",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"Price competition from Chinese cleantech manufacturers is intense — Chinese solar, wind, and environmental technology companies compete aggressively on price in many emerging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"Financing cleantech projects requires specialised expertise — green bonds, sustainability-linked lending, and development finance institution support all require specialised knowledge to access."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and enterprise cleantech demand validation|You need to identify which government programmes and enterprise sustainability investments are actively creating cleantech procurement demand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compliance opportunity mapping|You need to map environmental regulations, compliance deadlines, and enforcement trends that create urgency-driven cleantech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cleantech technology|You have an energy efficiency, air quality, water treatment, or waste technology and need a go-to-market strategy covering government and enterprise buyer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cleantech venture|You are raising investment and need a pitch book grounded in government programme data and enterprise sustainability demand.",</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"Green finance and development bank access|You need to identify green bond issuance, sustainability-linked lending, and DFI grant opportunities that can fund cleantech projects.",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cleantech companies are positioned and winning government and enterprise contracts."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government and enterprise demand for cleantech in a new market. Covers government programme mapping, enterprise sustainability buyer interviews, regulatory analysis,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cleantech investments. Covers demand modelling, regulatory compliance cost, government subsidy impact, and bankable financial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cleantech companies. Regulatory compliance pathway, government programme identification, enterprise buyer ICP, and first-contract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cleantech platforms. Government and enterprise outreach, green finance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"Investor-ready pitch books for cleantech ventures. Regulatory-demand-validated market sizing, government support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cleantech — from environmental monitoring and compliance reporting automation to energy optimisation and predictive environmental impact assessment."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energy efficiency companies or also with air quality, water treatment, and waste technology cleantech companies?|All segments. We work across energy efficiency, air quality, water treatment, waste management, and environmental analytics on market entry,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cleantech markets does GreyRadius cover?|Gulf, Southeast Asia, South Asia, and Africa — markets with intensifying environmental regulation and significant government green economy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cleantech market entry engagement take?|Typically 6–10 weeks for government programme mapping, enterprise demand research, and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green finance and DFI funding access for cleantech companies?|Yes. Green finance programme mapping is part of our market entry service for cleantech companies."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"cleantech market entry, green technology GTM strategy, environmental tech consulting, clean technology advisory, cleantech strategy, green tech market entry",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"$2.5T+",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cleantech market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11% annually as climate regulation, government sustainability investment, and corporate ESG commitments drive clean technology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cleantech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programme officials, enterprise sustainability managers, and environmental compliance officers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programme mapping and enterprise sustainability demand research delivers cleantech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"cross-border-ecommerce",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"ecommerce-tech",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"Cross-Border E-Commerce Market Entry Strategy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cross-border e-commerce companies, international marketplace businesses, and e-commerce logistics providers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"Cross-border e-commerce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warehouse to first cross-border delivery — strategy for cross-border e-commerce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"Cross-border e-commerce — the sale of products across international borders through digital channels — is growing at extraordinary speed as consumers in Southeast Asia, South Asia, the Gulf, and Africa buy directly from international manufacturers and brands. Cross-border e-commerce platform operators, international marketplace facilitators, customs clearance technology companies, and cross-border logistics providers are all evaluating new market entry opportunities. GreyRadius helps cross-border e-commerce businesses validate buyer and seller demand, navigate customs and regulatory requirements,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"TikTok Shop's cross-border expansion, Shopee's international seller programmes, and Noon's Gulf cross-border marketplace are all creating infrastructure that enables international sellers to reach emerging market consumers at scale. Chinese cross-border e-commerce into Southeast Asia, South Asia, and Africa is growing at 30%+ annually — creating both competitive pressure and market access inspiration for other international cross-border sellers.",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cross-border e-commerce market is projected to reach $7.9T by 2030 — growing at 28% annually as digital trade eliminates geographic barriers and emerging market consumers access international products.",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"China-to-Southeast Asia and China-to-Africa cross-border e-commerce is growing at 30%+ — Alibaba's Lazada, JD Central, and specialist cross-border platforms are all scaling rapidly.",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"Customs simplification is enabling cross-border e-commerce growth — de minimis thresholds, customs duty exemptions for low-value parcels, and digital customs clearance are all reducing barriers to cross-border trade.",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"Localised payment solutions are critical for cross-border e-commerce success — consumer willingness to purchase internationally is significantly higher when local payment methods are available at checkout."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"Customs and import duty complexity is the primary operational challenge — varying de minimis thresholds, tariff rates, and customs procedures across markets require specialised compliance expertise.",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"Consumer trust in international sellers is lower than in domestic sellers — return processes, language barriers, and delivery uncertainty all reduce consumer confidence in cross-border purchases.",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"Last-mile delivery for international parcels is fragmented — coordinating international shipping with domestic last-mile delivery across multiple markets requires complex logistics partnerships.",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"Payment fraud risk is elevated in cross-border transactions — cross-border payment fraud rates are significantly higher than domestic transactions, requiring sophisticated fraud management systems."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buyer and seller demand validation|You need to validate consumer demand for cross-border product categories and international seller appetite for entering your target cross-border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"Customs and regulatory pathway|You need to understand import duty, de minimis thresholds, customs procedures, and consumer protection regulations for cross-border e-commerce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 cross-border e-commerce platform|You have a cross-border marketplace, logistics service, or customs technology and need a go-to-market strategy covering seller and buyer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cross-border e-commerce venture|You are raising investment and need a pitch book grounded in cross-border trade flow data and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"Logistics and payment partner strategy|You need to identify cross-border logistics operators, customs brokers, and local payment providers as operational partners.",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cross-border platforms are positioned and acquiring sellers and buyers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cross-border buyer and seller demand in a new market. Covers consumer surveys, seller interviews, customs regulatory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cross-border e-commerce investments. Covers trade flow modelling, customs duty impact, logistics economics,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cross-border e-commerce companies. Customs pathway, logistics partner identification, seller ICP, and first-cross-border-transaction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cross-border platforms. Seller acquisition execution, buyer acquisition channels, and first-GMV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cross-border e-commerce ventures. Trade-flow-validated market sizing, unit economics,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cross-border e-commerce — from customs classification automation and fraud detection to personalised cross-border product recommendation and dynamic duty calculation."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cross-border marketplace companies or also with cross-border logistics and customs technology companies?|All three. We work with marketplace operators on market entry and GTM, logistics companies on market entry, and customs technology companies on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cross-border e-commerce markets does GreyRadius cover?|Southeast Asia, South Asia, the Gulf, and Africa — the fastest-growing cross-border e-commerce destination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cross-border e-commerce market entry engagement take?|Typically 6–10 weeks for demand research, customs regulatory mapping, and logistics partner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logistics and payment partners for cross-border e-commerce companies?|Yes. Partner identification and initial commercial conversations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"cross border ecommerce market entry, international marketplace GTM strategy, cross border trade consulting, international ecommerce advisory, cross border retail strategy, international marketplace consulting",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"$7.9T+",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cross-border e-commerce market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28% annually as digital trade eliminates geographic barriers and emerging market consumers access international products.",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cross-border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"Consumers, international sellers, and customs compliance managers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"stat3b": "AI-augmented trade flow analysis and customs regulatory mapping delivers cross-border e-commerce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"agrifintech",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"Agricultural Fintech &amp; Farmer Finance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agricultural fintech companies, farmer finance platforms, and rural credit businesses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"Agricultural fintech and farmer finance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mobile loan to harvest repayment — strategy for agricultural fintech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"Agricultural fintech — financial products and technology platforms serving farmers, agricultural businesses, and rural communities — addresses one of the largest financial inclusion opportunities globally. Farmer credit platforms, harvest finance companies, agricultural payment systems, crop insurance fintech, and rural savings platforms are all evaluating new market entry opportunities as digital connectivity reaches rural agricultural communities and governments invest in financial inclusion for farmers. GreyRadius helps agri-fintech businesses validate farmer demand, navigate regulatory requirements, execute GTM plans,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150 million farming households, Southeast Asia's 200 million agricultural workers, and Africa's 600 million smallholder farmers all represent significant underserved financial service populations. Digital agriculture infrastructure — government farmer ID systems, crop monitoring databases, and digital payment rails — is creating the data foundation that agri-fintech credit and insurance products require. The companies establishing farmer financial service relationships in 2024–2027 will hold long-term financial service positions.",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"Global agricultural finance gap exceeds $170B annually — smallholder farmers globally have insufficient access to formal credit, insurance, and savings products that could significantly improve agricultural productivity.",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"Mobile money penetration in rural communities is enabling agri-fintech — M-Pesa in East Africa, GCash in the Philippines, and bKash in Bangladesh have established digital payment rails that agri-fintech companies can build 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digital agriculture infrastructure is creating agri-fintech enablers — digital farmer registration, crop monitoring databases, and e-procurement systems are generating the data that credit scoring and insurance underwriting require.",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"Harvest finance is growing rapidly — input financing tied to specific crop cycles and repaid at harvest is achieving strong credit performance because repayment aligns with farmer cash flow patterns."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"Agricultural credit risk assessment without formal data is challenging — smallholder farmers lack credit history, formal income records, and collateral, requiring alternative data approaches for credit scoring.",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"Seasonal cash flow creates credit cycle management complexity — agricultural lending must align with planting and harvest cycles that vary by crop, geography, and climate.",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"Rural distribution infrastructure is fragmented — reaching smallholder farmers across dispersed rural geographies requires field agent networks, cooperative partnerships, or digital-only distribution that each have different reach and cost profiles.",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"Climate risk is increasing agricultural credit default rates — extreme weather events are creating crop failures that affect farmer repayment ability, requiring sophisticated climate risk integration into credit models."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"Farmer demand and credit behaviour validation|You need to validate farmer willingness to use digital financial services and what credit, insurance, and payment products they need and will repay.",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lending licence pathway|You need to understand agricultural lending licensing, microfinance regulatory requirements, and rural credit regulations in your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partner strategy|You need to identify agricultural cooperatives, input suppliers, microfinance institutions, and mobile money providers as farmer distribution channels.",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an agricultural fintech platform|You have a farmer credit, harvest finance, or rural financial services product and need a go-to-market strategy covering farmer and agribusiness acquisition.",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agri-fintech venture|You are raising investment and need a pitch book grounded in farmer demand data, credit performance benchmarks, and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subsidy access|You need to identify government agricultural credit programmes, rural financial inclusion schemes, and digital agriculture investments that support agri-fintech deployment."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farmer demand for agricultural financial services in a new market. Covers farmer surveys, cooperative interviews, regulatory mapping,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agri-fintech investments. Covers farmer adoption modelling, credit loss assumptions, distribution cost,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agri-fintech companies. Regulatory licensing pathway, distribution partner identification, farmer ICP, and first-loan-disbursement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agri-fintech platforms. Cooperative and input supplier outreach, government programme pipeline, and first-revenue milestone tracking.",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agri-fintech ventures. Farmer-demand-validated market sizing, credit performance benchmarks,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agricultural fintech — from satellite-based credit scoring and crop health monitoring to dynamic credit limit management and automated repayment collection."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farmer credit companies or also with agricultural payment systems and rural savings platforms?|All three. We work with farmer credit and harvest finance companies on market entry, agricultural payment systems on GTM and market entry, and rural savings platforms on market entry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agri-fintech markets does GreyRadius cover?|South Asia, Southeast Asia, and Africa — markets with the largest smallholder farmer populations and most significant agricultural finance gaps.",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agri-fintech market entry engagement take?|Typically 8–12 weeks for farmer demand research, regulatory mapping, and distribution partner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agricultural cooperative and government programme partners for agri-fintech companies?|Yes. Distribution partner and government programme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"agricultural fintech market entry, farmer finance GTM strategy, rural credit consulting, agri fintech advisory, farm lending market entry, agricultural finance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 Asia, Southeast Asia, Africa",</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"$170B+",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"Annual agricultural finance gap globally",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"Smallholder farmers worldwide lack sufficient access to formal credit, insurance, and savings that could significantly improve agricultural productivity.",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agri-fintech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"Farmers, cooperative managers, and government agricultural programme officials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farmer demand research and distribution mapping delivers agricultural fintech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"slug": "medtech-diagnostics-ai",</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"parent": "diagnostics",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"title": "AI-Powered Diagnostics &amp; Pathology Market Entry | GreyRadius",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AI diagnostics companies, computational pathology businesses, and medical AI platform providers with market entry strategy, GTM execution,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"h1": "AI-powered diagnostics and pathology market entry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trained model to clinical deployment — strategy for AI diagnostics businesses.",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"hero": "AI-powered diagnostics is transforming clinical medicine — with computational pathology, AI radiology, AI dermatology, and AI ophthalmology all demonstrating clinical performance comparable to specialists in specific diagnostic tasks. AI diagnostics companies are expanding into Southeast Asia, South Asia, and the Gulf as healthcare system staffing shortfalls, AI regulatory approval acceleration, and hospital technology investment create commercial deployment conditions. GreyRadius helps AI diagnostics businesses validate clinical demand, navigate SaMD regulatory pathways, and raise capital.",</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"Diagnostic workforce shortages are the primary AI diagnostics driver — the WHO estimates a shortage of 2.4 million healthcare workers by 2030, with pathologists and radiologists among the most acutely shortage-affected specialties. Markets with the largest diagnostic staffing gaps offer the most compelling AI diagnostics value propositions. Regulatory approval for AI medical devices is accelerating — CDSCO in India, HSA in Singapore, and Gulf health authorities are all establishing clearer AI SaMD pathways.",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diagnostics market is projected to reach $45B by 2030 — growing at 45% annually as clinical validation accumulates, regulatory approvals accelerate, and hospital technology investment increases.",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radiology is achieving clinical deployment scale — AI systems for chest X-ray, CT scan, and MRI interpretation are commercially deployed in thousands of hospitals globally and achieving reimbursement in multiple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"Computational pathology is reaching commercial deployment — whole slide imaging combined with AI analysis is reducing pathology turnaround time by 50%+ and improving diagnostic consistency.",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ophthalmology is achieving remarkable commercial success — AI systems for diabetic retinopathy screening are commercially deployed at scale in India, China, and several Southeast Asian markets with strong clinical evidence."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"SaMD regulatory pathway varies by market — AI diagnostic tools face different classification, clinical evidence, and approval requirements across FDA, CE, CDSCO, NMPA, and other regulatory frameworks.",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"Hospital EMR and PACS integration is complex — AI diagnostic tools must integrate with hospital information systems that vary significantly by institution and vendor.",</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champion development is critical — AI diagnostics adoption requires clinician champions who have validated the technology and advocate for it within hospital networks.",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"Reimbursement for AI diagnostics is still developing — while clinical evidence is accumulating, insurance and government payer coverage for AI-interpreted diagnostics is not yet established in most markets."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demand and hospital system validation|You need to validate which clinical specialties and hospital systems are actively seeking AI diagnostic tools and what evidence and integration requirements they have.",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"SaMD regulatory classification and approval|You need to understand how your AI diagnostic tool is classified and what clinical performance data and regulatory approval processes apply in each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"Clinical KOL and hospital partner identification|You need to identify radiology departments, pathology networks, and clinical AI champions as validation and early adoption partners.",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"GTM for an AI diagnostics company|You have an AI radiology, pathology, or diagnostic tool and need a go-to-market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AI diagnostics venture|You are raising investment and need a pitch book grounded in clinical validation data and market sizing.",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"Reimbursement and payer strategy|You need to develop a reimbursement pathway strategy for each target market to enable payer-supported hospital adoption."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"Validate clinical demand for AI diagnostics in a new market. Covers specialist physician and hospital administrator interviews, SaMD regulatory mapping, reimbursement research, and a Go/Defer/Kill recommendation.",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AI diagnostics investments. Covers hospital adoption modelling, integration cost, revenue model, and investor-ready projections.",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AI diagnostics companies. Regulatory pathway, KOL identification, hospital ICP, and first-clinical-deployment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AI diagnostics platforms. Hospital and laboratory outreach, clinical champion engagement, and first-commercial-deployment milestone.",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AI diagnostics ventures. Clinical-demand-validated market sizing, regulatory approval narrative, and investor identification.",</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"AI strategy — identifying which diagnostic applications offer the fastest path to regulatory approval, clinical adoption, and commercial deployment in each target market."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AI radiology companies or also with AI pathology, AI ophthalmology, and AI dermatology companies?|All diagnostic specialties. We work with AI radiology, pathology, ophthalmology, dermatology, and multi-modal AI diagnostics companies across market entry, GTM, and fundraising.",</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"What AI diagnostics markets does GreyRadius cover?|Southeast Asia, South Asia, and the Gulf — markets with significant diagnostic workforce shortages and growing hospital AI investment.",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AI diagnostics market entry engagement take?|Typically 8–12 weeks for clinical demand research, SaMD regulatory mapping, and reimbursement landscape assessment.",</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clinical champion hospitals for AI diagnostics companies?|Yes. Clinical KOL and reference hospital identification are part of our market entry execution service."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"keywords": "AI diagnostics market entry, computational pathology GTM strategy, AI radiology consulting, medical AI advisory, AI medical device market entry, clinical AI strategy",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"stat1n": "$45B+",</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"stat1l": "AI diagnostics market by 2030",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45% annually as clinical validation accumulates, regulatory approvals accelerate, and hospital AI investment increases.",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AI diagnostics mandate",</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"stat2b": "Radiologists, pathologists, and hospital administrators — every engagement grounded in direct primary research.",</w:t>
      </w:r>
    </w:p>
    <w:p w:rsidR="00BF3CE7"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"stat3n": "8 weeks",</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SaMD regulatory mapping and clinical demand research delivers AI diagnostics market entry strategies efficiently."</w:t>
      </w:r>
    </w:p>
    <w:p w:rsidR="00BF3CE7"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BF3CE7" w:rsidRDefault="00000000">
      <w:pPr>
        <w:shd w:val="clear" w:color="auto" w:fill="F0F0F0"/>
        <w:spacing w:before="14" w:after="14"/>
        <w:ind w:left="360"/>
      </w:pPr>
      <w:r>
        <w:rPr>
          <w:rFonts w:ascii="Courier New" w:eastAsia="Courier New" w:hAnsi="Courier New" w:cs="Courier New"/>
          <w:color w:val="1B2A4A"/>
          <w:sz w:val="16"/>
          <w:szCs w:val="16"/>
        </w:rPr>
        <w:t>]</w:t>
      </w:r>
    </w:p>
    <w:p w:rsidR="00BF3CE7" w:rsidRDefault="00BF3CE7">
      <w:pPr>
        <w:pBdr>
          <w:bottom w:val="single" w:sz="8" w:space="1" w:color="1B2A4A"/>
        </w:pBdr>
        <w:spacing w:before="200" w:after="200"/>
      </w:pPr>
    </w:p>
    <w:p w:rsidR="00BF3CE7" w:rsidRDefault="00000000">
      <w:pPr>
        <w:pStyle w:val="Heading1"/>
      </w:pPr>
      <w:r>
        <w:t>Milestone reached — 180 pages complete</w:t>
      </w:r>
    </w:p>
    <w:p w:rsidR="00BF3CE7" w:rsidRDefault="00000000">
      <w:pPr>
        <w:spacing w:before="60" w:after="60"/>
      </w:pPr>
      <w:r>
        <w:rPr>
          <w:color w:val="222222"/>
        </w:rPr>
        <w:t>With this batch the GreyRadius SEO architecture reaches 180 fully written pages. This represents:</w:t>
      </w:r>
    </w:p>
    <w:p w:rsidR="00BF3CE7" w:rsidRDefault="00000000">
      <w:pPr>
        <w:pStyle w:val="ListParagraph"/>
        <w:numPr>
          <w:ilvl w:val="0"/>
          <w:numId w:val="2"/>
        </w:numPr>
        <w:spacing w:before="40" w:after="40"/>
      </w:pPr>
      <w:r>
        <w:rPr>
          <w:color w:val="222222"/>
        </w:rPr>
        <w:t>12 Tier 1 industry vertical pages</w:t>
      </w:r>
    </w:p>
    <w:p w:rsidR="00BF3CE7" w:rsidRDefault="00000000">
      <w:pPr>
        <w:pStyle w:val="ListParagraph"/>
        <w:numPr>
          <w:ilvl w:val="0"/>
          <w:numId w:val="2"/>
        </w:numPr>
        <w:spacing w:before="40" w:after="40"/>
      </w:pPr>
      <w:r>
        <w:rPr>
          <w:color w:val="222222"/>
        </w:rPr>
        <w:t>51+ Tier 2 sub-sector pages</w:t>
      </w:r>
    </w:p>
    <w:p w:rsidR="00BF3CE7" w:rsidRDefault="00000000">
      <w:pPr>
        <w:pStyle w:val="ListParagraph"/>
        <w:numPr>
          <w:ilvl w:val="0"/>
          <w:numId w:val="2"/>
        </w:numPr>
        <w:spacing w:before="40" w:after="40"/>
      </w:pPr>
      <w:r>
        <w:rPr>
          <w:color w:val="222222"/>
        </w:rPr>
        <w:t>117+ Tier 3 long-tail market pages</w:t>
      </w:r>
    </w:p>
    <w:p w:rsidR="00BF3CE7" w:rsidRDefault="00000000">
      <w:pPr>
        <w:spacing w:before="60" w:after="60"/>
      </w:pPr>
      <w:r>
        <w:rPr>
          <w:color w:val="222222"/>
        </w:rPr>
        <w:t>To continue toward the 300-400 page target, start a new session and say Batch 9. Remaining high-priority pages include:</w:t>
      </w:r>
    </w:p>
    <w:p w:rsidR="00BF3CE7" w:rsidRDefault="00000000">
      <w:pPr>
        <w:pStyle w:val="ListParagraph"/>
        <w:numPr>
          <w:ilvl w:val="0"/>
          <w:numId w:val="2"/>
        </w:numPr>
        <w:spacing w:before="40" w:after="40"/>
      </w:pPr>
      <w:r>
        <w:rPr>
          <w:color w:val="222222"/>
        </w:rPr>
        <w:t>Tier 3 additions: Digital Payments Infrastructure, B2B SaaS for Emerging Markets, Healthcare AI Platforms, GovTech, Community Solar, Battery Recycling, Agricultural Drones, Sports Tech, Creator Commerce, Islamic Economy Platforms</w:t>
      </w:r>
    </w:p>
    <w:p w:rsidR="00BF3CE7" w:rsidRDefault="00000000">
      <w:pPr>
        <w:pStyle w:val="ListParagraph"/>
        <w:numPr>
          <w:ilvl w:val="0"/>
          <w:numId w:val="2"/>
        </w:numPr>
        <w:spacing w:before="40" w:after="40"/>
      </w:pPr>
      <w:r>
        <w:rPr>
          <w:color w:val="222222"/>
        </w:rPr>
        <w:t>Tier 3 additions: Regional entry pages — India market entry, Southeast Asia market entry, Gulf market entry, Africa market entry — high search volume, high commercial intent</w:t>
      </w:r>
    </w:p>
    <w:p w:rsidR="00BF3CE7" w:rsidRDefault="00000000">
      <w:pPr>
        <w:spacing w:before="400"/>
      </w:pPr>
      <w:r>
        <w:rPr>
          <w:i/>
          <w:iCs/>
          <w:color w:val="666666"/>
          <w:sz w:val="16"/>
          <w:szCs w:val="16"/>
        </w:rPr>
        <w:t>GreyRadius Consulting | SEO Build Pack Batches 6-7-8 | May 2026 | Confidential</w:t>
      </w:r>
    </w:p>
    <w:sectPr w:rsidR="00BF3CE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E5F30"/>
    <w:multiLevelType w:val="hybridMultilevel"/>
    <w:tmpl w:val="15CC9BF4"/>
    <w:lvl w:ilvl="0" w:tplc="7A20AB2E">
      <w:start w:val="1"/>
      <w:numFmt w:val="bullet"/>
      <w:lvlText w:val="●"/>
      <w:lvlJc w:val="left"/>
      <w:pPr>
        <w:ind w:left="720" w:hanging="360"/>
      </w:pPr>
    </w:lvl>
    <w:lvl w:ilvl="1" w:tplc="B3263912">
      <w:start w:val="1"/>
      <w:numFmt w:val="bullet"/>
      <w:lvlText w:val="○"/>
      <w:lvlJc w:val="left"/>
      <w:pPr>
        <w:ind w:left="1440" w:hanging="360"/>
      </w:pPr>
    </w:lvl>
    <w:lvl w:ilvl="2" w:tplc="C4DA8700">
      <w:start w:val="1"/>
      <w:numFmt w:val="bullet"/>
      <w:lvlText w:val="■"/>
      <w:lvlJc w:val="left"/>
      <w:pPr>
        <w:ind w:left="2160" w:hanging="360"/>
      </w:pPr>
    </w:lvl>
    <w:lvl w:ilvl="3" w:tplc="907686CE">
      <w:start w:val="1"/>
      <w:numFmt w:val="bullet"/>
      <w:lvlText w:val="●"/>
      <w:lvlJc w:val="left"/>
      <w:pPr>
        <w:ind w:left="2880" w:hanging="360"/>
      </w:pPr>
    </w:lvl>
    <w:lvl w:ilvl="4" w:tplc="F1D66536">
      <w:start w:val="1"/>
      <w:numFmt w:val="bullet"/>
      <w:lvlText w:val="○"/>
      <w:lvlJc w:val="left"/>
      <w:pPr>
        <w:ind w:left="3600" w:hanging="360"/>
      </w:pPr>
    </w:lvl>
    <w:lvl w:ilvl="5" w:tplc="226AC0A8">
      <w:start w:val="1"/>
      <w:numFmt w:val="bullet"/>
      <w:lvlText w:val="■"/>
      <w:lvlJc w:val="left"/>
      <w:pPr>
        <w:ind w:left="4320" w:hanging="360"/>
      </w:pPr>
    </w:lvl>
    <w:lvl w:ilvl="6" w:tplc="5F501184">
      <w:start w:val="1"/>
      <w:numFmt w:val="bullet"/>
      <w:lvlText w:val="●"/>
      <w:lvlJc w:val="left"/>
      <w:pPr>
        <w:ind w:left="5040" w:hanging="360"/>
      </w:pPr>
    </w:lvl>
    <w:lvl w:ilvl="7" w:tplc="7526C964">
      <w:start w:val="1"/>
      <w:numFmt w:val="bullet"/>
      <w:lvlText w:val="●"/>
      <w:lvlJc w:val="left"/>
      <w:pPr>
        <w:ind w:left="5760" w:hanging="360"/>
      </w:pPr>
    </w:lvl>
    <w:lvl w:ilvl="8" w:tplc="B262D706">
      <w:start w:val="1"/>
      <w:numFmt w:val="bullet"/>
      <w:lvlText w:val="●"/>
      <w:lvlJc w:val="left"/>
      <w:pPr>
        <w:ind w:left="6480" w:hanging="360"/>
      </w:pPr>
    </w:lvl>
  </w:abstractNum>
  <w:abstractNum w:abstractNumId="1" w15:restartNumberingAfterBreak="0">
    <w:nsid w:val="67BE285A"/>
    <w:multiLevelType w:val="hybridMultilevel"/>
    <w:tmpl w:val="695C8A70"/>
    <w:lvl w:ilvl="0" w:tplc="4DC4DA6A">
      <w:start w:val="1"/>
      <w:numFmt w:val="bullet"/>
      <w:lvlText w:val="•"/>
      <w:lvlJc w:val="left"/>
      <w:pPr>
        <w:ind w:left="720" w:hanging="360"/>
      </w:pPr>
    </w:lvl>
    <w:lvl w:ilvl="1" w:tplc="95125988">
      <w:numFmt w:val="decimal"/>
      <w:lvlText w:val=""/>
      <w:lvlJc w:val="left"/>
    </w:lvl>
    <w:lvl w:ilvl="2" w:tplc="2474EB9E">
      <w:numFmt w:val="decimal"/>
      <w:lvlText w:val=""/>
      <w:lvlJc w:val="left"/>
    </w:lvl>
    <w:lvl w:ilvl="3" w:tplc="B27A7A7E">
      <w:numFmt w:val="decimal"/>
      <w:lvlText w:val=""/>
      <w:lvlJc w:val="left"/>
    </w:lvl>
    <w:lvl w:ilvl="4" w:tplc="B2CE29AE">
      <w:numFmt w:val="decimal"/>
      <w:lvlText w:val=""/>
      <w:lvlJc w:val="left"/>
    </w:lvl>
    <w:lvl w:ilvl="5" w:tplc="61BCE6E4">
      <w:numFmt w:val="decimal"/>
      <w:lvlText w:val=""/>
      <w:lvlJc w:val="left"/>
    </w:lvl>
    <w:lvl w:ilvl="6" w:tplc="7F06A21A">
      <w:numFmt w:val="decimal"/>
      <w:lvlText w:val=""/>
      <w:lvlJc w:val="left"/>
    </w:lvl>
    <w:lvl w:ilvl="7" w:tplc="55FE53C0">
      <w:numFmt w:val="decimal"/>
      <w:lvlText w:val=""/>
      <w:lvlJc w:val="left"/>
    </w:lvl>
    <w:lvl w:ilvl="8" w:tplc="75803A00">
      <w:numFmt w:val="decimal"/>
      <w:lvlText w:val=""/>
      <w:lvlJc w:val="left"/>
    </w:lvl>
  </w:abstractNum>
  <w:num w:numId="1" w16cid:durableId="834958803">
    <w:abstractNumId w:val="0"/>
    <w:lvlOverride w:ilvl="0">
      <w:startOverride w:val="1"/>
    </w:lvlOverride>
  </w:num>
  <w:num w:numId="2" w16cid:durableId="19710857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CE7"/>
    <w:rsid w:val="002F37DE"/>
    <w:rsid w:val="00BF3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23CB643C-02E9-5E4F-AB6A-16DC3145F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24368</Words>
  <Characters>138899</Characters>
  <Application>Microsoft Office Word</Application>
  <DocSecurity>0</DocSecurity>
  <Lines>1157</Lines>
  <Paragraphs>325</Paragraphs>
  <ScaleCrop>false</ScaleCrop>
  <Company/>
  <LinksUpToDate>false</LinksUpToDate>
  <CharactersWithSpaces>162942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2026-06-03T04:49:00Z</dcterms:created>
  <dcterms:modified xsi:type="dcterms:W3CDTF">2026-06-03T04:49:00Z</dcterms:modified>
</cp:coreProperties>
</file>