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4A90A4"/>
          <w:sz w:val="16"/>
          <w:szCs w:val="16"/>
        </w:rPr>
        <w:t xml:space="preserve">MARKET ENTRY EXECUTION · OPPORTUNITY ASSESSMENT · INDUSTRIALS &amp; MANUFACTURING · INDIA · MINING EQUIPMENT</w:t>
      </w:r>
    </w:p>
    <w:p>
      <w:pPr>
        <w:spacing w:after="60"/>
      </w:pPr>
      <w:r>
        <w:rPr>
          <w:rFonts w:ascii="Calibri" w:cs="Calibri" w:eastAsia="Calibri" w:hAnsi="Calibri"/>
          <w:b/>
          <w:bCs/>
          <w:color w:val="2E4A5E"/>
          <w:sz w:val="36"/>
          <w:szCs w:val="36"/>
        </w:rPr>
        <w:t xml:space="preserve">Distributor Selection &amp; Channel Strategy for an International Gearbox Manufacturer's India Entry</w:t>
      </w:r>
    </w:p>
    <w:p>
      <w:pPr>
        <w:spacing w:after="240" w:line="300"/>
      </w:pPr>
      <w:r>
        <w:rPr>
          <w:rFonts w:ascii="Calibri" w:cs="Calibri" w:eastAsia="Calibri" w:hAnsi="Calibri"/>
          <w:color w:val="24333A"/>
          <w:sz w:val="24"/>
          <w:szCs w:val="24"/>
        </w:rPr>
        <w:t xml:space="preserve">An international gearbox manufacturer serving the mining equipment sector had decided to enter India — but had no distribution presence, no reliable way to rank where demand actually existed, and no framework for telling a distributor willing to sign from a distributor able to perform.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4A90A4" w:sz="2"/>
              <w:left w:val="single" w:color="4A90A4" w:sz="2"/>
              <w:bottom w:val="single" w:color="4A90A4" w:sz="2"/>
              <w:right w:val="single" w:color="4A90A4" w:sz="2"/>
            </w:tcBorders>
            <w:shd w:fill="F2F5F7" w:color="auto" w:val="clear"/>
            <w:tcMar>
              <w:top w:type="dxa" w:w="160"/>
              <w:left w:type="dxa" w:w="100"/>
              <w:bottom w:type="dxa" w:w="160"/>
              <w:right w:type="dxa" w:w="100"/>
            </w:tcMar>
            <w:vAlign w:val="center"/>
          </w:tcPr>
          <w:p>
            <w:pPr>
              <w:spacing w:after="40"/>
              <w:jc w:val="center"/>
            </w:pPr>
            <w:r>
              <w:rPr>
                <w:rFonts w:ascii="Calibri" w:cs="Calibri" w:eastAsia="Calibri" w:hAnsi="Calibri"/>
                <w:b/>
                <w:bCs/>
                <w:color w:val="2E4A5E"/>
                <w:sz w:val="26"/>
                <w:szCs w:val="26"/>
              </w:rPr>
              <w:t xml:space="preserve">8</w:t>
            </w:r>
          </w:p>
          <w:p>
            <w:pPr>
              <w:jc w:val="center"/>
            </w:pPr>
            <w:r>
              <w:rPr>
                <w:rFonts w:ascii="Calibri" w:cs="Calibri" w:eastAsia="Calibri" w:hAnsi="Calibri"/>
                <w:color w:val="24333A"/>
                <w:sz w:val="15"/>
                <w:szCs w:val="15"/>
              </w:rPr>
              <w:t xml:space="preserve">states assessed</w:t>
            </w:r>
          </w:p>
        </w:tc>
        <w:tc>
          <w:tcPr>
            <w:tcW w:type="dxa" w:w="2520"/>
            <w:tcBorders>
              <w:top w:val="single" w:color="4A90A4" w:sz="2"/>
              <w:left w:val="single" w:color="4A90A4" w:sz="2"/>
              <w:bottom w:val="single" w:color="4A90A4" w:sz="2"/>
              <w:right w:val="single" w:color="4A90A4" w:sz="2"/>
            </w:tcBorders>
            <w:shd w:fill="F2F5F7" w:color="auto" w:val="clear"/>
            <w:tcMar>
              <w:top w:type="dxa" w:w="160"/>
              <w:left w:type="dxa" w:w="100"/>
              <w:bottom w:type="dxa" w:w="160"/>
              <w:right w:type="dxa" w:w="100"/>
            </w:tcMar>
            <w:vAlign w:val="center"/>
          </w:tcPr>
          <w:p>
            <w:pPr>
              <w:spacing w:after="40"/>
              <w:jc w:val="center"/>
            </w:pPr>
            <w:r>
              <w:rPr>
                <w:rFonts w:ascii="Calibri" w:cs="Calibri" w:eastAsia="Calibri" w:hAnsi="Calibri"/>
                <w:b/>
                <w:bCs/>
                <w:color w:val="2E4A5E"/>
                <w:sz w:val="26"/>
                <w:szCs w:val="26"/>
              </w:rPr>
              <w:t xml:space="preserve">50</w:t>
            </w:r>
          </w:p>
          <w:p>
            <w:pPr>
              <w:jc w:val="center"/>
            </w:pPr>
            <w:r>
              <w:rPr>
                <w:rFonts w:ascii="Calibri" w:cs="Calibri" w:eastAsia="Calibri" w:hAnsi="Calibri"/>
                <w:color w:val="24333A"/>
                <w:sz w:val="15"/>
                <w:szCs w:val="15"/>
              </w:rPr>
              <w:t xml:space="preserve">distributors evaluated</w:t>
            </w:r>
          </w:p>
        </w:tc>
        <w:tc>
          <w:tcPr>
            <w:tcW w:type="dxa" w:w="2520"/>
            <w:tcBorders>
              <w:top w:val="single" w:color="4A90A4" w:sz="2"/>
              <w:left w:val="single" w:color="4A90A4" w:sz="2"/>
              <w:bottom w:val="single" w:color="4A90A4" w:sz="2"/>
              <w:right w:val="single" w:color="4A90A4" w:sz="2"/>
            </w:tcBorders>
            <w:shd w:fill="F2F5F7" w:color="auto" w:val="clear"/>
            <w:tcMar>
              <w:top w:type="dxa" w:w="160"/>
              <w:left w:type="dxa" w:w="100"/>
              <w:bottom w:type="dxa" w:w="160"/>
              <w:right w:type="dxa" w:w="100"/>
            </w:tcMar>
            <w:vAlign w:val="center"/>
          </w:tcPr>
          <w:p>
            <w:pPr>
              <w:spacing w:after="40"/>
              <w:jc w:val="center"/>
            </w:pPr>
            <w:r>
              <w:rPr>
                <w:rFonts w:ascii="Calibri" w:cs="Calibri" w:eastAsia="Calibri" w:hAnsi="Calibri"/>
                <w:b/>
                <w:bCs/>
                <w:color w:val="2E4A5E"/>
                <w:sz w:val="26"/>
                <w:szCs w:val="26"/>
              </w:rPr>
              <w:t xml:space="preserve">4</w:t>
            </w:r>
          </w:p>
          <w:p>
            <w:pPr>
              <w:jc w:val="center"/>
            </w:pPr>
            <w:r>
              <w:rPr>
                <w:rFonts w:ascii="Calibri" w:cs="Calibri" w:eastAsia="Calibri" w:hAnsi="Calibri"/>
                <w:color w:val="24333A"/>
                <w:sz w:val="15"/>
                <w:szCs w:val="15"/>
              </w:rPr>
              <w:t xml:space="preserve">distributors appointed</w:t>
            </w:r>
          </w:p>
        </w:tc>
        <w:tc>
          <w:tcPr>
            <w:tcW w:type="dxa" w:w="2520"/>
            <w:tcBorders>
              <w:top w:val="single" w:color="4A90A4" w:sz="2"/>
              <w:left w:val="single" w:color="4A90A4" w:sz="2"/>
              <w:bottom w:val="single" w:color="4A90A4" w:sz="2"/>
              <w:right w:val="single" w:color="4A90A4" w:sz="2"/>
            </w:tcBorders>
            <w:shd w:fill="F2F5F7" w:color="auto" w:val="clear"/>
            <w:tcMar>
              <w:top w:type="dxa" w:w="160"/>
              <w:left w:type="dxa" w:w="100"/>
              <w:bottom w:type="dxa" w:w="160"/>
              <w:right w:type="dxa" w:w="100"/>
            </w:tcMar>
            <w:vAlign w:val="center"/>
          </w:tcPr>
          <w:p>
            <w:pPr>
              <w:spacing w:after="40"/>
              <w:jc w:val="center"/>
            </w:pPr>
            <w:r>
              <w:rPr>
                <w:rFonts w:ascii="Calibri" w:cs="Calibri" w:eastAsia="Calibri" w:hAnsi="Calibri"/>
                <w:b/>
                <w:bCs/>
                <w:color w:val="2E4A5E"/>
                <w:sz w:val="26"/>
                <w:szCs w:val="26"/>
              </w:rPr>
              <w:t xml:space="preserve">4-5 mo</w:t>
            </w:r>
          </w:p>
          <w:p>
            <w:pPr>
              <w:jc w:val="center"/>
            </w:pPr>
            <w:r>
              <w:rPr>
                <w:rFonts w:ascii="Calibri" w:cs="Calibri" w:eastAsia="Calibri" w:hAnsi="Calibri"/>
                <w:color w:val="24333A"/>
                <w:sz w:val="15"/>
                <w:szCs w:val="15"/>
              </w:rPr>
              <w:t xml:space="preserve">engagement duration</w:t>
            </w:r>
          </w:p>
        </w:tc>
      </w:tr>
    </w:tbl>
    <w:p>
      <w:pPr>
        <w:pBdr>
          <w:bottom w:val="single" w:color="4A90A4" w:sz="6" w:space="4"/>
        </w:pBdr>
        <w:spacing w:after="140" w:before="340"/>
      </w:pPr>
      <w:r>
        <w:rPr>
          <w:rFonts w:ascii="Calibri" w:cs="Calibri" w:eastAsia="Calibri" w:hAnsi="Calibri"/>
          <w:b/>
          <w:bCs/>
          <w:color w:val="2E4A5E"/>
          <w:sz w:val="22"/>
          <w:szCs w:val="22"/>
        </w:rPr>
        <w:t xml:space="preserve">THE SITUATION</w:t>
      </w:r>
    </w:p>
    <w:p>
      <w:pPr>
        <w:spacing w:after="60" w:before="160"/>
      </w:pPr>
      <w:r>
        <w:rPr>
          <w:rFonts w:ascii="Calibri" w:cs="Calibri" w:eastAsia="Calibri" w:hAnsi="Calibri"/>
          <w:b/>
          <w:bCs/>
          <w:color w:val="2E4A5E"/>
          <w:sz w:val="22"/>
          <w:szCs w:val="22"/>
        </w:rPr>
        <w:t xml:space="preserve">A distribution network that had to work in geographies the client had never operated in.</w:t>
      </w:r>
    </w:p>
    <w:p>
      <w:pPr>
        <w:spacing w:after="160" w:line="288"/>
      </w:pPr>
      <w:r>
        <w:rPr>
          <w:rFonts w:ascii="Calibri" w:cs="Calibri" w:eastAsia="Calibri" w:hAnsi="Calibri"/>
          <w:color w:val="24333A"/>
          <w:sz w:val="22"/>
          <w:szCs w:val="22"/>
        </w:rPr>
        <w:t xml:space="preserve">An international gearbox manufacturer serving mining equipment OEMs and end-users had decided to enter India, but had no distribution presence and no reliable way to determine where real demand existed or who could actually sell and service its products on the ground.</w:t>
      </w:r>
    </w:p>
    <w:p>
      <w:pPr>
        <w:spacing w:after="160" w:line="288"/>
      </w:pPr>
      <w:r>
        <w:rPr>
          <w:rFonts w:ascii="Calibri" w:cs="Calibri" w:eastAsia="Calibri" w:hAnsi="Calibri"/>
          <w:color w:val="24333A"/>
          <w:sz w:val="22"/>
          <w:szCs w:val="22"/>
        </w:rPr>
        <w:t xml:space="preserve">The mining equipment sector in India is regionally fragmented. Demand clusters around specific mining belts and industrial corridors, and the distributors capable of serving them vary widely in technical capability, existing OEM relationships, warehousing and after-sales service infrastructure. Getting this wrong meant either signing a distributor who couldn't convert access into revenue, or losing years to a partnership that would eventually need to be unwound.</w:t>
      </w:r>
    </w:p>
    <w:p>
      <w:pPr>
        <w:spacing w:after="160" w:line="288"/>
      </w:pPr>
      <w:r>
        <w:rPr>
          <w:rFonts w:ascii="Calibri" w:cs="Calibri" w:eastAsia="Calibri" w:hAnsi="Calibri"/>
          <w:color w:val="24333A"/>
          <w:sz w:val="22"/>
          <w:szCs w:val="22"/>
        </w:rPr>
        <w:t xml:space="preserve">GreyRadius was engaged to run the full distributor selection process — geography and opportunity mapping, sales channel assessment, distributor search and due diligence, commercial negotiation, and final appointment — to give the client a defensible, ranked path into the market instead of an open call for interested resellers.</w:t>
      </w:r>
    </w:p>
    <w:p>
      <w:pPr>
        <w:pBdr>
          <w:bottom w:val="single" w:color="4A90A4" w:sz="6" w:space="4"/>
        </w:pBdr>
        <w:spacing w:after="140" w:before="340"/>
      </w:pPr>
      <w:r>
        <w:rPr>
          <w:rFonts w:ascii="Calibri" w:cs="Calibri" w:eastAsia="Calibri" w:hAnsi="Calibri"/>
          <w:b/>
          <w:bCs/>
          <w:color w:val="2E4A5E"/>
          <w:sz w:val="22"/>
          <w:szCs w:val="22"/>
        </w:rPr>
        <w:t xml:space="preserve">ENGAGEMENT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F2F5F7" w:color="auto" w:val="clear"/>
            <w:tcMar>
              <w:top w:type="dxa" w:w="120"/>
              <w:left w:type="dxa" w:w="180"/>
              <w:bottom w:type="dxa" w:w="120"/>
              <w:right w:type="dxa" w:w="120"/>
            </w:tcMar>
          </w:tcPr>
          <w:p>
            <w:r>
              <w:rPr>
                <w:rFonts w:ascii="Calibri" w:cs="Calibri" w:eastAsia="Calibri" w:hAnsi="Calibri"/>
                <w:b/>
                <w:bCs/>
                <w:color w:val="2E4A5E"/>
                <w:sz w:val="20"/>
                <w:szCs w:val="20"/>
              </w:rPr>
              <w:t xml:space="preserve">Client</w:t>
            </w:r>
          </w:p>
        </w:tc>
        <w:tc>
          <w:tcPr>
            <w:tcW w:type="dxa" w:w="7056"/>
            <w:shd w:fill="F2F5F7" w:color="auto" w:val="clear"/>
            <w:tcMar>
              <w:top w:type="dxa" w:w="120"/>
              <w:left w:type="dxa" w:w="120"/>
              <w:bottom w:type="dxa" w:w="120"/>
              <w:right w:type="dxa" w:w="180"/>
            </w:tcMar>
          </w:tcPr>
          <w:p>
            <w:r>
              <w:rPr>
                <w:rFonts w:ascii="Calibri" w:cs="Calibri" w:eastAsia="Calibri" w:hAnsi="Calibri"/>
                <w:color w:val="24333A"/>
                <w:sz w:val="20"/>
                <w:szCs w:val="20"/>
              </w:rPr>
              <w:t xml:space="preserve">International gearbox manufacturer (mining equipment segment)</w:t>
            </w:r>
          </w:p>
        </w:tc>
      </w:tr>
      <w:tr>
        <w:tc>
          <w:tcPr>
            <w:tcW w:type="dxa" w:w="3024"/>
            <w:shd w:fill="FFFFFF" w:color="auto" w:val="clear"/>
            <w:tcMar>
              <w:top w:type="dxa" w:w="120"/>
              <w:left w:type="dxa" w:w="180"/>
              <w:bottom w:type="dxa" w:w="120"/>
              <w:right w:type="dxa" w:w="120"/>
            </w:tcMar>
          </w:tcPr>
          <w:p>
            <w:r>
              <w:rPr>
                <w:rFonts w:ascii="Calibri" w:cs="Calibri" w:eastAsia="Calibri" w:hAnsi="Calibri"/>
                <w:b/>
                <w:bCs/>
                <w:color w:val="2E4A5E"/>
                <w:sz w:val="20"/>
                <w:szCs w:val="20"/>
              </w:rPr>
              <w:t xml:space="preserve">Service</w:t>
            </w:r>
          </w:p>
        </w:tc>
        <w:tc>
          <w:tcPr>
            <w:tcW w:type="dxa" w:w="7056"/>
            <w:shd w:fill="FFFFFF" w:color="auto" w:val="clear"/>
            <w:tcMar>
              <w:top w:type="dxa" w:w="120"/>
              <w:left w:type="dxa" w:w="120"/>
              <w:bottom w:type="dxa" w:w="120"/>
              <w:right w:type="dxa" w:w="180"/>
            </w:tcMar>
          </w:tcPr>
          <w:p>
            <w:r>
              <w:rPr>
                <w:rFonts w:ascii="Calibri" w:cs="Calibri" w:eastAsia="Calibri" w:hAnsi="Calibri"/>
                <w:color w:val="24333A"/>
                <w:sz w:val="20"/>
                <w:szCs w:val="20"/>
              </w:rPr>
              <w:t xml:space="preserve">Market Entry Execution · Opportunity Assessment</w:t>
            </w:r>
          </w:p>
        </w:tc>
      </w:tr>
      <w:tr>
        <w:tc>
          <w:tcPr>
            <w:tcW w:type="dxa" w:w="3024"/>
            <w:shd w:fill="F2F5F7" w:color="auto" w:val="clear"/>
            <w:tcMar>
              <w:top w:type="dxa" w:w="120"/>
              <w:left w:type="dxa" w:w="180"/>
              <w:bottom w:type="dxa" w:w="120"/>
              <w:right w:type="dxa" w:w="120"/>
            </w:tcMar>
          </w:tcPr>
          <w:p>
            <w:r>
              <w:rPr>
                <w:rFonts w:ascii="Calibri" w:cs="Calibri" w:eastAsia="Calibri" w:hAnsi="Calibri"/>
                <w:b/>
                <w:bCs/>
                <w:color w:val="2E4A5E"/>
                <w:sz w:val="20"/>
                <w:szCs w:val="20"/>
              </w:rPr>
              <w:t xml:space="preserve">Geography</w:t>
            </w:r>
          </w:p>
        </w:tc>
        <w:tc>
          <w:tcPr>
            <w:tcW w:type="dxa" w:w="7056"/>
            <w:shd w:fill="F2F5F7" w:color="auto" w:val="clear"/>
            <w:tcMar>
              <w:top w:type="dxa" w:w="120"/>
              <w:left w:type="dxa" w:w="120"/>
              <w:bottom w:type="dxa" w:w="120"/>
              <w:right w:type="dxa" w:w="180"/>
            </w:tcMar>
          </w:tcPr>
          <w:p>
            <w:r>
              <w:rPr>
                <w:rFonts w:ascii="Calibri" w:cs="Calibri" w:eastAsia="Calibri" w:hAnsi="Calibri"/>
                <w:color w:val="24333A"/>
                <w:sz w:val="20"/>
                <w:szCs w:val="20"/>
              </w:rPr>
              <w:t xml:space="preserve">India — 8 priority states assessed</w:t>
            </w:r>
          </w:p>
        </w:tc>
      </w:tr>
      <w:tr>
        <w:tc>
          <w:tcPr>
            <w:tcW w:type="dxa" w:w="3024"/>
            <w:shd w:fill="FFFFFF" w:color="auto" w:val="clear"/>
            <w:tcMar>
              <w:top w:type="dxa" w:w="120"/>
              <w:left w:type="dxa" w:w="180"/>
              <w:bottom w:type="dxa" w:w="120"/>
              <w:right w:type="dxa" w:w="120"/>
            </w:tcMar>
          </w:tcPr>
          <w:p>
            <w:r>
              <w:rPr>
                <w:rFonts w:ascii="Calibri" w:cs="Calibri" w:eastAsia="Calibri" w:hAnsi="Calibri"/>
                <w:b/>
                <w:bCs/>
                <w:color w:val="2E4A5E"/>
                <w:sz w:val="20"/>
                <w:szCs w:val="20"/>
              </w:rPr>
              <w:t xml:space="preserve">Deliverables</w:t>
            </w:r>
          </w:p>
        </w:tc>
        <w:tc>
          <w:tcPr>
            <w:tcW w:type="dxa" w:w="7056"/>
            <w:shd w:fill="FFFFFF" w:color="auto" w:val="clear"/>
            <w:tcMar>
              <w:top w:type="dxa" w:w="120"/>
              <w:left w:type="dxa" w:w="120"/>
              <w:bottom w:type="dxa" w:w="120"/>
              <w:right w:type="dxa" w:w="180"/>
            </w:tcMar>
          </w:tcPr>
          <w:p>
            <w:r>
              <w:rPr>
                <w:rFonts w:ascii="Calibri" w:cs="Calibri" w:eastAsia="Calibri" w:hAnsi="Calibri"/>
                <w:color w:val="24333A"/>
                <w:sz w:val="20"/>
                <w:szCs w:val="20"/>
              </w:rPr>
              <w:t xml:space="preserve">Geography ranking, channel assessment, distributor shortlist, negotiated appointments</w:t>
            </w:r>
          </w:p>
        </w:tc>
      </w:tr>
    </w:tbl>
    <w:p>
      <w:pPr>
        <w:pBdr>
          <w:bottom w:val="single" w:color="4A90A4" w:sz="6" w:space="4"/>
        </w:pBdr>
        <w:spacing w:after="140" w:before="340"/>
      </w:pPr>
      <w:r>
        <w:rPr>
          <w:rFonts w:ascii="Calibri" w:cs="Calibri" w:eastAsia="Calibri" w:hAnsi="Calibri"/>
          <w:b/>
          <w:bCs/>
          <w:color w:val="2E4A5E"/>
          <w:sz w:val="22"/>
          <w:szCs w:val="22"/>
        </w:rPr>
        <w:t xml:space="preserve">THE CHALLENGE</w:t>
      </w:r>
    </w:p>
    <w:p>
      <w:pPr>
        <w:spacing w:after="60" w:before="160"/>
      </w:pPr>
      <w:r>
        <w:rPr>
          <w:rFonts w:ascii="Calibri" w:cs="Calibri" w:eastAsia="Calibri" w:hAnsi="Calibri"/>
          <w:b/>
          <w:bCs/>
          <w:color w:val="2E4A5E"/>
          <w:sz w:val="22"/>
          <w:szCs w:val="22"/>
        </w:rPr>
        <w:t xml:space="preserve">Geography wasn't a single market</w:t>
      </w:r>
    </w:p>
    <w:p>
      <w:pPr>
        <w:spacing w:after="160" w:line="288"/>
      </w:pPr>
      <w:r>
        <w:rPr>
          <w:rFonts w:ascii="Calibri" w:cs="Calibri" w:eastAsia="Calibri" w:hAnsi="Calibri"/>
          <w:color w:val="24333A"/>
          <w:sz w:val="22"/>
          <w:szCs w:val="22"/>
        </w:rPr>
        <w:t xml:space="preserve">Mining equipment demand in India doesn't distribute evenly — it clusters around specific mining belts, industrial corridors and capex cycles. Without a structured way to rank geographies by actual opportunity, the client risked spreading distribution effort across markets that couldn't support it.</w:t>
      </w:r>
    </w:p>
    <w:p>
      <w:pPr>
        <w:spacing w:after="60" w:before="160"/>
      </w:pPr>
      <w:r>
        <w:rPr>
          <w:rFonts w:ascii="Calibri" w:cs="Calibri" w:eastAsia="Calibri" w:hAnsi="Calibri"/>
          <w:b/>
          <w:bCs/>
          <w:color w:val="2E4A5E"/>
          <w:sz w:val="22"/>
          <w:szCs w:val="22"/>
        </w:rPr>
        <w:t xml:space="preserve">Channel structure wasn't obvious</w:t>
      </w:r>
    </w:p>
    <w:p>
      <w:pPr>
        <w:spacing w:after="160" w:line="288"/>
      </w:pPr>
      <w:r>
        <w:rPr>
          <w:rFonts w:ascii="Calibri" w:cs="Calibri" w:eastAsia="Calibri" w:hAnsi="Calibri"/>
          <w:color w:val="24333A"/>
          <w:sz w:val="22"/>
          <w:szCs w:val="22"/>
        </w:rPr>
        <w:t xml:space="preserve">Direct sales, a single national distributor, or a multi-regional distributor model would each work differently depending on the geography's buying behaviour, deal sizes and service expectations — and the wrong channel choice locks in for years.</w:t>
      </w:r>
    </w:p>
    <w:p>
      <w:pPr>
        <w:spacing w:after="60" w:before="160"/>
      </w:pPr>
      <w:r>
        <w:rPr>
          <w:rFonts w:ascii="Calibri" w:cs="Calibri" w:eastAsia="Calibri" w:hAnsi="Calibri"/>
          <w:b/>
          <w:bCs/>
          <w:color w:val="2E4A5E"/>
          <w:sz w:val="22"/>
          <w:szCs w:val="22"/>
        </w:rPr>
        <w:t xml:space="preserve">Distributor capability is invisible from the outside</w:t>
      </w:r>
    </w:p>
    <w:p>
      <w:pPr>
        <w:spacing w:after="160" w:line="288"/>
      </w:pPr>
      <w:r>
        <w:rPr>
          <w:rFonts w:ascii="Calibri" w:cs="Calibri" w:eastAsia="Calibri" w:hAnsi="Calibri"/>
          <w:color w:val="24333A"/>
          <w:sz w:val="22"/>
          <w:szCs w:val="22"/>
        </w:rPr>
        <w:t xml:space="preserve">Willingness to carry a product line says nothing about a distributor's technical service capacity, existing OEM relationships, warehousing footprint, or credibility with mining end-customers — the factors that actually predict whether a distributor converts access into revenue.</w:t>
      </w:r>
    </w:p>
    <w:p>
      <w:pPr>
        <w:pBdr>
          <w:bottom w:val="single" w:color="4A90A4" w:sz="6" w:space="4"/>
        </w:pBdr>
        <w:spacing w:after="140" w:before="340"/>
      </w:pPr>
      <w:r>
        <w:rPr>
          <w:rFonts w:ascii="Calibri" w:cs="Calibri" w:eastAsia="Calibri" w:hAnsi="Calibri"/>
          <w:b/>
          <w:bCs/>
          <w:color w:val="2E4A5E"/>
          <w:sz w:val="22"/>
          <w:szCs w:val="22"/>
        </w:rPr>
        <w:t xml:space="preserve">THE GREYRADIUS APPROACH</w:t>
      </w:r>
    </w:p>
    <w:p>
      <w:pPr>
        <w:spacing w:after="60" w:before="200"/>
      </w:pPr>
      <w:r>
        <w:rPr>
          <w:rFonts w:ascii="Calibri" w:cs="Calibri" w:eastAsia="Calibri" w:hAnsi="Calibri"/>
          <w:b/>
          <w:bCs/>
          <w:color w:val="4A90A4"/>
          <w:sz w:val="24"/>
          <w:szCs w:val="24"/>
        </w:rPr>
        <w:t xml:space="preserve">01  </w:t>
      </w:r>
      <w:r>
        <w:rPr>
          <w:rFonts w:ascii="Calibri" w:cs="Calibri" w:eastAsia="Calibri" w:hAnsi="Calibri"/>
          <w:b/>
          <w:bCs/>
          <w:color w:val="2E4A5E"/>
          <w:sz w:val="22"/>
          <w:szCs w:val="22"/>
        </w:rPr>
        <w:t xml:space="preserve">Geography &amp; Opportunity Mapping</w:t>
      </w:r>
    </w:p>
    <w:p>
      <w:pPr>
        <w:spacing w:after="120" w:line="276"/>
        <w:ind w:left="300"/>
      </w:pPr>
      <w:r>
        <w:rPr>
          <w:rFonts w:ascii="Calibri" w:cs="Calibri" w:eastAsia="Calibri" w:hAnsi="Calibri"/>
          <w:color w:val="24333A"/>
          <w:sz w:val="21"/>
          <w:szCs w:val="21"/>
        </w:rPr>
        <w:t xml:space="preserve">Assessed 8 priority states across India against mining-sector demand drivers — installed equipment base, capex cycles, and existing competitive penetration — to produce a market attractiveness ranking used to prioritise distribution focus.</w:t>
      </w:r>
    </w:p>
    <w:p>
      <w:pPr>
        <w:spacing w:after="60" w:before="200"/>
      </w:pPr>
      <w:r>
        <w:rPr>
          <w:rFonts w:ascii="Calibri" w:cs="Calibri" w:eastAsia="Calibri" w:hAnsi="Calibri"/>
          <w:b/>
          <w:bCs/>
          <w:color w:val="4A90A4"/>
          <w:sz w:val="24"/>
          <w:szCs w:val="24"/>
        </w:rPr>
        <w:t xml:space="preserve">02  </w:t>
      </w:r>
      <w:r>
        <w:rPr>
          <w:rFonts w:ascii="Calibri" w:cs="Calibri" w:eastAsia="Calibri" w:hAnsi="Calibri"/>
          <w:b/>
          <w:bCs/>
          <w:color w:val="2E4A5E"/>
          <w:sz w:val="22"/>
          <w:szCs w:val="22"/>
        </w:rPr>
        <w:t xml:space="preserve">Sales Channel Assessment</w:t>
      </w:r>
    </w:p>
    <w:p>
      <w:pPr>
        <w:spacing w:after="120" w:line="276"/>
        <w:ind w:left="300"/>
      </w:pPr>
      <w:r>
        <w:rPr>
          <w:rFonts w:ascii="Calibri" w:cs="Calibri" w:eastAsia="Calibri" w:hAnsi="Calibri"/>
          <w:color w:val="24333A"/>
          <w:sz w:val="21"/>
          <w:szCs w:val="21"/>
        </w:rPr>
        <w:t xml:space="preserve">Evaluated direct, distributor-led and hybrid channel models against each priority state's buying behaviour and deal structure, to recommend the right channel model state by state rather than applying one structure everywhere.</w:t>
      </w:r>
    </w:p>
    <w:p>
      <w:pPr>
        <w:spacing w:after="60" w:before="200"/>
      </w:pPr>
      <w:r>
        <w:rPr>
          <w:rFonts w:ascii="Calibri" w:cs="Calibri" w:eastAsia="Calibri" w:hAnsi="Calibri"/>
          <w:b/>
          <w:bCs/>
          <w:color w:val="4A90A4"/>
          <w:sz w:val="24"/>
          <w:szCs w:val="24"/>
        </w:rPr>
        <w:t xml:space="preserve">03  </w:t>
      </w:r>
      <w:r>
        <w:rPr>
          <w:rFonts w:ascii="Calibri" w:cs="Calibri" w:eastAsia="Calibri" w:hAnsi="Calibri"/>
          <w:b/>
          <w:bCs/>
          <w:color w:val="2E4A5E"/>
          <w:sz w:val="22"/>
          <w:szCs w:val="22"/>
        </w:rPr>
        <w:t xml:space="preserve">Distributor Search &amp; Due Diligence</w:t>
      </w:r>
    </w:p>
    <w:p>
      <w:pPr>
        <w:spacing w:after="120" w:line="276"/>
        <w:ind w:left="300"/>
      </w:pPr>
      <w:r>
        <w:rPr>
          <w:rFonts w:ascii="Calibri" w:cs="Calibri" w:eastAsia="Calibri" w:hAnsi="Calibri"/>
          <w:color w:val="24333A"/>
          <w:sz w:val="21"/>
          <w:szCs w:val="21"/>
        </w:rPr>
        <w:t xml:space="preserve">Identified and screened 50 key distributor candidates across the 8 priority states, running structured interviews on technical service capability, existing OEM lines carried, warehousing and after-sales infrastructure, and standing with mining end-customers.</w:t>
      </w:r>
    </w:p>
    <w:p>
      <w:pPr>
        <w:spacing w:after="60" w:before="200"/>
      </w:pPr>
      <w:r>
        <w:rPr>
          <w:rFonts w:ascii="Calibri" w:cs="Calibri" w:eastAsia="Calibri" w:hAnsi="Calibri"/>
          <w:b/>
          <w:bCs/>
          <w:color w:val="4A90A4"/>
          <w:sz w:val="24"/>
          <w:szCs w:val="24"/>
        </w:rPr>
        <w:t xml:space="preserve">04  </w:t>
      </w:r>
      <w:r>
        <w:rPr>
          <w:rFonts w:ascii="Calibri" w:cs="Calibri" w:eastAsia="Calibri" w:hAnsi="Calibri"/>
          <w:b/>
          <w:bCs/>
          <w:color w:val="2E4A5E"/>
          <w:sz w:val="22"/>
          <w:szCs w:val="22"/>
        </w:rPr>
        <w:t xml:space="preserve">Commercial Evaluation &amp; Margin Negotiation</w:t>
      </w:r>
    </w:p>
    <w:p>
      <w:pPr>
        <w:spacing w:after="120" w:line="276"/>
        <w:ind w:left="300"/>
      </w:pPr>
      <w:r>
        <w:rPr>
          <w:rFonts w:ascii="Calibri" w:cs="Calibri" w:eastAsia="Calibri" w:hAnsi="Calibri"/>
          <w:color w:val="24333A"/>
          <w:sz w:val="21"/>
          <w:szCs w:val="21"/>
        </w:rPr>
        <w:t xml:space="preserve">Benchmarked pricing and margin structures across shortlisted candidates and negotiated commercial terms — margins, territory exclusivity, minimum volume commitments — with the final contenders in each state.</w:t>
      </w:r>
    </w:p>
    <w:p>
      <w:pPr>
        <w:spacing w:after="60" w:before="200"/>
      </w:pPr>
      <w:r>
        <w:rPr>
          <w:rFonts w:ascii="Calibri" w:cs="Calibri" w:eastAsia="Calibri" w:hAnsi="Calibri"/>
          <w:b/>
          <w:bCs/>
          <w:color w:val="4A90A4"/>
          <w:sz w:val="24"/>
          <w:szCs w:val="24"/>
        </w:rPr>
        <w:t xml:space="preserve">05  </w:t>
      </w:r>
      <w:r>
        <w:rPr>
          <w:rFonts w:ascii="Calibri" w:cs="Calibri" w:eastAsia="Calibri" w:hAnsi="Calibri"/>
          <w:b/>
          <w:bCs/>
          <w:color w:val="2E4A5E"/>
          <w:sz w:val="22"/>
          <w:szCs w:val="22"/>
        </w:rPr>
        <w:t xml:space="preserve">Final Selection &amp; Launch Sequencing</w:t>
      </w:r>
    </w:p>
    <w:p>
      <w:pPr>
        <w:spacing w:after="120" w:line="276"/>
        <w:ind w:left="300"/>
      </w:pPr>
      <w:r>
        <w:rPr>
          <w:rFonts w:ascii="Calibri" w:cs="Calibri" w:eastAsia="Calibri" w:hAnsi="Calibri"/>
          <w:color w:val="24333A"/>
          <w:sz w:val="21"/>
          <w:szCs w:val="21"/>
        </w:rPr>
        <w:t xml:space="preserve">Appointed 4 distributors across the highest-ranked states over a 4-5 month engagement, with channel-wise go-to-market recommendations for each and a launch sequence phased to market readiness rather than a simultaneous national rollout.</w:t>
      </w:r>
    </w:p>
    <w:p>
      <w:pPr>
        <w:pBdr>
          <w:bottom w:val="single" w:color="4A90A4" w:sz="6" w:space="4"/>
        </w:pBdr>
        <w:spacing w:after="140" w:before="340"/>
      </w:pPr>
      <w:r>
        <w:rPr>
          <w:rFonts w:ascii="Calibri" w:cs="Calibri" w:eastAsia="Calibri" w:hAnsi="Calibri"/>
          <w:b/>
          <w:bCs/>
          <w:color w:val="2E4A5E"/>
          <w:sz w:val="22"/>
          <w:szCs w:val="22"/>
        </w:rPr>
        <w:t xml:space="preserve">THE OUTCOME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shd w:fill="2E4A5E" w:color="auto" w:val="clear"/>
            <w:tcMar>
              <w:top w:type="dxa" w:w="200"/>
              <w:left w:type="dxa" w:w="140"/>
              <w:bottom w:type="dxa" w:w="200"/>
              <w:right w:type="dxa" w:w="140"/>
            </w:tcMar>
            <w:vAlign w:val="center"/>
          </w:tcPr>
          <w:p>
            <w:pPr>
              <w:spacing w:after="20"/>
              <w:jc w:val="center"/>
            </w:pPr>
            <w:r>
              <w:rPr>
                <w:rFonts w:ascii="Calibri" w:cs="Calibri" w:eastAsia="Calibri" w:hAnsi="Calibri"/>
                <w:color w:val="AFC6D0"/>
                <w:sz w:val="14"/>
                <w:szCs w:val="14"/>
              </w:rPr>
              <w:t xml:space="preserve">STATES</w:t>
            </w:r>
          </w:p>
          <w:p>
            <w:pPr>
              <w:spacing w:after="60"/>
              <w:jc w:val="center"/>
            </w:pPr>
            <w:r>
              <w:rPr>
                <w:rFonts w:ascii="Calibri" w:cs="Calibri" w:eastAsia="Calibri" w:hAnsi="Calibri"/>
                <w:b/>
                <w:bCs/>
                <w:color w:val="FFFFFF"/>
                <w:sz w:val="26"/>
                <w:szCs w:val="26"/>
              </w:rPr>
              <w:t xml:space="preserve">8 ranked</w:t>
            </w:r>
          </w:p>
          <w:p>
            <w:pPr>
              <w:jc w:val="center"/>
            </w:pPr>
            <w:r>
              <w:rPr>
                <w:rFonts w:ascii="Calibri" w:cs="Calibri" w:eastAsia="Calibri" w:hAnsi="Calibri"/>
                <w:color w:val="D8E4EA"/>
                <w:sz w:val="15"/>
                <w:szCs w:val="15"/>
              </w:rPr>
              <w:t xml:space="preserve">Full market attractiveness ranking across mining-equipment demand centres</w:t>
            </w:r>
          </w:p>
        </w:tc>
        <w:tc>
          <w:tcPr>
            <w:tcW w:type="dxa" w:w="2520"/>
            <w:shd w:fill="2E4A5E" w:color="auto" w:val="clear"/>
            <w:tcMar>
              <w:top w:type="dxa" w:w="200"/>
              <w:left w:type="dxa" w:w="140"/>
              <w:bottom w:type="dxa" w:w="200"/>
              <w:right w:type="dxa" w:w="140"/>
            </w:tcMar>
            <w:vAlign w:val="center"/>
          </w:tcPr>
          <w:p>
            <w:pPr>
              <w:spacing w:after="20"/>
              <w:jc w:val="center"/>
            </w:pPr>
            <w:r>
              <w:rPr>
                <w:rFonts w:ascii="Calibri" w:cs="Calibri" w:eastAsia="Calibri" w:hAnsi="Calibri"/>
                <w:color w:val="AFC6D0"/>
                <w:sz w:val="14"/>
                <w:szCs w:val="14"/>
              </w:rPr>
              <w:t xml:space="preserve">DISTRIBUTORS</w:t>
            </w:r>
          </w:p>
          <w:p>
            <w:pPr>
              <w:spacing w:after="60"/>
              <w:jc w:val="center"/>
            </w:pPr>
            <w:r>
              <w:rPr>
                <w:rFonts w:ascii="Calibri" w:cs="Calibri" w:eastAsia="Calibri" w:hAnsi="Calibri"/>
                <w:b/>
                <w:bCs/>
                <w:color w:val="FFFFFF"/>
                <w:sz w:val="26"/>
                <w:szCs w:val="26"/>
              </w:rPr>
              <w:t xml:space="preserve">50 screened</w:t>
            </w:r>
          </w:p>
          <w:p>
            <w:pPr>
              <w:jc w:val="center"/>
            </w:pPr>
            <w:r>
              <w:rPr>
                <w:rFonts w:ascii="Calibri" w:cs="Calibri" w:eastAsia="Calibri" w:hAnsi="Calibri"/>
                <w:color w:val="D8E4EA"/>
                <w:sz w:val="15"/>
                <w:szCs w:val="15"/>
              </w:rPr>
              <w:t xml:space="preserve">Structured due diligence on technical, commercial and service criteria</w:t>
            </w:r>
          </w:p>
        </w:tc>
        <w:tc>
          <w:tcPr>
            <w:tcW w:type="dxa" w:w="2520"/>
            <w:shd w:fill="2E4A5E" w:color="auto" w:val="clear"/>
            <w:tcMar>
              <w:top w:type="dxa" w:w="200"/>
              <w:left w:type="dxa" w:w="140"/>
              <w:bottom w:type="dxa" w:w="200"/>
              <w:right w:type="dxa" w:w="140"/>
            </w:tcMar>
            <w:vAlign w:val="center"/>
          </w:tcPr>
          <w:p>
            <w:pPr>
              <w:spacing w:after="20"/>
              <w:jc w:val="center"/>
            </w:pPr>
            <w:r>
              <w:rPr>
                <w:rFonts w:ascii="Calibri" w:cs="Calibri" w:eastAsia="Calibri" w:hAnsi="Calibri"/>
                <w:color w:val="AFC6D0"/>
                <w:sz w:val="14"/>
                <w:szCs w:val="14"/>
              </w:rPr>
              <w:t xml:space="preserve">APPOINTED</w:t>
            </w:r>
          </w:p>
          <w:p>
            <w:pPr>
              <w:spacing w:after="60"/>
              <w:jc w:val="center"/>
            </w:pPr>
            <w:r>
              <w:rPr>
                <w:rFonts w:ascii="Calibri" w:cs="Calibri" w:eastAsia="Calibri" w:hAnsi="Calibri"/>
                <w:b/>
                <w:bCs/>
                <w:color w:val="FFFFFF"/>
                <w:sz w:val="26"/>
                <w:szCs w:val="26"/>
              </w:rPr>
              <w:t xml:space="preserve">4</w:t>
            </w:r>
          </w:p>
          <w:p>
            <w:pPr>
              <w:jc w:val="center"/>
            </w:pPr>
            <w:r>
              <w:rPr>
                <w:rFonts w:ascii="Calibri" w:cs="Calibri" w:eastAsia="Calibri" w:hAnsi="Calibri"/>
                <w:color w:val="D8E4EA"/>
                <w:sz w:val="15"/>
                <w:szCs w:val="15"/>
              </w:rPr>
              <w:t xml:space="preserve">Across the highest-ranked states, with negotiated commercial terms</w:t>
            </w:r>
          </w:p>
        </w:tc>
        <w:tc>
          <w:tcPr>
            <w:tcW w:type="dxa" w:w="2520"/>
            <w:shd w:fill="2E4A5E" w:color="auto" w:val="clear"/>
            <w:tcMar>
              <w:top w:type="dxa" w:w="200"/>
              <w:left w:type="dxa" w:w="140"/>
              <w:bottom w:type="dxa" w:w="200"/>
              <w:right w:type="dxa" w:w="140"/>
            </w:tcMar>
            <w:vAlign w:val="center"/>
          </w:tcPr>
          <w:p>
            <w:pPr>
              <w:spacing w:after="20"/>
              <w:jc w:val="center"/>
            </w:pPr>
            <w:r>
              <w:rPr>
                <w:rFonts w:ascii="Calibri" w:cs="Calibri" w:eastAsia="Calibri" w:hAnsi="Calibri"/>
                <w:color w:val="AFC6D0"/>
                <w:sz w:val="14"/>
                <w:szCs w:val="14"/>
              </w:rPr>
              <w:t xml:space="preserve">TIMELINE</w:t>
            </w:r>
          </w:p>
          <w:p>
            <w:pPr>
              <w:spacing w:after="60"/>
              <w:jc w:val="center"/>
            </w:pPr>
            <w:r>
              <w:rPr>
                <w:rFonts w:ascii="Calibri" w:cs="Calibri" w:eastAsia="Calibri" w:hAnsi="Calibri"/>
                <w:b/>
                <w:bCs/>
                <w:color w:val="FFFFFF"/>
                <w:sz w:val="26"/>
                <w:szCs w:val="26"/>
              </w:rPr>
              <w:t xml:space="preserve">4-5 mo</w:t>
            </w:r>
          </w:p>
          <w:p>
            <w:pPr>
              <w:jc w:val="center"/>
            </w:pPr>
            <w:r>
              <w:rPr>
                <w:rFonts w:ascii="Calibri" w:cs="Calibri" w:eastAsia="Calibri" w:hAnsi="Calibri"/>
                <w:color w:val="D8E4EA"/>
                <w:sz w:val="15"/>
                <w:szCs w:val="15"/>
              </w:rPr>
              <w:t xml:space="preserve">End-to-end engagement from geography mapping to distributor appointment</w:t>
            </w:r>
          </w:p>
        </w:tc>
      </w:tr>
    </w:tbl>
    <w:p>
      <w:pPr>
        <w:pBdr>
          <w:bottom w:val="single" w:color="4A90A4" w:sz="6" w:space="4"/>
        </w:pBdr>
        <w:spacing w:after="140" w:before="340"/>
      </w:pPr>
      <w:r>
        <w:rPr>
          <w:rFonts w:ascii="Calibri" w:cs="Calibri" w:eastAsia="Calibri" w:hAnsi="Calibri"/>
          <w:b/>
          <w:bCs/>
          <w:color w:val="2E4A5E"/>
          <w:sz w:val="22"/>
          <w:szCs w:val="22"/>
        </w:rPr>
        <w:t xml:space="preserve">KEY OUTPUTS FROM THIS ENGAGEMENT</w:t>
      </w:r>
    </w:p>
    <w:p>
      <w:pPr>
        <w:pStyle w:val="ListParagraph"/>
        <w:numPr>
          <w:ilvl w:val="0"/>
          <w:numId w:val="1"/>
        </w:numPr>
        <w:spacing w:after="100" w:line="276"/>
      </w:pPr>
      <w:r>
        <w:rPr>
          <w:rFonts w:ascii="Calibri" w:cs="Calibri" w:eastAsia="Calibri" w:hAnsi="Calibri"/>
          <w:color w:val="24333A"/>
          <w:sz w:val="22"/>
          <w:szCs w:val="22"/>
        </w:rPr>
        <w:t xml:space="preserve">Geography &amp; opportunity ranking — market attractiveness scoring across all 8 assessed states with demand-driver rationale.</w:t>
      </w:r>
    </w:p>
    <w:p>
      <w:pPr>
        <w:pStyle w:val="ListParagraph"/>
        <w:numPr>
          <w:ilvl w:val="0"/>
          <w:numId w:val="1"/>
        </w:numPr>
        <w:spacing w:after="100" w:line="276"/>
      </w:pPr>
      <w:r>
        <w:rPr>
          <w:rFonts w:ascii="Calibri" w:cs="Calibri" w:eastAsia="Calibri" w:hAnsi="Calibri"/>
          <w:color w:val="24333A"/>
          <w:sz w:val="22"/>
          <w:szCs w:val="22"/>
        </w:rPr>
        <w:t xml:space="preserve">Sales channel assessment — recommended channel model (direct / distributor / hybrid) by state.</w:t>
      </w:r>
    </w:p>
    <w:p>
      <w:pPr>
        <w:pStyle w:val="ListParagraph"/>
        <w:numPr>
          <w:ilvl w:val="0"/>
          <w:numId w:val="1"/>
        </w:numPr>
        <w:spacing w:after="100" w:line="276"/>
      </w:pPr>
      <w:r>
        <w:rPr>
          <w:rFonts w:ascii="Calibri" w:cs="Calibri" w:eastAsia="Calibri" w:hAnsi="Calibri"/>
          <w:color w:val="24333A"/>
          <w:sz w:val="22"/>
          <w:szCs w:val="22"/>
        </w:rPr>
        <w:t xml:space="preserve">Distributor due-diligence scorecards — structured evaluation of all screened candidates on technical, commercial and service criteria.</w:t>
      </w:r>
    </w:p>
    <w:p>
      <w:pPr>
        <w:pStyle w:val="ListParagraph"/>
        <w:numPr>
          <w:ilvl w:val="0"/>
          <w:numId w:val="1"/>
        </w:numPr>
        <w:spacing w:after="100" w:line="276"/>
      </w:pPr>
      <w:r>
        <w:rPr>
          <w:rFonts w:ascii="Calibri" w:cs="Calibri" w:eastAsia="Calibri" w:hAnsi="Calibri"/>
          <w:color w:val="24333A"/>
          <w:sz w:val="22"/>
          <w:szCs w:val="22"/>
        </w:rPr>
        <w:t xml:space="preserve">Commercial terms &amp; launch sequence — negotiated margin/territory terms for appointed distributors and a phased go-to-market rollout plan.</w:t>
      </w:r>
    </w:p>
    <w:p>
      <w:pPr>
        <w:pBdr>
          <w:bottom w:val="single" w:color="4A90A4" w:sz="6" w:space="4"/>
        </w:pBdr>
        <w:spacing w:after="140" w:before="340"/>
      </w:pPr>
      <w:r>
        <w:rPr>
          <w:rFonts w:ascii="Calibri" w:cs="Calibri" w:eastAsia="Calibri" w:hAnsi="Calibri"/>
          <w:b/>
          <w:bCs/>
          <w:color w:val="2E4A5E"/>
          <w:sz w:val="22"/>
          <w:szCs w:val="22"/>
        </w:rPr>
        <w:t xml:space="preserve">GREYRADIUS FIELD INSIGHT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A90A4" w:sz="4"/>
              <w:left w:val="single" w:color="2E4A5E" w:sz="24"/>
              <w:bottom w:val="single" w:color="4A90A4" w:sz="4"/>
              <w:right w:val="single" w:color="4A90A4" w:sz="4"/>
            </w:tcBorders>
            <w:shd w:fill="F2F5F7" w:color="auto" w:val="clear"/>
            <w:tcMar>
              <w:top w:type="dxa" w:w="200"/>
              <w:left w:type="dxa" w:w="240"/>
              <w:bottom w:type="dxa" w:w="200"/>
              <w:right w:type="dxa" w:w="240"/>
            </w:tcMar>
          </w:tcPr>
          <w:p>
            <w:r>
              <w:rPr>
                <w:rFonts w:ascii="Calibri" w:cs="Calibri" w:eastAsia="Calibri" w:hAnsi="Calibri"/>
                <w:b/>
                <w:bCs/>
                <w:i/>
                <w:iCs/>
                <w:color w:val="2E4A5E"/>
                <w:sz w:val="22"/>
                <w:szCs w:val="22"/>
              </w:rPr>
              <w:t xml:space="preserve">Distributor willingness to sign is the easiest signal to get and the least predictive one. The distributors worth appointing are rarely the first ones to say yes — they're the ones with existing OEM relationships and service infrastructure, and they negotiate hardest on margin because they know what the relationship is actually worth.</w:t>
            </w:r>
          </w:p>
        </w:tc>
      </w:tr>
    </w:tbl>
    <w:p>
      <w:pPr>
        <w:pBdr>
          <w:bottom w:val="single" w:color="4A90A4" w:sz="6" w:space="4"/>
        </w:pBdr>
        <w:spacing w:after="140" w:before="340"/>
      </w:pPr>
      <w:r>
        <w:rPr>
          <w:rFonts w:ascii="Calibri" w:cs="Calibri" w:eastAsia="Calibri" w:hAnsi="Calibri"/>
          <w:b/>
          <w:bCs/>
          <w:color w:val="2E4A5E"/>
          <w:sz w:val="22"/>
          <w:szCs w:val="22"/>
        </w:rPr>
        <w:t xml:space="preserve">CLIENT QUOTE</w:t>
      </w:r>
    </w:p>
    <w:p>
      <w:pPr>
        <w:spacing w:after="160" w:line="288"/>
      </w:pPr>
      <w:r>
        <w:rPr>
          <w:rFonts w:ascii="Calibri" w:cs="Calibri" w:eastAsia="Calibri" w:hAnsi="Calibri"/>
          <w:i/>
          <w:iCs/>
          <w:color w:val="B5651D"/>
          <w:sz w:val="22"/>
          <w:szCs w:val="22"/>
        </w:rPr>
        <w:t xml:space="preserve">[Insert real client quote here before publishing — e.g. a line from the client on why structured distributor evaluation mattered to them.]</w:t>
      </w:r>
    </w:p>
    <w:p>
      <w:pPr>
        <w:pBdr>
          <w:bottom w:val="single" w:color="4A90A4" w:sz="6" w:space="4"/>
        </w:pBdr>
        <w:spacing w:after="140" w:before="340"/>
      </w:pPr>
      <w:r>
        <w:rPr>
          <w:rFonts w:ascii="Calibri" w:cs="Calibri" w:eastAsia="Calibri" w:hAnsi="Calibri"/>
          <w:b/>
          <w:bCs/>
          <w:color w:val="2E4A5E"/>
          <w:sz w:val="22"/>
          <w:szCs w:val="22"/>
        </w:rPr>
        <w:t xml:space="preserve">PROJECT SNAPSHOTS</w:t>
      </w:r>
    </w:p>
    <w:p>
      <w:pPr>
        <w:spacing w:after="160" w:line="288"/>
      </w:pPr>
      <w:r>
        <w:rPr>
          <w:rFonts w:ascii="Calibri" w:cs="Calibri" w:eastAsia="Calibri" w:hAnsi="Calibri"/>
          <w:i/>
          <w:iCs/>
          <w:color w:val="B5651D"/>
          <w:sz w:val="22"/>
          <w:szCs w:val="22"/>
        </w:rPr>
        <w:t xml:space="preserve">[4 image placeholders — replace with real photos: geography/opportunity mapping workshop, distributor site visits, due-diligence interviews, commercial negotiation session.]</w:t>
      </w:r>
    </w:p>
    <w:p>
      <w:pPr>
        <w:pBdr>
          <w:bottom w:val="single" w:color="4A90A4" w:sz="6" w:space="4"/>
        </w:pBdr>
        <w:spacing w:after="140" w:before="340"/>
      </w:pPr>
      <w:r>
        <w:rPr>
          <w:rFonts w:ascii="Calibri" w:cs="Calibri" w:eastAsia="Calibri" w:hAnsi="Calibri"/>
          <w:b/>
          <w:bCs/>
          <w:color w:val="2E4A5E"/>
          <w:sz w:val="22"/>
          <w:szCs w:val="22"/>
        </w:rPr>
        <w:t xml:space="preserve">CLOSING</w:t>
      </w:r>
    </w:p>
    <w:p>
      <w:pPr>
        <w:spacing w:after="160" w:line="288"/>
      </w:pPr>
      <w:r>
        <w:rPr>
          <w:rFonts w:ascii="Calibri" w:cs="Calibri" w:eastAsia="Calibri" w:hAnsi="Calibri"/>
          <w:color w:val="24333A"/>
          <w:sz w:val="22"/>
          <w:szCs w:val="22"/>
        </w:rPr>
        <w:t xml:space="preserve">Evaluating distribution partners for an India or regional market entry? We bring the same rigour to channel and distributor selection that we bring to market entry strategy — opportunity mapping, structured due diligence, and negotiated terms in one integrated engagement.</w:t>
      </w:r>
    </w:p>
    <w:p>
      <w:pPr>
        <w:spacing w:before="160"/>
      </w:pPr>
      <w:r>
        <w:rPr>
          <w:rFonts w:ascii="Calibri" w:cs="Calibri" w:eastAsia="Calibri" w:hAnsi="Calibri"/>
          <w:b/>
          <w:bCs/>
          <w:color w:val="4A90A4"/>
          <w:sz w:val="22"/>
          <w:szCs w:val="22"/>
        </w:rPr>
        <w:t xml:space="preserve">30 minutes. No deck. No pitch.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2026-07-31T07:02:22.154Z</dcterms:created>
  <dcterms:modified xsi:type="dcterms:W3CDTF">2026-07-31T07:02:22.155Z</dcterms:modified>
</cp:coreProperties>
</file>

<file path=docProps/custom.xml><?xml version="1.0" encoding="utf-8"?>
<Properties xmlns="http://schemas.openxmlformats.org/officeDocument/2006/custom-properties" xmlns:vt="http://schemas.openxmlformats.org/officeDocument/2006/docPropsVTypes"/>
</file>