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3B5B" w:rsidRDefault="00000000">
      <w:r>
        <w:t>How GreyRadius helped a UAE consumer brand shift from broad retail expansion to a scalable channel-led commercialization model.</w:t>
      </w:r>
    </w:p>
    <w:p w:rsidR="00863B5B" w:rsidRDefault="00000000">
      <w:pPr>
        <w:pStyle w:val="Heading2"/>
      </w:pPr>
      <w:r>
        <w:t>Context</w:t>
      </w:r>
    </w:p>
    <w:p w:rsidR="00863B5B" w:rsidRDefault="00000000">
      <w:r>
        <w:t>A consumer brand entering the UAE retail market saw strong demand potential across modern trade, distributors, and emerging digital channels. Leadership viewed expansion primarily as a visibility challenge — secure retail presence quickly, expand across channels aggressively, and scale distribution before competitors consolidated shelf space.</w:t>
      </w:r>
    </w:p>
    <w:p w:rsidR="00863B5B" w:rsidRDefault="00000000">
      <w:r>
        <w:t>On the surface, the opportunity looked straightforward.</w:t>
      </w:r>
    </w:p>
    <w:p w:rsidR="00863B5B" w:rsidRDefault="00000000">
      <w:r>
        <w:t>The UAE market offered purchasing power, retail maturity, and a concentrated urban consumer base. But beneath the growth narrative sat a more difficult commercial reality: channel economics varied significantly, retailer expectations differed by format, and customer acquisition costs escalated quickly when expansion sequencing lacked discipline.</w:t>
      </w:r>
    </w:p>
    <w:p w:rsidR="00863B5B" w:rsidRDefault="00000000">
      <w:r>
        <w:t>The company had momentum. What it lacked was a scalable commercialization structure.</w:t>
      </w:r>
    </w:p>
    <w:p w:rsidR="00863B5B" w:rsidRDefault="00000000">
      <w:r>
        <w:t>As expansion discussions accelerated, execution friction started appearing across pricing decisions, distributor alignment, retail prioritization, and rollout planning.</w:t>
      </w:r>
    </w:p>
    <w:p w:rsidR="00863B5B" w:rsidRDefault="00000000">
      <w:r>
        <w:t>The business was preparing to scale faster than its operating clarity.</w:t>
      </w:r>
    </w:p>
    <w:p w:rsidR="00863B5B" w:rsidRDefault="00000000">
      <w:pPr>
        <w:pStyle w:val="Heading2"/>
      </w:pPr>
      <w:r>
        <w:t>The Core Challenge</w:t>
      </w:r>
    </w:p>
    <w:p w:rsidR="00863B5B" w:rsidRDefault="00000000">
      <w:r>
        <w:t>Leadership initially believed the problem was market penetration.</w:t>
      </w:r>
    </w:p>
    <w:p w:rsidR="00863B5B" w:rsidRDefault="00000000">
      <w:r>
        <w:t>The real issue was commercial misalignment.</w:t>
      </w:r>
    </w:p>
    <w:p w:rsidR="00863B5B" w:rsidRDefault="00000000">
      <w:r>
        <w:t>The company was approaching UAE retail expansion with broad market visibility assumptions rather than a demand-led entry model grounded in consumer behavior and channel economics. Expansion decisions were being driven by where the brand wanted presence instead of where scalable unit economics actually existed.</w:t>
      </w:r>
    </w:p>
    <w:p w:rsidR="00863B5B" w:rsidRDefault="00000000">
      <w:r>
        <w:t>This created structural risks.</w:t>
      </w:r>
    </w:p>
    <w:p w:rsidR="00863B5B" w:rsidRDefault="00000000">
      <w:r>
        <w:t>Pricing logic remained centralized despite significant differences in retailer margins and promotional expectations across channels. Distribution discussions prioritized coverage over profitability. Expansion sequencing lacked clarity, creating pressure for simultaneous rollout across multiple retail formats before execution maturity was established.</w:t>
      </w:r>
    </w:p>
    <w:p w:rsidR="00863B5B" w:rsidRDefault="00000000">
      <w:r>
        <w:t>The result was growing execution dependency on leadership intervention.</w:t>
      </w:r>
    </w:p>
    <w:p w:rsidR="00863B5B" w:rsidRDefault="00000000">
      <w:r>
        <w:t>Channel prioritization became reactive. Commercial decisions slowed down. Margin visibility weakened as pricing assumptions collided with retailer economics. Teams were operating with expansion ambition, but without a scalable execution architecture underneath it.</w:t>
      </w:r>
    </w:p>
    <w:p w:rsidR="00863B5B" w:rsidRDefault="00000000">
      <w:r>
        <w:lastRenderedPageBreak/>
        <w:t>The business was not facing a retail access problem.</w:t>
      </w:r>
    </w:p>
    <w:p w:rsidR="00863B5B" w:rsidRDefault="00000000">
      <w:r>
        <w:t>It was facing a commercialization discipline problem.</w:t>
      </w:r>
    </w:p>
    <w:p w:rsidR="00863B5B" w:rsidRDefault="00000000">
      <w:pPr>
        <w:pStyle w:val="Heading2"/>
      </w:pPr>
      <w:r>
        <w:t>The Decision Shift</w:t>
      </w:r>
    </w:p>
    <w:p w:rsidR="00863B5B" w:rsidRDefault="00000000">
      <w:r>
        <w:t>The turning point came when leadership stopped treating UAE expansion as a visibility race and started treating it as a channel economics problem.</w:t>
      </w:r>
    </w:p>
    <w:p w:rsidR="00863B5B" w:rsidRDefault="00000000">
      <w:r>
        <w:t>The company shifted from aggressive multi-channel expansion thinking to a phased retail market-entry model built around three realities:</w:t>
      </w:r>
    </w:p>
    <w:p w:rsidR="00863B5B" w:rsidRDefault="00000000">
      <w:r>
        <w:t>• consumer demand patterns</w:t>
      </w:r>
    </w:p>
    <w:p w:rsidR="00863B5B" w:rsidRDefault="00000000">
      <w:r>
        <w:t>• retailer profitability expectations</w:t>
      </w:r>
    </w:p>
    <w:p w:rsidR="00863B5B" w:rsidRDefault="00000000">
      <w:r>
        <w:t>• scalable distribution sequencing</w:t>
      </w:r>
    </w:p>
    <w:p w:rsidR="00863B5B" w:rsidRDefault="00000000">
      <w:r>
        <w:t>This reframed the entire growth model.</w:t>
      </w:r>
    </w:p>
    <w:p w:rsidR="00863B5B" w:rsidRDefault="00000000">
      <w:r>
        <w:t>Instead of asking, “How fast can the brand expand across retail?” the business started asking, “Which channels create sustainable commercial scale without breaking pricing discipline or operational control?”</w:t>
      </w:r>
    </w:p>
    <w:p w:rsidR="00863B5B" w:rsidRDefault="00000000">
      <w:r>
        <w:t>That realization changed how expansion decisions were made.</w:t>
      </w:r>
    </w:p>
    <w:p w:rsidR="00863B5B" w:rsidRDefault="00000000">
      <w:r>
        <w:t>Growth was no longer measured by retail footprint alone. It became tied to execution predictability, margin protection, and scalable channel performance.</w:t>
      </w:r>
    </w:p>
    <w:p w:rsidR="00863B5B" w:rsidRDefault="00000000">
      <w:r>
        <w:t>The focus shifted from market presence to commercial quality of scale.</w:t>
      </w:r>
    </w:p>
    <w:p w:rsidR="00863B5B" w:rsidRDefault="00000000">
      <w:pPr>
        <w:pStyle w:val="Heading2"/>
      </w:pPr>
      <w:r>
        <w:t>What Changed in Execution</w:t>
      </w:r>
    </w:p>
    <w:p w:rsidR="00863B5B" w:rsidRDefault="00000000">
      <w:r>
        <w:t>Expansion sequencing became more disciplined.</w:t>
      </w:r>
    </w:p>
    <w:p w:rsidR="00863B5B" w:rsidRDefault="00000000">
      <w:r>
        <w:t>Instead of broad retail deployment, the company prioritized channel-entry sequencing based on demand concentration, consumer fit, and retailer economics. High-friction channels were deprioritized until stronger operating visibility existed.</w:t>
      </w:r>
    </w:p>
    <w:p w:rsidR="00863B5B" w:rsidRDefault="00000000">
      <w:r>
        <w:t>Pricing governance changed materially.</w:t>
      </w:r>
    </w:p>
    <w:p w:rsidR="00863B5B" w:rsidRDefault="00000000">
      <w:r>
        <w:t>Centralized pricing assumptions were replaced with channel-specific pricing structures designed to protect margins while maintaining competitiveness across retail formats. Commercial decisions became more grounded in retailer economics rather than top-line expansion pressure.</w:t>
      </w:r>
    </w:p>
    <w:p w:rsidR="00863B5B" w:rsidRDefault="00000000">
      <w:r>
        <w:t>Distribution planning also evolved.</w:t>
      </w:r>
    </w:p>
    <w:p w:rsidR="00863B5B" w:rsidRDefault="00000000">
      <w:r>
        <w:lastRenderedPageBreak/>
        <w:t>The company moved away from immediate large-scale retail deployment and adopted phased expansion logic tied to operational readiness and channel performance signals. This reduced execution fragmentation and improved rollout control.</w:t>
      </w:r>
    </w:p>
    <w:p w:rsidR="00863B5B" w:rsidRDefault="00000000">
      <w:r>
        <w:t>Commercial coordination improved across teams.</w:t>
      </w:r>
    </w:p>
    <w:p w:rsidR="00863B5B" w:rsidRDefault="00000000">
      <w:r>
        <w:t>Instead of disconnected sales and expansion decisions, commercialization became more aligned around demand visibility, retailer viability, and scalable execution thresholds. Leadership dependency reduced as decision-making became more structured and commercially grounded.</w:t>
      </w:r>
    </w:p>
    <w:p w:rsidR="00863B5B" w:rsidRDefault="00000000">
      <w:r>
        <w:t>Most importantly, the organization developed clearer execution visibility.</w:t>
      </w:r>
    </w:p>
    <w:p w:rsidR="00863B5B" w:rsidRDefault="00000000">
      <w:r>
        <w:t>The business gained a more realistic understanding of where scale was operationally viable — and where expansion would create unnecessary acquisition cost pressure or margin dilution.</w:t>
      </w:r>
    </w:p>
    <w:p w:rsidR="00863B5B" w:rsidRDefault="00000000">
      <w:pPr>
        <w:pStyle w:val="Heading2"/>
      </w:pPr>
      <w:r>
        <w:t>Business Impact Delivered</w:t>
      </w:r>
    </w:p>
    <w:p w:rsidR="00863B5B" w:rsidRDefault="00000000">
      <w:r>
        <w:t>The company entered the UAE market with greater commercial clarity and lower execution risk exposure.</w:t>
      </w:r>
    </w:p>
    <w:p w:rsidR="00863B5B" w:rsidRDefault="00000000">
      <w:r>
        <w:t>Retail expansion became more predictable because channel prioritization was grounded in economics rather than broad presence assumptions. Pricing visibility improved through structured margin alignment across different retail formats.</w:t>
      </w:r>
    </w:p>
    <w:p w:rsidR="00863B5B" w:rsidRDefault="00000000">
      <w:r>
        <w:t>The phased rollout model also reduced scalability pressure on commercial teams during early-stage expansion. Instead of managing fragmented retail growth, the organization operated with clearer sequencing, stronger execution governance, and more disciplined expansion control.</w:t>
      </w:r>
    </w:p>
    <w:p w:rsidR="00863B5B" w:rsidRDefault="00000000">
      <w:r>
        <w:t>Commercial decision-making accelerated because prioritization frameworks became clearer.</w:t>
      </w:r>
    </w:p>
    <w:p w:rsidR="00863B5B" w:rsidRDefault="00000000">
      <w:r>
        <w:t>The company improved rollout readiness while reducing uncertainty around distributor alignment, pricing consistency, and retail scaling logic.</w:t>
      </w:r>
    </w:p>
    <w:p w:rsidR="00863B5B" w:rsidRDefault="00000000">
      <w:r>
        <w:t>Most importantly, the business created a commercialization model capable of scaling without continuous leadership intervention.</w:t>
      </w:r>
    </w:p>
    <w:p w:rsidR="00863B5B" w:rsidRDefault="00000000">
      <w:pPr>
        <w:pStyle w:val="Heading2"/>
      </w:pPr>
      <w:r>
        <w:t>Key Outcomes</w:t>
      </w:r>
    </w:p>
    <w:p w:rsidR="00863B5B" w:rsidRDefault="00000000">
      <w:r>
        <w:t>• Reduced channel prioritization uncertainty across key UAE retail segments</w:t>
      </w:r>
    </w:p>
    <w:p w:rsidR="00863B5B" w:rsidRDefault="00000000">
      <w:r>
        <w:t>• Improved pricing visibility through channel-level margin structuring</w:t>
      </w:r>
    </w:p>
    <w:p w:rsidR="00863B5B" w:rsidRDefault="00000000">
      <w:r>
        <w:t>• Accelerated rollout readiness through phased expansion sequencing</w:t>
      </w:r>
    </w:p>
    <w:p w:rsidR="00863B5B" w:rsidRDefault="00000000">
      <w:r>
        <w:t>• Reduced execution friction across retail expansion decisions</w:t>
      </w:r>
    </w:p>
    <w:p w:rsidR="00863B5B" w:rsidRDefault="00000000">
      <w:r>
        <w:lastRenderedPageBreak/>
        <w:t>• Improved commercial alignment between pricing, distribution, and growth planning</w:t>
      </w:r>
    </w:p>
    <w:p w:rsidR="00863B5B" w:rsidRDefault="00000000">
      <w:r>
        <w:t>• Built a more scalable retail commercialization roadmap for regional growth</w:t>
      </w:r>
    </w:p>
    <w:p w:rsidR="00863B5B" w:rsidRDefault="00000000">
      <w:r>
        <w:t>Retail expansion often fails quietly before revenue declines become visible.</w:t>
      </w:r>
    </w:p>
    <w:p w:rsidR="00863B5B" w:rsidRDefault="00000000">
      <w:r>
        <w:t>The early warning signs usually appear inside pricing inconsistencies, fragmented channel decisions, and reactive distribution scaling.</w:t>
      </w:r>
    </w:p>
    <w:p w:rsidR="00863B5B" w:rsidRDefault="00000000">
      <w:r>
        <w:t>In high-growth retail markets, scale is rarely constrained by demand alone. More often, it breaks under weak commercialization discipline.</w:t>
      </w:r>
    </w:p>
    <w:p w:rsidR="00863B5B" w:rsidRDefault="00000000">
      <w:r>
        <w:t>The companies that scale sustainably are not the ones that enter every channel first.</w:t>
      </w:r>
    </w:p>
    <w:p w:rsidR="00863B5B" w:rsidRDefault="00000000">
      <w:r>
        <w:t>They are the ones that understand which channels can scale profitably — and build execution maturity around that reality.</w:t>
      </w:r>
    </w:p>
    <w:p w:rsidR="00863B5B" w:rsidRDefault="00863B5B"/>
    <w:p w:rsidR="002F1B93" w:rsidRDefault="00D60124">
      <w:r w:rsidRPr="00D60124">
        <w:drawing>
          <wp:anchor distT="0" distB="0" distL="114300" distR="114300" simplePos="0" relativeHeight="251663360" behindDoc="0" locked="0" layoutInCell="1" allowOverlap="1" wp14:anchorId="3FA1B980" wp14:editId="783A40C8">
            <wp:simplePos x="0" y="0"/>
            <wp:positionH relativeFrom="column">
              <wp:posOffset>4533901</wp:posOffset>
            </wp:positionH>
            <wp:positionV relativeFrom="paragraph">
              <wp:posOffset>3498215</wp:posOffset>
            </wp:positionV>
            <wp:extent cx="2406126" cy="3990209"/>
            <wp:effectExtent l="0" t="4445" r="2540" b="2540"/>
            <wp:wrapNone/>
            <wp:docPr id="2023" name="Google Shape;2023;p20"/>
            <wp:cNvGraphicFramePr/>
            <a:graphic xmlns:a="http://schemas.openxmlformats.org/drawingml/2006/main">
              <a:graphicData uri="http://schemas.openxmlformats.org/drawingml/2006/picture">
                <pic:pic xmlns:pic="http://schemas.openxmlformats.org/drawingml/2006/picture">
                  <pic:nvPicPr>
                    <pic:cNvPr id="2023" name="Google Shape;2023;p20"/>
                    <pic:cNvPicPr preferRelativeResize="0"/>
                  </pic:nvPicPr>
                  <pic:blipFill rotWithShape="1">
                    <a:blip r:embed="rId6">
                      <a:alphaModFix/>
                    </a:blip>
                    <a:srcRect/>
                    <a:stretch/>
                  </pic:blipFill>
                  <pic:spPr>
                    <a:xfrm rot="-5400000">
                      <a:off x="0" y="0"/>
                      <a:ext cx="2406126" cy="3990209"/>
                    </a:xfrm>
                    <a:prstGeom prst="rect">
                      <a:avLst/>
                    </a:prstGeom>
                    <a:noFill/>
                    <a:ln>
                      <a:noFill/>
                    </a:ln>
                  </pic:spPr>
                </pic:pic>
              </a:graphicData>
            </a:graphic>
          </wp:anchor>
        </w:drawing>
      </w:r>
      <w:r w:rsidRPr="00D60124">
        <w:drawing>
          <wp:anchor distT="0" distB="0" distL="114300" distR="114300" simplePos="0" relativeHeight="251661312" behindDoc="0" locked="0" layoutInCell="1" allowOverlap="1" wp14:anchorId="0FCC4C0A" wp14:editId="6B6C5B54">
            <wp:simplePos x="0" y="0"/>
            <wp:positionH relativeFrom="column">
              <wp:posOffset>3961765</wp:posOffset>
            </wp:positionH>
            <wp:positionV relativeFrom="paragraph">
              <wp:posOffset>114300</wp:posOffset>
            </wp:positionV>
            <wp:extent cx="1849865" cy="3562500"/>
            <wp:effectExtent l="0" t="0" r="4445" b="0"/>
            <wp:wrapNone/>
            <wp:docPr id="2021" name="Google Shape;2021;p20"/>
            <wp:cNvGraphicFramePr/>
            <a:graphic xmlns:a="http://schemas.openxmlformats.org/drawingml/2006/main">
              <a:graphicData uri="http://schemas.openxmlformats.org/drawingml/2006/picture">
                <pic:pic xmlns:pic="http://schemas.openxmlformats.org/drawingml/2006/picture">
                  <pic:nvPicPr>
                    <pic:cNvPr id="2021" name="Google Shape;2021;p20"/>
                    <pic:cNvPicPr preferRelativeResize="0"/>
                  </pic:nvPicPr>
                  <pic:blipFill rotWithShape="1">
                    <a:blip r:embed="rId7">
                      <a:alphaModFix/>
                    </a:blip>
                    <a:srcRect/>
                    <a:stretch/>
                  </pic:blipFill>
                  <pic:spPr>
                    <a:xfrm>
                      <a:off x="0" y="0"/>
                      <a:ext cx="1849865" cy="3562500"/>
                    </a:xfrm>
                    <a:prstGeom prst="rect">
                      <a:avLst/>
                    </a:prstGeom>
                    <a:noFill/>
                    <a:ln>
                      <a:noFill/>
                    </a:ln>
                  </pic:spPr>
                </pic:pic>
              </a:graphicData>
            </a:graphic>
          </wp:anchor>
        </w:drawing>
      </w:r>
      <w:r w:rsidRPr="00D60124">
        <w:rPr>
          <w:noProof/>
        </w:rPr>
        <w:t xml:space="preserve"> </w:t>
      </w:r>
      <w:r w:rsidRPr="00D60124">
        <w:drawing>
          <wp:anchor distT="0" distB="0" distL="114300" distR="114300" simplePos="0" relativeHeight="251660288" behindDoc="0" locked="0" layoutInCell="1" allowOverlap="1" wp14:anchorId="61E7C736" wp14:editId="2011F18C">
            <wp:simplePos x="0" y="0"/>
            <wp:positionH relativeFrom="column">
              <wp:posOffset>8138825</wp:posOffset>
            </wp:positionH>
            <wp:positionV relativeFrom="paragraph">
              <wp:posOffset>175021</wp:posOffset>
            </wp:positionV>
            <wp:extent cx="1874780" cy="2476500"/>
            <wp:effectExtent l="0" t="0" r="5080" b="0"/>
            <wp:wrapNone/>
            <wp:docPr id="2020" name="Google Shape;2020;p20"/>
            <wp:cNvGraphicFramePr/>
            <a:graphic xmlns:a="http://schemas.openxmlformats.org/drawingml/2006/main">
              <a:graphicData uri="http://schemas.openxmlformats.org/drawingml/2006/picture">
                <pic:pic xmlns:pic="http://schemas.openxmlformats.org/drawingml/2006/picture">
                  <pic:nvPicPr>
                    <pic:cNvPr id="2020" name="Google Shape;2020;p20"/>
                    <pic:cNvPicPr preferRelativeResize="0"/>
                  </pic:nvPicPr>
                  <pic:blipFill rotWithShape="1">
                    <a:blip r:embed="rId8">
                      <a:alphaModFix/>
                    </a:blip>
                    <a:srcRect/>
                    <a:stretch/>
                  </pic:blipFill>
                  <pic:spPr>
                    <a:xfrm>
                      <a:off x="0" y="0"/>
                      <a:ext cx="1874780" cy="2476500"/>
                    </a:xfrm>
                    <a:prstGeom prst="rect">
                      <a:avLst/>
                    </a:prstGeom>
                    <a:noFill/>
                    <a:ln>
                      <a:noFill/>
                    </a:ln>
                  </pic:spPr>
                </pic:pic>
              </a:graphicData>
            </a:graphic>
          </wp:anchor>
        </w:drawing>
      </w:r>
      <w:r w:rsidRPr="00D60124">
        <w:drawing>
          <wp:anchor distT="0" distB="0" distL="114300" distR="114300" simplePos="0" relativeHeight="251664384" behindDoc="0" locked="0" layoutInCell="1" allowOverlap="1" wp14:anchorId="1CB435E2" wp14:editId="6DD43ABB">
            <wp:simplePos x="0" y="0"/>
            <wp:positionH relativeFrom="column">
              <wp:posOffset>368504</wp:posOffset>
            </wp:positionH>
            <wp:positionV relativeFrom="paragraph">
              <wp:posOffset>3871164</wp:posOffset>
            </wp:positionV>
            <wp:extent cx="1893344" cy="2264588"/>
            <wp:effectExtent l="4763" t="0" r="4127" b="4128"/>
            <wp:wrapNone/>
            <wp:docPr id="2024" name="Google Shape;2024;p20"/>
            <wp:cNvGraphicFramePr/>
            <a:graphic xmlns:a="http://schemas.openxmlformats.org/drawingml/2006/main">
              <a:graphicData uri="http://schemas.openxmlformats.org/drawingml/2006/picture">
                <pic:pic xmlns:pic="http://schemas.openxmlformats.org/drawingml/2006/picture">
                  <pic:nvPicPr>
                    <pic:cNvPr id="2024" name="Google Shape;2024;p20"/>
                    <pic:cNvPicPr preferRelativeResize="0"/>
                  </pic:nvPicPr>
                  <pic:blipFill rotWithShape="1">
                    <a:blip r:embed="rId9">
                      <a:alphaModFix/>
                    </a:blip>
                    <a:srcRect/>
                    <a:stretch/>
                  </pic:blipFill>
                  <pic:spPr>
                    <a:xfrm rot="-5400000">
                      <a:off x="0" y="0"/>
                      <a:ext cx="1893344" cy="2264588"/>
                    </a:xfrm>
                    <a:prstGeom prst="rect">
                      <a:avLst/>
                    </a:prstGeom>
                    <a:noFill/>
                    <a:ln>
                      <a:noFill/>
                    </a:ln>
                  </pic:spPr>
                </pic:pic>
              </a:graphicData>
            </a:graphic>
          </wp:anchor>
        </w:drawing>
      </w:r>
      <w:r w:rsidRPr="00D60124">
        <w:t xml:space="preserve"> </w:t>
      </w:r>
      <w:r w:rsidR="002F1B93">
        <w:rPr>
          <w:noProof/>
        </w:rPr>
        <w:drawing>
          <wp:inline distT="0" distB="0" distL="0" distR="0">
            <wp:extent cx="3670300" cy="3937000"/>
            <wp:effectExtent l="0" t="0" r="0" b="0"/>
            <wp:docPr id="1732168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68346" name="Picture 1732168346"/>
                    <pic:cNvPicPr/>
                  </pic:nvPicPr>
                  <pic:blipFill>
                    <a:blip r:embed="rId10"/>
                    <a:stretch>
                      <a:fillRect/>
                    </a:stretch>
                  </pic:blipFill>
                  <pic:spPr>
                    <a:xfrm>
                      <a:off x="0" y="0"/>
                      <a:ext cx="3670300" cy="3937000"/>
                    </a:xfrm>
                    <a:prstGeom prst="rect">
                      <a:avLst/>
                    </a:prstGeom>
                  </pic:spPr>
                </pic:pic>
              </a:graphicData>
            </a:graphic>
          </wp:inline>
        </w:drawing>
      </w:r>
    </w:p>
    <w:sectPr w:rsidR="002F1B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8186690">
    <w:abstractNumId w:val="8"/>
  </w:num>
  <w:num w:numId="2" w16cid:durableId="1668290609">
    <w:abstractNumId w:val="6"/>
  </w:num>
  <w:num w:numId="3" w16cid:durableId="1915043395">
    <w:abstractNumId w:val="5"/>
  </w:num>
  <w:num w:numId="4" w16cid:durableId="896546041">
    <w:abstractNumId w:val="4"/>
  </w:num>
  <w:num w:numId="5" w16cid:durableId="2005278477">
    <w:abstractNumId w:val="7"/>
  </w:num>
  <w:num w:numId="6" w16cid:durableId="808281945">
    <w:abstractNumId w:val="3"/>
  </w:num>
  <w:num w:numId="7" w16cid:durableId="2031712795">
    <w:abstractNumId w:val="2"/>
  </w:num>
  <w:num w:numId="8" w16cid:durableId="195430480">
    <w:abstractNumId w:val="1"/>
  </w:num>
  <w:num w:numId="9" w16cid:durableId="1237932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B93"/>
    <w:rsid w:val="00326F90"/>
    <w:rsid w:val="00863B5B"/>
    <w:rsid w:val="00AA1D8D"/>
    <w:rsid w:val="00B47730"/>
    <w:rsid w:val="00CB0664"/>
    <w:rsid w:val="00D601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F820B"/>
  <w14:defaultImageDpi w14:val="300"/>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cp:lastModifiedBy>
  <cp:revision>3</cp:revision>
  <dcterms:created xsi:type="dcterms:W3CDTF">2013-12-23T23:15:00Z</dcterms:created>
  <dcterms:modified xsi:type="dcterms:W3CDTF">2026-05-20T14:33:00Z</dcterms:modified>
  <cp:category/>
</cp:coreProperties>
</file>