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750F" w:rsidRDefault="00000000">
      <w:pPr>
        <w:jc w:val="center"/>
      </w:pPr>
      <w:r>
        <w:t>How GreyRadius helped an E-Learning platform build a scalable GCC expansion model across fragmented enterprise education markets.</w:t>
      </w:r>
    </w:p>
    <w:p w:rsidR="005D750F" w:rsidRDefault="00000000">
      <w:pPr>
        <w:pStyle w:val="Heading2"/>
      </w:pPr>
      <w:r>
        <w:t>Context</w:t>
      </w:r>
    </w:p>
    <w:p w:rsidR="005D750F" w:rsidRDefault="00000000">
      <w:r>
        <w:t>An E-Learning / EdTech platform planned expansion across the GCC, targeting enterprise and institutional demand in the UAE, Saudi Arabia, Qatar, and Oman.</w:t>
      </w:r>
    </w:p>
    <w:p w:rsidR="005D750F" w:rsidRDefault="00000000">
      <w:r>
        <w:t>Leadership believed the opportunity was straightforward. Digital education demand was rising, enterprise learning budgets were increasing, and regional expansion appeared commercially attractive.</w:t>
      </w:r>
    </w:p>
    <w:p w:rsidR="005D750F" w:rsidRDefault="00000000">
      <w:r>
        <w:t>The company initially approached the GCC as a single regional growth market.</w:t>
      </w:r>
    </w:p>
    <w:p w:rsidR="005D750F" w:rsidRDefault="00000000">
      <w:r>
        <w:t>The assumption looked logical from the outside.</w:t>
      </w:r>
    </w:p>
    <w:p w:rsidR="005D750F" w:rsidRDefault="00000000">
      <w:r>
        <w:t>The operating reality was very different.</w:t>
      </w:r>
    </w:p>
    <w:p w:rsidR="005D750F" w:rsidRDefault="00000000">
      <w:r>
        <w:t>Procurement cycles varied sharply by country. Enterprise buying behavior differed across public and private institutions. Partnership expectations were localized. Pricing sensitivity changed market by market. Regulatory and onboarding expectations created execution delays the centralized commercial model could not absorb.</w:t>
      </w:r>
    </w:p>
    <w:p w:rsidR="005D750F" w:rsidRDefault="00000000">
      <w:r>
        <w:t>What looked like a market-entry problem was gradually becoming a scalability problem.</w:t>
      </w:r>
    </w:p>
    <w:p w:rsidR="005D750F" w:rsidRDefault="00000000">
      <w:r>
        <w:t>Expansion risk was no longer tied to demand.</w:t>
      </w:r>
    </w:p>
    <w:p w:rsidR="005D750F" w:rsidRDefault="00000000">
      <w:r>
        <w:t>It was tied to execution maturity.</w:t>
      </w:r>
    </w:p>
    <w:p w:rsidR="005D750F" w:rsidRDefault="00000000">
      <w:pPr>
        <w:pStyle w:val="Heading2"/>
      </w:pPr>
      <w:r>
        <w:t>The Core Challenge</w:t>
      </w:r>
    </w:p>
    <w:p w:rsidR="005D750F" w:rsidRDefault="00000000">
      <w:r>
        <w:t>The visible issue was market-entry prioritization.</w:t>
      </w:r>
    </w:p>
    <w:p w:rsidR="005D750F" w:rsidRDefault="00000000">
      <w:r>
        <w:t>The structural issue was that the business lacked a scalable GCC operating model.</w:t>
      </w:r>
    </w:p>
    <w:p w:rsidR="005D750F" w:rsidRDefault="00000000">
      <w:r>
        <w:t>Leadership initially believed the challenge was identifying the “right” countries to enter first.</w:t>
      </w:r>
    </w:p>
    <w:p w:rsidR="005D750F" w:rsidRDefault="00000000">
      <w:r>
        <w:t>In reality, the company was carrying a centralized expansion architecture into a fragmented regional environment.</w:t>
      </w:r>
    </w:p>
    <w:p w:rsidR="005D750F" w:rsidRDefault="00000000">
      <w:r>
        <w:t>Commercial assumptions were being replicated across markets that operated differently.</w:t>
      </w:r>
    </w:p>
    <w:p w:rsidR="005D750F" w:rsidRDefault="00000000">
      <w:r>
        <w:t>The UAE enterprise sales motion could not be copied into Saudi Arabia. Pilot engagement structures in Qatar did not automatically translate into scalable procurement conversion. Partnership-led access models in Oman required different ownership structures and sales sequencing.</w:t>
      </w:r>
    </w:p>
    <w:p w:rsidR="005D750F" w:rsidRDefault="00000000">
      <w:r>
        <w:t>The business was also over-dependent on pilot-driven expansion.</w:t>
      </w:r>
    </w:p>
    <w:p w:rsidR="005D750F" w:rsidRDefault="00000000">
      <w:r>
        <w:lastRenderedPageBreak/>
        <w:t>Pilot success was being treated as proof of market scalability, even when procurement pathways, enterprise adoption behavior, and decision ownership remained unclear.</w:t>
      </w:r>
    </w:p>
    <w:p w:rsidR="005D750F" w:rsidRDefault="00000000">
      <w:r>
        <w:t>This created hidden execution dependency.</w:t>
      </w:r>
    </w:p>
    <w:p w:rsidR="005D750F" w:rsidRDefault="00000000">
      <w:r>
        <w:t>Growth decisions increasingly relied on leadership intervention, reactive coordination, and fragmented country-level assumptions instead of scalable execution governance.</w:t>
      </w:r>
    </w:p>
    <w:p w:rsidR="005D750F" w:rsidRDefault="00000000">
      <w:r>
        <w:t>The company was expanding commercially faster than its regional operating maturity.</w:t>
      </w:r>
    </w:p>
    <w:p w:rsidR="005D750F" w:rsidRDefault="00000000">
      <w:pPr>
        <w:pStyle w:val="Heading2"/>
      </w:pPr>
      <w:r>
        <w:t>The Decision Shift</w:t>
      </w:r>
    </w:p>
    <w:p w:rsidR="005D750F" w:rsidRDefault="00000000">
      <w:r>
        <w:t>The strategic realization was critical.</w:t>
      </w:r>
    </w:p>
    <w:p w:rsidR="005D750F" w:rsidRDefault="00000000">
      <w:r>
        <w:t>The company stopped treating GCC expansion as a regional growth initiative and started treating it as a country-specific execution architecture problem.</w:t>
      </w:r>
    </w:p>
    <w:p w:rsidR="005D750F" w:rsidRDefault="00000000">
      <w:r>
        <w:t>This changed how leadership viewed scale.</w:t>
      </w:r>
    </w:p>
    <w:p w:rsidR="005D750F" w:rsidRDefault="00000000">
      <w:r>
        <w:t>Instead of asking:</w:t>
      </w:r>
    </w:p>
    <w:p w:rsidR="005D750F" w:rsidRDefault="00000000">
      <w:r>
        <w:t>“Which GCC markets should we enter?”</w:t>
      </w:r>
    </w:p>
    <w:p w:rsidR="005D750F" w:rsidRDefault="00000000">
      <w:r>
        <w:t>The business started asking:</w:t>
      </w:r>
    </w:p>
    <w:p w:rsidR="005D750F" w:rsidRDefault="00000000">
      <w:r>
        <w:t>“Which markets are commercially executable with the current operating model — and what execution changes are required before scaling further?”</w:t>
      </w:r>
    </w:p>
    <w:p w:rsidR="005D750F" w:rsidRDefault="00000000">
      <w:r>
        <w:t>That reframing shifted expansion away from broad regional ambition toward phased commercial readiness.</w:t>
      </w:r>
    </w:p>
    <w:p w:rsidR="005D750F" w:rsidRDefault="00000000">
      <w:r>
        <w:t>Growth sequencing became tied to procurement realities, enterprise adoption pathways, pricing localization, and execution visibility.</w:t>
      </w:r>
    </w:p>
    <w:p w:rsidR="005D750F" w:rsidRDefault="00000000">
      <w:r>
        <w:t>The focus moved from market presence to scalable market conversion.</w:t>
      </w:r>
    </w:p>
    <w:p w:rsidR="005D750F" w:rsidRDefault="00000000">
      <w:r>
        <w:t>This became the turning point.</w:t>
      </w:r>
    </w:p>
    <w:p w:rsidR="005D750F" w:rsidRDefault="00000000">
      <w:r>
        <w:t>The company no longer viewed expansion as a sales acceleration challenge.</w:t>
      </w:r>
    </w:p>
    <w:p w:rsidR="005D750F" w:rsidRDefault="00000000">
      <w:r>
        <w:t>It became an operating discipline challenge.</w:t>
      </w:r>
    </w:p>
    <w:p w:rsidR="005D750F" w:rsidRDefault="00000000">
      <w:pPr>
        <w:pStyle w:val="Heading2"/>
      </w:pPr>
      <w:r>
        <w:t>What Changed in Execution</w:t>
      </w:r>
    </w:p>
    <w:p w:rsidR="005D750F" w:rsidRDefault="00000000">
      <w:r>
        <w:t>The biggest change was execution prioritization.</w:t>
      </w:r>
    </w:p>
    <w:p w:rsidR="005D750F" w:rsidRDefault="00000000">
      <w:r>
        <w:t>Instead of targeting multiple GCC markets simultaneously, the expansion model shifted toward phased country-entry sequencing based on commercial viability and execution readiness.</w:t>
      </w:r>
    </w:p>
    <w:p w:rsidR="005D750F" w:rsidRDefault="00000000">
      <w:r>
        <w:t>Country-level ownership became clearer.</w:t>
      </w:r>
    </w:p>
    <w:p w:rsidR="005D750F" w:rsidRDefault="00000000">
      <w:r>
        <w:lastRenderedPageBreak/>
        <w:t>Sales structures, pricing logic, partnership engagement models, and demand qualification criteria were localized instead of centrally standardized.</w:t>
      </w:r>
    </w:p>
    <w:p w:rsidR="005D750F" w:rsidRDefault="00000000">
      <w:r>
        <w:t>This reduced coordination friction across markets.</w:t>
      </w:r>
    </w:p>
    <w:p w:rsidR="005D750F" w:rsidRDefault="00000000">
      <w:r>
        <w:t>The business also reduced dependency on pilot-led momentum.</w:t>
      </w:r>
    </w:p>
    <w:p w:rsidR="005D750F" w:rsidRDefault="00000000">
      <w:r>
        <w:t>Expansion decisions became tied to scalable demand indicators rather than isolated enterprise wins.</w:t>
      </w:r>
    </w:p>
    <w:p w:rsidR="005D750F" w:rsidRDefault="00000000">
      <w:r>
        <w:t>This improved execution predictability.</w:t>
      </w:r>
    </w:p>
    <w:p w:rsidR="005D750F" w:rsidRDefault="00000000">
      <w:r>
        <w:t>Commercial governance matured as well.</w:t>
      </w:r>
    </w:p>
    <w:p w:rsidR="005D750F" w:rsidRDefault="00000000">
      <w:r>
        <w:t>Leadership visibility improved around:</w:t>
      </w:r>
    </w:p>
    <w:p w:rsidR="005D750F" w:rsidRDefault="00000000">
      <w:r>
        <w:t>- procurement complexity</w:t>
      </w:r>
    </w:p>
    <w:p w:rsidR="005D750F" w:rsidRDefault="00000000">
      <w:r>
        <w:t>- adoption scalability</w:t>
      </w:r>
    </w:p>
    <w:p w:rsidR="005D750F" w:rsidRDefault="00000000">
      <w:r>
        <w:t>- partner dependency</w:t>
      </w:r>
    </w:p>
    <w:p w:rsidR="005D750F" w:rsidRDefault="00000000">
      <w:r>
        <w:t>- execution bottlenecks</w:t>
      </w:r>
    </w:p>
    <w:p w:rsidR="005D750F" w:rsidRDefault="00000000">
      <w:r>
        <w:t>- country-specific conversion risks</w:t>
      </w:r>
    </w:p>
    <w:p w:rsidR="005D750F" w:rsidRDefault="00000000">
      <w:r>
        <w:t>Instead of reactive expansion management, the company created a more disciplined GCC commercialization structure with clearer execution sequencing and scalability thresholds.</w:t>
      </w:r>
    </w:p>
    <w:p w:rsidR="005D750F" w:rsidRDefault="00000000">
      <w:r>
        <w:t>Cross-functional alignment improved because market-entry decisions were no longer disconnected from operational realities.</w:t>
      </w:r>
    </w:p>
    <w:p w:rsidR="005D750F" w:rsidRDefault="00000000">
      <w:r>
        <w:t>Execution became more measurable, less leadership-dependent, and more scalable across markets.</w:t>
      </w:r>
    </w:p>
    <w:p w:rsidR="005D750F" w:rsidRDefault="00000000">
      <w:pPr>
        <w:pStyle w:val="Heading2"/>
      </w:pPr>
      <w:r>
        <w:t>Business Impact Delivered</w:t>
      </w:r>
    </w:p>
    <w:p w:rsidR="005D750F" w:rsidRDefault="00000000">
      <w:r>
        <w:t>The shift created greater expansion clarity across the GCC portfolio.</w:t>
      </w:r>
    </w:p>
    <w:p w:rsidR="005D750F" w:rsidRDefault="00000000">
      <w:r>
        <w:t>Leadership gained better visibility into where scalable adoption was realistically achievable and where execution friction remained structurally high.</w:t>
      </w:r>
    </w:p>
    <w:p w:rsidR="005D750F" w:rsidRDefault="00000000">
      <w:r>
        <w:t>Expansion prioritization uncertainty reduced significantly because market sequencing became commercially grounded instead of assumption-driven.</w:t>
      </w:r>
    </w:p>
    <w:p w:rsidR="005D750F" w:rsidRDefault="00000000">
      <w:r>
        <w:t>Decision timelines accelerated through phased evaluation structures that improved alignment between commercial planning, procurement readiness, and operating feasibility.</w:t>
      </w:r>
    </w:p>
    <w:p w:rsidR="005D750F" w:rsidRDefault="00000000">
      <w:r>
        <w:t>The business also improved scalability readiness across target markets.</w:t>
      </w:r>
    </w:p>
    <w:p w:rsidR="005D750F" w:rsidRDefault="00000000">
      <w:r>
        <w:lastRenderedPageBreak/>
        <w:t>Localized GTM structures reduced execution friction and improved coordination between partnerships, enterprise sales, and regional expansion planning.</w:t>
      </w:r>
    </w:p>
    <w:p w:rsidR="005D750F" w:rsidRDefault="00000000">
      <w:r>
        <w:t>Most importantly, the company reduced the risk of fragmented GCC expansion.</w:t>
      </w:r>
    </w:p>
    <w:p w:rsidR="005D750F" w:rsidRDefault="00000000">
      <w:r>
        <w:t>Instead of scaling market presence faster than execution maturity, the business created a more disciplined commercialization pathway designed for sustainable regional growth.</w:t>
      </w:r>
    </w:p>
    <w:p w:rsidR="005D750F" w:rsidRDefault="00000000">
      <w:pPr>
        <w:pStyle w:val="Heading2"/>
      </w:pPr>
      <w:r>
        <w:t>Key Outcomes</w:t>
      </w:r>
    </w:p>
    <w:p w:rsidR="005D750F" w:rsidRDefault="00000000">
      <w:r>
        <w:t>- Reduced expansion prioritization uncertainty across GCC target markets</w:t>
      </w:r>
    </w:p>
    <w:p w:rsidR="005D750F" w:rsidRDefault="00000000">
      <w:r>
        <w:t>- Accelerated market-entry decision timelines through phased evaluation structures</w:t>
      </w:r>
    </w:p>
    <w:p w:rsidR="005D750F" w:rsidRDefault="00000000">
      <w:r>
        <w:t>- Improved scalability readiness through country-focused GTM alignment</w:t>
      </w:r>
    </w:p>
    <w:p w:rsidR="005D750F" w:rsidRDefault="00000000">
      <w:r>
        <w:t>- Reduced pilot dependency in expansion decision-making</w:t>
      </w:r>
    </w:p>
    <w:p w:rsidR="005D750F" w:rsidRDefault="00000000">
      <w:r>
        <w:t>- Increased visibility into procurement and enterprise adoption risk</w:t>
      </w:r>
    </w:p>
    <w:p w:rsidR="005D750F" w:rsidRDefault="00000000">
      <w:r>
        <w:t>- Improved cross-functional coordination across regional growth planning</w:t>
      </w:r>
    </w:p>
    <w:p w:rsidR="005D750F" w:rsidRDefault="00000000">
      <w:r>
        <w:t>GCC expansion fails when companies confuse regional demand with regional execution readiness.</w:t>
      </w:r>
    </w:p>
    <w:p w:rsidR="005D750F" w:rsidRDefault="00000000">
      <w:r>
        <w:t>The opportunity may look unified from the outside.</w:t>
      </w:r>
    </w:p>
    <w:p w:rsidR="005D750F" w:rsidRDefault="00000000">
      <w:r>
        <w:t>The operating realities rarely are.</w:t>
      </w:r>
    </w:p>
    <w:p w:rsidR="005D750F" w:rsidRDefault="00000000">
      <w:r>
        <w:t>Scalable growth in the GCC comes from localized execution discipline, not regional expansion ambition.</w:t>
      </w:r>
    </w:p>
    <w:p w:rsidR="005D750F" w:rsidRDefault="00FF1083">
      <w:r>
        <w:rPr>
          <w:noProof/>
        </w:rPr>
        <w:lastRenderedPageBreak/>
        <w:drawing>
          <wp:inline distT="0" distB="0" distL="0" distR="0">
            <wp:extent cx="5486400" cy="4114800"/>
            <wp:effectExtent l="0" t="0" r="0" b="0"/>
            <wp:docPr id="180217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73704" name="Picture 1802173704"/>
                    <pic:cNvPicPr/>
                  </pic:nvPicPr>
                  <pic:blipFill>
                    <a:blip r:embed="rId6"/>
                    <a:stretch>
                      <a:fillRect/>
                    </a:stretch>
                  </pic:blipFill>
                  <pic:spPr>
                    <a:xfrm>
                      <a:off x="0" y="0"/>
                      <a:ext cx="5486400" cy="4114800"/>
                    </a:xfrm>
                    <a:prstGeom prst="rect">
                      <a:avLst/>
                    </a:prstGeom>
                  </pic:spPr>
                </pic:pic>
              </a:graphicData>
            </a:graphic>
          </wp:inline>
        </w:drawing>
      </w:r>
      <w:r>
        <w:rPr>
          <w:noProof/>
        </w:rPr>
        <w:drawing>
          <wp:inline distT="0" distB="0" distL="0" distR="0">
            <wp:extent cx="5486400" cy="2809875"/>
            <wp:effectExtent l="0" t="0" r="0" b="0"/>
            <wp:docPr id="406506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06001" name="Picture 406506001"/>
                    <pic:cNvPicPr/>
                  </pic:nvPicPr>
                  <pic:blipFill>
                    <a:blip r:embed="rId7"/>
                    <a:stretch>
                      <a:fillRect/>
                    </a:stretch>
                  </pic:blipFill>
                  <pic:spPr>
                    <a:xfrm>
                      <a:off x="0" y="0"/>
                      <a:ext cx="5486400" cy="2809875"/>
                    </a:xfrm>
                    <a:prstGeom prst="rect">
                      <a:avLst/>
                    </a:prstGeom>
                  </pic:spPr>
                </pic:pic>
              </a:graphicData>
            </a:graphic>
          </wp:inline>
        </w:drawing>
      </w:r>
      <w:r>
        <w:rPr>
          <w:noProof/>
        </w:rPr>
        <w:lastRenderedPageBreak/>
        <w:drawing>
          <wp:inline distT="0" distB="0" distL="0" distR="0">
            <wp:extent cx="5486400" cy="2805430"/>
            <wp:effectExtent l="0" t="0" r="0" b="1270"/>
            <wp:docPr id="418415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15274" name="Picture 418415274"/>
                    <pic:cNvPicPr/>
                  </pic:nvPicPr>
                  <pic:blipFill>
                    <a:blip r:embed="rId8"/>
                    <a:stretch>
                      <a:fillRect/>
                    </a:stretch>
                  </pic:blipFill>
                  <pic:spPr>
                    <a:xfrm>
                      <a:off x="0" y="0"/>
                      <a:ext cx="5486400" cy="2805430"/>
                    </a:xfrm>
                    <a:prstGeom prst="rect">
                      <a:avLst/>
                    </a:prstGeom>
                  </pic:spPr>
                </pic:pic>
              </a:graphicData>
            </a:graphic>
          </wp:inline>
        </w:drawing>
      </w:r>
      <w:r>
        <w:rPr>
          <w:noProof/>
        </w:rPr>
        <w:drawing>
          <wp:inline distT="0" distB="0" distL="0" distR="0">
            <wp:extent cx="5486400" cy="3086100"/>
            <wp:effectExtent l="0" t="0" r="0" b="0"/>
            <wp:docPr id="300127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7168" name="Picture 300127168"/>
                    <pic:cNvPicPr/>
                  </pic:nvPicPr>
                  <pic:blipFill>
                    <a:blip r:embed="rId9"/>
                    <a:stretch>
                      <a:fillRect/>
                    </a:stretch>
                  </pic:blipFill>
                  <pic:spPr>
                    <a:xfrm>
                      <a:off x="0" y="0"/>
                      <a:ext cx="5486400" cy="3086100"/>
                    </a:xfrm>
                    <a:prstGeom prst="rect">
                      <a:avLst/>
                    </a:prstGeom>
                  </pic:spPr>
                </pic:pic>
              </a:graphicData>
            </a:graphic>
          </wp:inline>
        </w:drawing>
      </w:r>
    </w:p>
    <w:sectPr w:rsidR="005D75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8630863">
    <w:abstractNumId w:val="8"/>
  </w:num>
  <w:num w:numId="2" w16cid:durableId="1016537937">
    <w:abstractNumId w:val="6"/>
  </w:num>
  <w:num w:numId="3" w16cid:durableId="1222399780">
    <w:abstractNumId w:val="5"/>
  </w:num>
  <w:num w:numId="4" w16cid:durableId="1631550192">
    <w:abstractNumId w:val="4"/>
  </w:num>
  <w:num w:numId="5" w16cid:durableId="1119950913">
    <w:abstractNumId w:val="7"/>
  </w:num>
  <w:num w:numId="6" w16cid:durableId="1467089868">
    <w:abstractNumId w:val="3"/>
  </w:num>
  <w:num w:numId="7" w16cid:durableId="1591625210">
    <w:abstractNumId w:val="2"/>
  </w:num>
  <w:num w:numId="8" w16cid:durableId="489251636">
    <w:abstractNumId w:val="1"/>
  </w:num>
  <w:num w:numId="9" w16cid:durableId="1761489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750F"/>
    <w:rsid w:val="00AA1D8D"/>
    <w:rsid w:val="00B47730"/>
    <w:rsid w:val="00CB0664"/>
    <w:rsid w:val="00FC693F"/>
    <w:rsid w:val="00FF10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3E255"/>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2026-05-20T14:20:00Z</dcterms:modified>
  <cp:category/>
</cp:coreProperties>
</file>