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697F" w:rsidRDefault="00000000" w:rsidP="0092577A">
      <w:pPr>
        <w:pStyle w:val="Heading1"/>
      </w:pPr>
      <w:r>
        <w:t>How GreyRadius helped an e-waste recycling startup shift from plant-led expansion to a commercially viable recovery ecosystem.</w:t>
      </w:r>
    </w:p>
    <w:p w:rsidR="0073697F" w:rsidRDefault="00000000">
      <w:pPr>
        <w:pStyle w:val="Heading1"/>
      </w:pPr>
      <w:r>
        <w:t>Context</w:t>
      </w:r>
    </w:p>
    <w:p w:rsidR="0073697F" w:rsidRDefault="0092577A">
      <w:r>
        <w:t xml:space="preserve">The Global </w:t>
      </w:r>
      <w:r w:rsidR="00000000">
        <w:t>e-waste opportunity was growing rapidly, but the economics behind recycling remained unstable for new entrants. Most operators focused heavily on plant setup, machinery acquisition, and processing capacity. The assumption was simple: larger infrastructure would automatically create scale.</w:t>
      </w:r>
      <w:r w:rsidR="00000000">
        <w:br/>
      </w:r>
      <w:r w:rsidR="00000000">
        <w:br/>
        <w:t>A sustainability-focused recycling startup entered the sector with a similar view. Leadership believed the core challenge was building a compliant recycling facility quickly enough to capture market demand.</w:t>
      </w:r>
      <w:r w:rsidR="00000000">
        <w:br/>
      </w:r>
      <w:r w:rsidR="00000000">
        <w:br/>
        <w:t>But underneath the expansion ambition was a more serious issue.</w:t>
      </w:r>
      <w:r w:rsidR="00000000">
        <w:br/>
      </w:r>
      <w:r w:rsidR="00000000">
        <w:br/>
        <w:t>The business lacked a scalable recovery model tied to downstream value realization. Recovery yield assumptions were weak, category economics were inconsistent, and technology ownership risk was significantly underestimated. Capital deployment was moving ahead faster than commercial clarity.</w:t>
      </w:r>
      <w:r w:rsidR="00000000">
        <w:br/>
      </w:r>
      <w:r w:rsidR="00000000">
        <w:br/>
        <w:t>What appeared to be an infrastructure problem was actually an execution architecture problem around recovery economics, material strategy, and operating scalability.</w:t>
      </w:r>
    </w:p>
    <w:p w:rsidR="0073697F" w:rsidRDefault="00000000">
      <w:pPr>
        <w:pStyle w:val="Heading1"/>
      </w:pPr>
      <w:r>
        <w:t>The Core Challenge</w:t>
      </w:r>
    </w:p>
    <w:p w:rsidR="0073697F" w:rsidRDefault="00000000">
      <w:r>
        <w:t>Leadership initially viewed e-waste recycling as an operational setup exercise.</w:t>
      </w:r>
      <w:r>
        <w:br/>
      </w:r>
      <w:r>
        <w:br/>
        <w:t>The assumption was that securing land, installing machinery, and building processing capability would create a competitive advantage.</w:t>
      </w:r>
      <w:r>
        <w:br/>
      </w:r>
      <w:r>
        <w:br/>
        <w:t>The real structural issue was different.</w:t>
      </w:r>
      <w:r>
        <w:br/>
      </w:r>
      <w:r>
        <w:br/>
        <w:t>E-waste profitability depended less on plant ownership and more on recovery strategy, material mix, downstream pricing visibility, and technology adaptability. Without alignment across these areas, scale would amplify inefficiencies rather than margins.</w:t>
      </w:r>
      <w:r>
        <w:br/>
      </w:r>
      <w:r>
        <w:br/>
        <w:t>Several execution risks were emerging simultaneously:</w:t>
      </w:r>
      <w:r>
        <w:br/>
        <w:t>- High capital exposure from upfront technology investment</w:t>
      </w:r>
      <w:r>
        <w:br/>
        <w:t>- Weak visibility into metal recovery variability</w:t>
      </w:r>
      <w:r>
        <w:br/>
        <w:t>- Limited operating flexibility across waste categories</w:t>
      </w:r>
      <w:r>
        <w:br/>
      </w:r>
      <w:r>
        <w:lastRenderedPageBreak/>
        <w:t>- Dependence on unproven recovery assumptions</w:t>
      </w:r>
      <w:r>
        <w:br/>
        <w:t>- Fragmented linkage between procurement, processing, and downstream monetization</w:t>
      </w:r>
      <w:r>
        <w:br/>
      </w:r>
      <w:r>
        <w:br/>
        <w:t>The business was preparing for scale before establishing economic predictability.</w:t>
      </w:r>
    </w:p>
    <w:p w:rsidR="0073697F" w:rsidRDefault="00000000">
      <w:pPr>
        <w:pStyle w:val="Heading1"/>
      </w:pPr>
      <w:r>
        <w:t>The Decision Shift</w:t>
      </w:r>
    </w:p>
    <w:p w:rsidR="0073697F" w:rsidRDefault="00000000">
      <w:r>
        <w:t>The company stopped treating e-waste recycling as a facility-building exercise and started treating it as a recovery-yield and commercial-orchestration business.</w:t>
      </w:r>
      <w:r>
        <w:br/>
      </w:r>
      <w:r>
        <w:br/>
        <w:t>Instead of pursuing full in-house technology ownership, leadership shifted toward a partnership-led operating model designed around recovery economics and execution flexibility.</w:t>
      </w:r>
      <w:r>
        <w:br/>
      </w:r>
      <w:r>
        <w:br/>
        <w:t>The strategic realization was clear: Plant infrastructure alone would not create defensibility. Recovery efficiency, category prioritization, and ecosystem coordination would.</w:t>
      </w:r>
      <w:r>
        <w:br/>
      </w:r>
      <w:r>
        <w:br/>
        <w:t>The company reframed the business around three principles:</w:t>
      </w:r>
      <w:r>
        <w:br/>
        <w:t>- Focus on high-value recovery streams rather than generic waste aggregation</w:t>
      </w:r>
      <w:r>
        <w:br/>
        <w:t>- Reduce technology dependency risk through joint operating structures</w:t>
      </w:r>
      <w:r>
        <w:br/>
        <w:t>- Scale capacity in line with validated recovery economics instead of forecasted demand assumptions</w:t>
      </w:r>
    </w:p>
    <w:p w:rsidR="0073697F" w:rsidRDefault="00000000">
      <w:pPr>
        <w:pStyle w:val="Heading1"/>
      </w:pPr>
      <w:r>
        <w:t>What Changed in Execution</w:t>
      </w:r>
    </w:p>
    <w:p w:rsidR="0073697F" w:rsidRDefault="00000000">
      <w:r>
        <w:t>The operating model became materially more focused.</w:t>
      </w:r>
      <w:r>
        <w:br/>
      </w:r>
      <w:r>
        <w:br/>
        <w:t>Instead of processing all e-waste categories uniformly, the business prioritized recovery streams with stronger yield economics and downstream demand stability, particularly PCBs, cables, and IT asset recovery.</w:t>
      </w:r>
      <w:r>
        <w:br/>
      </w:r>
      <w:r>
        <w:br/>
        <w:t>Decision-making also changed structurally.</w:t>
      </w:r>
      <w:r>
        <w:br/>
      </w:r>
      <w:r>
        <w:br/>
        <w:t>Rather than internalizing full technology ownership, the company adopted a JV-led model that combined local operating capability with specialized recovery expertise.</w:t>
      </w:r>
      <w:r>
        <w:br/>
      </w:r>
      <w:r>
        <w:br/>
        <w:t>Plant economics were redesigned around recovery realities rather than installed capacity.</w:t>
      </w:r>
      <w:r>
        <w:br/>
      </w:r>
      <w:r>
        <w:br/>
        <w:t>Commercial planning became directly linked to metal recovery yield assumptions, commodity price sensitivity, processing loss scenarios, downstream offtake viability, and category-level margin visibility.</w:t>
      </w:r>
      <w:r>
        <w:br/>
      </w:r>
      <w:r>
        <w:br/>
      </w:r>
      <w:r>
        <w:lastRenderedPageBreak/>
        <w:t>The scale-up strategy also became more disciplined through phased operational rollout tied to validated throughput and recovery performance.</w:t>
      </w:r>
    </w:p>
    <w:p w:rsidR="0073697F" w:rsidRDefault="00000000">
      <w:pPr>
        <w:pStyle w:val="Heading1"/>
      </w:pPr>
      <w:r>
        <w:t>Business Impact Delivered</w:t>
      </w:r>
    </w:p>
    <w:p w:rsidR="0073697F" w:rsidRDefault="00000000">
      <w:r>
        <w:t>The business gained stronger commercial viability without overextending capital exposure.</w:t>
      </w:r>
      <w:r>
        <w:br/>
      </w:r>
      <w:r>
        <w:br/>
        <w:t>Technology risk reduced significantly because the operating model no longer depended entirely on proprietary in-house processing capability.</w:t>
      </w:r>
      <w:r>
        <w:br/>
      </w:r>
      <w:r>
        <w:br/>
        <w:t>Recovery economics improved across higher-value waste categories due to better alignment between procurement strategy, processing focus, and downstream pricing realities.</w:t>
      </w:r>
      <w:r>
        <w:br/>
      </w:r>
      <w:r>
        <w:br/>
        <w:t>The phased rollout model also improved leadership control over expansion timing.</w:t>
      </w:r>
    </w:p>
    <w:p w:rsidR="0073697F" w:rsidRDefault="00000000">
      <w:pPr>
        <w:pStyle w:val="Heading1"/>
      </w:pPr>
      <w:r>
        <w:t>Key Outcomes</w:t>
      </w:r>
    </w:p>
    <w:p w:rsidR="0073697F" w:rsidRDefault="00000000">
      <w:r>
        <w:t>- 20–35% reduction in upfront technology risk exposure</w:t>
      </w:r>
      <w:r>
        <w:br/>
        <w:t>- Faster commercialization through phased operational rollout</w:t>
      </w:r>
      <w:r>
        <w:br/>
        <w:t>- Improved recovery economics across high-value e-waste categories</w:t>
      </w:r>
      <w:r>
        <w:br/>
        <w:t>- Reduced capital lock-in from premature infrastructure expansion</w:t>
      </w:r>
      <w:r>
        <w:br/>
        <w:t>- Better alignment between recovery yield and downstream pricing</w:t>
      </w:r>
      <w:r>
        <w:br/>
        <w:t>- Stronger scalability through partnership-led operating structures</w:t>
      </w:r>
      <w:r>
        <w:br/>
      </w:r>
      <w:r>
        <w:br/>
        <w:t>In e-waste recycling, scale can hide weak economics for a while. Eventually, recovery efficiency becomes the real business model.</w:t>
      </w:r>
    </w:p>
    <w:p w:rsidR="0092577A" w:rsidRDefault="0092577A"/>
    <w:p w:rsidR="0092577A" w:rsidRDefault="0092577A">
      <w:r>
        <w:rPr>
          <w:noProof/>
        </w:rPr>
        <w:lastRenderedPageBreak/>
        <w:drawing>
          <wp:inline distT="0" distB="0" distL="0" distR="0">
            <wp:extent cx="5486400" cy="3086100"/>
            <wp:effectExtent l="0" t="0" r="0" b="0"/>
            <wp:docPr id="55418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86842" name="Picture 554186842"/>
                    <pic:cNvPicPr/>
                  </pic:nvPicPr>
                  <pic:blipFill>
                    <a:blip r:embed="rId6"/>
                    <a:stretch>
                      <a:fillRect/>
                    </a:stretch>
                  </pic:blipFill>
                  <pic:spPr>
                    <a:xfrm>
                      <a:off x="0" y="0"/>
                      <a:ext cx="5486400" cy="3086100"/>
                    </a:xfrm>
                    <a:prstGeom prst="rect">
                      <a:avLst/>
                    </a:prstGeom>
                  </pic:spPr>
                </pic:pic>
              </a:graphicData>
            </a:graphic>
          </wp:inline>
        </w:drawing>
      </w:r>
      <w:r>
        <w:rPr>
          <w:noProof/>
        </w:rPr>
        <w:drawing>
          <wp:inline distT="0" distB="0" distL="0" distR="0">
            <wp:extent cx="5486400" cy="3086100"/>
            <wp:effectExtent l="0" t="0" r="0" b="0"/>
            <wp:docPr id="783541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1882" name="Picture 783541882"/>
                    <pic:cNvPicPr/>
                  </pic:nvPicPr>
                  <pic:blipFill>
                    <a:blip r:embed="rId7"/>
                    <a:stretch>
                      <a:fillRect/>
                    </a:stretch>
                  </pic:blipFill>
                  <pic:spPr>
                    <a:xfrm>
                      <a:off x="0" y="0"/>
                      <a:ext cx="5486400" cy="3086100"/>
                    </a:xfrm>
                    <a:prstGeom prst="rect">
                      <a:avLst/>
                    </a:prstGeom>
                  </pic:spPr>
                </pic:pic>
              </a:graphicData>
            </a:graphic>
          </wp:inline>
        </w:drawing>
      </w:r>
      <w:r>
        <w:rPr>
          <w:noProof/>
        </w:rPr>
        <w:lastRenderedPageBreak/>
        <w:drawing>
          <wp:inline distT="0" distB="0" distL="0" distR="0">
            <wp:extent cx="5486400" cy="3086100"/>
            <wp:effectExtent l="0" t="0" r="0" b="0"/>
            <wp:docPr id="1349038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8923" name="Picture 1349038923"/>
                    <pic:cNvPicPr/>
                  </pic:nvPicPr>
                  <pic:blipFill>
                    <a:blip r:embed="rId8"/>
                    <a:stretch>
                      <a:fillRect/>
                    </a:stretch>
                  </pic:blipFill>
                  <pic:spPr>
                    <a:xfrm>
                      <a:off x="0" y="0"/>
                      <a:ext cx="5486400" cy="3086100"/>
                    </a:xfrm>
                    <a:prstGeom prst="rect">
                      <a:avLst/>
                    </a:prstGeom>
                  </pic:spPr>
                </pic:pic>
              </a:graphicData>
            </a:graphic>
          </wp:inline>
        </w:drawing>
      </w:r>
      <w:r>
        <w:rPr>
          <w:noProof/>
        </w:rPr>
        <w:lastRenderedPageBreak/>
        <w:drawing>
          <wp:inline distT="0" distB="0" distL="0" distR="0">
            <wp:extent cx="5486400" cy="7315200"/>
            <wp:effectExtent l="0" t="0" r="0" b="0"/>
            <wp:docPr id="76327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77536" name="Picture 763277536"/>
                    <pic:cNvPicPr/>
                  </pic:nvPicPr>
                  <pic:blipFill>
                    <a:blip r:embed="rId9"/>
                    <a:stretch>
                      <a:fillRect/>
                    </a:stretch>
                  </pic:blipFill>
                  <pic:spPr>
                    <a:xfrm>
                      <a:off x="0" y="0"/>
                      <a:ext cx="5486400" cy="7315200"/>
                    </a:xfrm>
                    <a:prstGeom prst="rect">
                      <a:avLst/>
                    </a:prstGeom>
                  </pic:spPr>
                </pic:pic>
              </a:graphicData>
            </a:graphic>
          </wp:inline>
        </w:drawing>
      </w:r>
      <w:r>
        <w:rPr>
          <w:noProof/>
        </w:rPr>
        <w:lastRenderedPageBreak/>
        <w:drawing>
          <wp:inline distT="0" distB="0" distL="0" distR="0">
            <wp:extent cx="5486400" cy="4114800"/>
            <wp:effectExtent l="0" t="0" r="0" b="0"/>
            <wp:docPr id="2115551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51284" name="Picture 2115551284"/>
                    <pic:cNvPicPr/>
                  </pic:nvPicPr>
                  <pic:blipFill>
                    <a:blip r:embed="rId10"/>
                    <a:stretch>
                      <a:fillRect/>
                    </a:stretch>
                  </pic:blipFill>
                  <pic:spPr>
                    <a:xfrm>
                      <a:off x="0" y="0"/>
                      <a:ext cx="5486400" cy="4114800"/>
                    </a:xfrm>
                    <a:prstGeom prst="rect">
                      <a:avLst/>
                    </a:prstGeom>
                  </pic:spPr>
                </pic:pic>
              </a:graphicData>
            </a:graphic>
          </wp:inline>
        </w:drawing>
      </w:r>
    </w:p>
    <w:sectPr w:rsidR="009257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02812">
    <w:abstractNumId w:val="8"/>
  </w:num>
  <w:num w:numId="2" w16cid:durableId="855191615">
    <w:abstractNumId w:val="6"/>
  </w:num>
  <w:num w:numId="3" w16cid:durableId="493766264">
    <w:abstractNumId w:val="5"/>
  </w:num>
  <w:num w:numId="4" w16cid:durableId="1840198390">
    <w:abstractNumId w:val="4"/>
  </w:num>
  <w:num w:numId="5" w16cid:durableId="2077163744">
    <w:abstractNumId w:val="7"/>
  </w:num>
  <w:num w:numId="6" w16cid:durableId="1993102287">
    <w:abstractNumId w:val="3"/>
  </w:num>
  <w:num w:numId="7" w16cid:durableId="1560480744">
    <w:abstractNumId w:val="2"/>
  </w:num>
  <w:num w:numId="8" w16cid:durableId="23215928">
    <w:abstractNumId w:val="1"/>
  </w:num>
  <w:num w:numId="9" w16cid:durableId="1575973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697F"/>
    <w:rsid w:val="009257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B9B96"/>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2026-05-20T14:25:00Z</dcterms:modified>
  <cp:category/>
</cp:coreProperties>
</file>