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189D" w:rsidRDefault="00000000">
      <w:pPr>
        <w:jc w:val="center"/>
      </w:pPr>
      <w:r>
        <w:rPr>
          <w:i/>
          <w:sz w:val="24"/>
        </w:rPr>
        <w:t>How GreyRadius Consulting helped a UAE government housing authority redesign citizen experience through integrated execution and digital coordination.</w:t>
      </w:r>
    </w:p>
    <w:p w:rsidR="00E2189D" w:rsidRDefault="00000000">
      <w:pPr>
        <w:pStyle w:val="Heading1"/>
      </w:pPr>
      <w:r>
        <w:t>Context</w:t>
      </w:r>
    </w:p>
    <w:p w:rsidR="00E2189D" w:rsidRDefault="00000000">
      <w:r>
        <w:t>A leading UAE government housing authority was under increasing pressure to improve citizen experience across housing applications, financing approvals, and support services.</w:t>
      </w:r>
      <w:r>
        <w:br/>
      </w:r>
      <w:r>
        <w:br/>
        <w:t>Leadership initially viewed the issue as a front-end service problem. Citizens were experiencing delays, fragmented communication, and inconsistent visibility across service stages. Digital adoption remained lower than expected despite significant investments in platforms and service channels.</w:t>
      </w:r>
      <w:r>
        <w:br/>
      </w:r>
      <w:r>
        <w:br/>
        <w:t>The risk extended beyond operational inefficiency. Public trust was beginning to erode as service turnaround times increased and cross-department coordination became more dependent on manual escalation and leadership intervention.</w:t>
      </w:r>
      <w:r>
        <w:br/>
      </w:r>
      <w:r>
        <w:br/>
        <w:t>At the surface level, the problem appeared to be about customer service responsiveness.</w:t>
      </w:r>
      <w:r>
        <w:br/>
      </w:r>
      <w:r>
        <w:br/>
        <w:t>The underlying issue was far more structural.</w:t>
      </w:r>
      <w:r>
        <w:br/>
      </w:r>
      <w:r>
        <w:br/>
        <w:t>The organization had scaled services faster than execution maturity.</w:t>
      </w:r>
    </w:p>
    <w:p w:rsidR="00E2189D" w:rsidRDefault="00000000">
      <w:pPr>
        <w:pStyle w:val="Heading1"/>
      </w:pPr>
      <w:r>
        <w:t>The Core Challenge</w:t>
      </w:r>
    </w:p>
    <w:p w:rsidR="00E2189D" w:rsidRDefault="00000000">
      <w:r>
        <w:t>The authority was operating through fragmented departmental workflows while citizens experienced the organization as a single service provider.</w:t>
      </w:r>
      <w:r>
        <w:br/>
      </w:r>
      <w:r>
        <w:br/>
        <w:t>Housing approvals, financing reviews, documentation checks, and support functions operated with disconnected ownership structures, inconsistent decision-routing logic, and limited execution visibility across departments.</w:t>
      </w:r>
      <w:r>
        <w:br/>
      </w:r>
      <w:r>
        <w:br/>
        <w:t>What leadership initially viewed as a digital adoption issue was actually an operating model problem.</w:t>
      </w:r>
      <w:r>
        <w:br/>
      </w:r>
      <w:r>
        <w:br/>
        <w:t>Citizen journeys were fragmented across branches, call centers, digital portals, and internal approval teams. Accountability was distributed, but ownership was unclear.</w:t>
      </w:r>
      <w:r>
        <w:br/>
      </w:r>
      <w:r>
        <w:br/>
        <w:t>As service volumes increased, execution dependency on manual coordination also increased.</w:t>
      </w:r>
      <w:r>
        <w:br/>
      </w:r>
      <w:r>
        <w:br/>
        <w:t>This created scaling friction across the organization:</w:t>
      </w:r>
      <w:r>
        <w:br/>
      </w:r>
      <w:r>
        <w:br/>
      </w:r>
      <w:r>
        <w:lastRenderedPageBreak/>
        <w:t>• Decision bottlenecks slowed approvals</w:t>
      </w:r>
      <w:r>
        <w:br/>
        <w:t>• Escalation dependency increased</w:t>
      </w:r>
      <w:r>
        <w:br/>
        <w:t>• Service visibility weakened across functions</w:t>
      </w:r>
      <w:r>
        <w:br/>
        <w:t>• Citizens received inconsistent updates across channels</w:t>
      </w:r>
      <w:r>
        <w:br/>
        <w:t>• Leadership lacked operational visibility into execution gaps</w:t>
      </w:r>
      <w:r>
        <w:br/>
      </w:r>
      <w:r>
        <w:br/>
        <w:t>The issue was not that systems did not exist.</w:t>
      </w:r>
      <w:r>
        <w:br/>
      </w:r>
      <w:r>
        <w:br/>
        <w:t>The issue was that execution was not integrated.</w:t>
      </w:r>
    </w:p>
    <w:p w:rsidR="00E2189D" w:rsidRDefault="00000000">
      <w:pPr>
        <w:pStyle w:val="Heading1"/>
      </w:pPr>
      <w:r>
        <w:t>The Decision Shift</w:t>
      </w:r>
    </w:p>
    <w:p w:rsidR="00E2189D" w:rsidRDefault="00000000">
      <w:r>
        <w:t>The authority stopped treating citizen experience as a service-layer challenge and started treating it as an execution architecture problem.</w:t>
      </w:r>
      <w:r>
        <w:br/>
      </w:r>
      <w:r>
        <w:br/>
        <w:t>This became the turning point.</w:t>
      </w:r>
      <w:r>
        <w:br/>
      </w:r>
      <w:r>
        <w:br/>
        <w:t>Leadership recognized that improving citizen experience required redesigning how decisions moved across the organization — not simply digitizing interfaces.</w:t>
      </w:r>
      <w:r>
        <w:br/>
      </w:r>
      <w:r>
        <w:br/>
        <w:t>The focus shifted from isolated service improvements to building an integrated citizen-centric operating model with execution governance embedded into daily operations.</w:t>
      </w:r>
      <w:r>
        <w:br/>
      </w:r>
      <w:r>
        <w:br/>
        <w:t>The strategic realization was clear:</w:t>
      </w:r>
      <w:r>
        <w:br/>
      </w:r>
      <w:r>
        <w:br/>
        <w:t>Digital experience improves only when execution coordination improves underneath it.</w:t>
      </w:r>
      <w:r>
        <w:br/>
      </w:r>
      <w:r>
        <w:br/>
        <w:t>Instead of optimizing individual departments, the organization began aligning workflows, ownership structures, routing logic, and SLA accountability around complete citizen journeys.</w:t>
      </w:r>
    </w:p>
    <w:p w:rsidR="00E2189D" w:rsidRDefault="00000000">
      <w:pPr>
        <w:pStyle w:val="Heading1"/>
      </w:pPr>
      <w:r>
        <w:t>What Changed in Execution</w:t>
      </w:r>
    </w:p>
    <w:p w:rsidR="00E2189D" w:rsidRDefault="00000000">
      <w:r>
        <w:t>The operating model moved away from siloed departmental execution toward unified cross-functional service coordination.</w:t>
      </w:r>
      <w:r>
        <w:br/>
      </w:r>
      <w:r>
        <w:br/>
        <w:t>Citizen workflows were redesigned around end-to-end journey ownership rather than individual departmental tasks. This reduced execution fragmentation and improved visibility across approval stages.</w:t>
      </w:r>
      <w:r>
        <w:br/>
      </w:r>
      <w:r>
        <w:br/>
        <w:t>Manual approval dependency was replaced with digitally tracked routing structures supported by SLA-based escalation logic. Decision-making became more structured, measurable, and time-bound.</w:t>
      </w:r>
      <w:r>
        <w:br/>
      </w:r>
      <w:r>
        <w:lastRenderedPageBreak/>
        <w:br/>
        <w:t>Fragmented communication channels were consolidated into a centralized digital engagement ecosystem, improving consistency in citizen interaction and reducing coordination gaps between service teams.</w:t>
      </w:r>
      <w:r>
        <w:br/>
      </w:r>
      <w:r>
        <w:br/>
        <w:t>Execution governance also became more formalized.</w:t>
      </w:r>
      <w:r>
        <w:br/>
      </w:r>
      <w:r>
        <w:br/>
        <w:t>Journey ownership was embedded across departments, creating clearer accountability structures and reducing leadership dependency for routine coordination decisions.</w:t>
      </w:r>
      <w:r>
        <w:br/>
      </w:r>
      <w:r>
        <w:br/>
        <w:t>Instead of reactive escalation management, the authority began operating through execution visibility, structured workflows, and coordinated decision-routing.</w:t>
      </w:r>
      <w:r>
        <w:br/>
      </w:r>
      <w:r>
        <w:br/>
        <w:t>This improved operational predictability without increasing organizational complexity.</w:t>
      </w:r>
    </w:p>
    <w:p w:rsidR="00E2189D" w:rsidRDefault="00000000">
      <w:pPr>
        <w:pStyle w:val="Heading1"/>
      </w:pPr>
      <w:r>
        <w:t>Business Impact Delivered</w:t>
      </w:r>
    </w:p>
    <w:p w:rsidR="00E2189D" w:rsidRDefault="00000000">
      <w:r>
        <w:t>The redesign significantly reduced execution friction across high-volume citizen service journeys.</w:t>
      </w:r>
      <w:r>
        <w:br/>
      </w:r>
      <w:r>
        <w:br/>
        <w:t>Approval timelines that previously ranged between six and twelve weeks were reduced to under four weeks through more coordinated routing and faster decision execution.</w:t>
      </w:r>
      <w:r>
        <w:br/>
      </w:r>
      <w:r>
        <w:br/>
        <w:t>Process cycle times across redesigned workflows declined by 30–50%, improving responsiveness across housing and financing services.</w:t>
      </w:r>
      <w:r>
        <w:br/>
      </w:r>
      <w:r>
        <w:br/>
        <w:t>More than 60 citizen touchpoints were consolidated into structured digital workflows, improving engagement consistency and reducing communication fragmentation.</w:t>
      </w:r>
      <w:r>
        <w:br/>
      </w:r>
      <w:r>
        <w:br/>
        <w:t>Beyond operational metrics, the authority gained something more important: execution scalability.</w:t>
      </w:r>
      <w:r>
        <w:br/>
      </w:r>
      <w:r>
        <w:br/>
        <w:t>Cross-functional coordination became less dependent on manual intervention. Citizens experienced greater visibility across application stages. Leadership gained clearer insight into bottlenecks, ownership gaps, and execution delays.</w:t>
      </w:r>
      <w:r>
        <w:br/>
      </w:r>
      <w:r>
        <w:br/>
        <w:t>The organization moved from reactive service management to more predictable execution governance.</w:t>
      </w:r>
    </w:p>
    <w:p w:rsidR="00E2189D" w:rsidRDefault="00000000">
      <w:pPr>
        <w:pStyle w:val="Heading1"/>
      </w:pPr>
      <w:r>
        <w:t>Key Outcomes</w:t>
      </w:r>
    </w:p>
    <w:p w:rsidR="00E2189D" w:rsidRDefault="00000000">
      <w:r>
        <w:t>• Approval timelines reduced from 6–12 weeks to under 4 weeks</w:t>
      </w:r>
      <w:r>
        <w:br/>
        <w:t>• 30–50% reduction in cycle times across redesigned citizen journeys</w:t>
      </w:r>
      <w:r>
        <w:br/>
      </w:r>
      <w:r>
        <w:lastRenderedPageBreak/>
        <w:t>• 60+ fragmented touchpoints consolidated into structured workflows</w:t>
      </w:r>
      <w:r>
        <w:br/>
        <w:t>• Improved execution visibility across departments</w:t>
      </w:r>
      <w:r>
        <w:br/>
        <w:t>• Reduced escalation dependency and coordination friction</w:t>
      </w:r>
      <w:r>
        <w:br/>
        <w:t>• Greater consistency in digital citizen engagement</w:t>
      </w:r>
      <w:r>
        <w:br/>
        <w:t>• Stronger operating alignment across housing, financing, and support functions</w:t>
      </w:r>
      <w:r>
        <w:br/>
      </w:r>
      <w:r>
        <w:br/>
        <w:t>Public-sector digital transformation often fails because organizations digitize interfaces without redesigning execution underneath them.</w:t>
      </w:r>
      <w:r>
        <w:br/>
      </w:r>
      <w:r>
        <w:br/>
        <w:t>Citizen experience is rarely a front-end problem alone.</w:t>
      </w:r>
      <w:r>
        <w:br/>
      </w:r>
      <w:r>
        <w:br/>
        <w:t>As service complexity increases, execution maturity becomes the real determinant of trust, responsiveness, and scalability.</w:t>
      </w:r>
    </w:p>
    <w:p w:rsidR="004A71D5" w:rsidRDefault="004A71D5"/>
    <w:p w:rsidR="004A71D5" w:rsidRDefault="004A71D5"/>
    <w:p w:rsidR="004A71D5" w:rsidRDefault="004A71D5">
      <w:r>
        <w:rPr>
          <w:noProof/>
        </w:rPr>
        <w:drawing>
          <wp:inline distT="0" distB="0" distL="0" distR="0">
            <wp:extent cx="5486400" cy="2611755"/>
            <wp:effectExtent l="0" t="0" r="0" b="4445"/>
            <wp:docPr id="1772018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8231" name="Picture 17720182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1D5" w:rsidRDefault="004A71D5">
      <w:r>
        <w:rPr>
          <w:noProof/>
        </w:rPr>
        <w:lastRenderedPageBreak/>
        <w:drawing>
          <wp:inline distT="0" distB="0" distL="0" distR="0">
            <wp:extent cx="5486400" cy="2743200"/>
            <wp:effectExtent l="0" t="0" r="0" b="0"/>
            <wp:docPr id="8133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8577" name="Picture 8133185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597400" cy="3111500"/>
            <wp:effectExtent l="0" t="0" r="0" b="0"/>
            <wp:docPr id="1560592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92444" name="Picture 15605924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22700" cy="2146300"/>
            <wp:effectExtent l="0" t="0" r="0" b="0"/>
            <wp:docPr id="1221715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5840" name="Picture 12217158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271596">
    <w:abstractNumId w:val="8"/>
  </w:num>
  <w:num w:numId="2" w16cid:durableId="2064057607">
    <w:abstractNumId w:val="6"/>
  </w:num>
  <w:num w:numId="3" w16cid:durableId="1794791748">
    <w:abstractNumId w:val="5"/>
  </w:num>
  <w:num w:numId="4" w16cid:durableId="1934433077">
    <w:abstractNumId w:val="4"/>
  </w:num>
  <w:num w:numId="5" w16cid:durableId="983852536">
    <w:abstractNumId w:val="7"/>
  </w:num>
  <w:num w:numId="6" w16cid:durableId="618335818">
    <w:abstractNumId w:val="3"/>
  </w:num>
  <w:num w:numId="7" w16cid:durableId="1428161743">
    <w:abstractNumId w:val="2"/>
  </w:num>
  <w:num w:numId="8" w16cid:durableId="325400677">
    <w:abstractNumId w:val="1"/>
  </w:num>
  <w:num w:numId="9" w16cid:durableId="209677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1D5"/>
    <w:rsid w:val="00AA1D8D"/>
    <w:rsid w:val="00B47730"/>
    <w:rsid w:val="00CB0664"/>
    <w:rsid w:val="00E21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A03E0"/>
  <w14:defaultImageDpi w14:val="300"/>
  <w15:docId w15:val="{22E01E3C-DE54-DB49-927E-E04243BB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</cp:lastModifiedBy>
  <cp:revision>2</cp:revision>
  <dcterms:created xsi:type="dcterms:W3CDTF">2013-12-23T23:15:00Z</dcterms:created>
  <dcterms:modified xsi:type="dcterms:W3CDTF">2026-05-20T14:29:00Z</dcterms:modified>
  <cp:category/>
</cp:coreProperties>
</file>