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4355" w:rsidRDefault="00000000" w:rsidP="004B0F18">
      <w:pPr>
        <w:pStyle w:val="Heading1"/>
      </w:pPr>
      <w:r>
        <w:t>How GreyRadius Consulting helped an industrial metals manufacturer build a phased international expansion model for South East Asia.</w:t>
      </w:r>
    </w:p>
    <w:p w:rsidR="006B4355" w:rsidRDefault="00000000">
      <w:pPr>
        <w:pStyle w:val="Heading1"/>
      </w:pPr>
      <w:r>
        <w:t>Context</w:t>
      </w:r>
    </w:p>
    <w:p w:rsidR="006B4355" w:rsidRDefault="00000000">
      <w:r>
        <w:t>An industrial metals manufacturer operating in the alloy and ferro metals segment was preparing for aggressive international expansion across South East Asia. Regional demand indicators appeared attractive. Industrial growth across steel, infrastructure, manufacturing, and downstream processing sectors created the perception that rapid multi-country expansion could accelerate scale.</w:t>
      </w:r>
      <w:r>
        <w:br/>
      </w:r>
      <w:r>
        <w:br/>
        <w:t>Leadership initially viewed the expansion challenge as a market access problem.</w:t>
      </w:r>
      <w:r>
        <w:br/>
      </w:r>
      <w:r>
        <w:br/>
        <w:t>The assumption was straightforward: demand existed across the region, so faster regional presence would naturally convert into commercial growth.</w:t>
      </w:r>
      <w:r>
        <w:br/>
      </w:r>
      <w:r>
        <w:br/>
        <w:t>But underneath the growth ambition, the business lacked clarity on where execution viability actually existed.</w:t>
      </w:r>
      <w:r>
        <w:br/>
      </w:r>
      <w:r>
        <w:br/>
        <w:t>Trade economics varied significantly across countries. Import dependency patterns were inconsistent. Distributor ecosystems differed market by market. Industrial demand concentration was uneven. More importantly, the organization was underestimating the operating complexity required to scale across multiple industrial markets simultaneously.</w:t>
      </w:r>
      <w:r>
        <w:br/>
      </w:r>
      <w:r>
        <w:br/>
        <w:t>What appeared to be a regional growth opportunity was becoming an execution dependency risk.</w:t>
      </w:r>
    </w:p>
    <w:p w:rsidR="006B4355" w:rsidRDefault="00000000">
      <w:pPr>
        <w:pStyle w:val="Heading1"/>
      </w:pPr>
      <w:r>
        <w:t>The Core Challenge</w:t>
      </w:r>
    </w:p>
    <w:p w:rsidR="006B4355" w:rsidRDefault="00000000">
      <w:r>
        <w:t>The surface problem was framed as identifying the “best” markets for expansion.</w:t>
      </w:r>
      <w:r>
        <w:br/>
      </w:r>
      <w:r>
        <w:br/>
        <w:t>The real structural issue was different.</w:t>
      </w:r>
      <w:r>
        <w:br/>
      </w:r>
      <w:r>
        <w:br/>
        <w:t>The company was evaluating expansion through a macro-demand lens instead of an execution-readiness lens.</w:t>
      </w:r>
      <w:r>
        <w:br/>
      </w:r>
      <w:r>
        <w:br/>
        <w:t>Regional demand visibility created false confidence. Leadership teams were grouping South East Asia into a single commercial opportunity despite substantial differences in industrial maturity, trade barriers, pricing behavior, logistics economics, and buyer relationships across countries.</w:t>
      </w:r>
      <w:r>
        <w:br/>
      </w:r>
      <w:r>
        <w:br/>
      </w:r>
      <w:r>
        <w:lastRenderedPageBreak/>
        <w:t>This created scaling friction before execution had even begun.</w:t>
      </w:r>
      <w:r>
        <w:br/>
      </w:r>
      <w:r>
        <w:br/>
        <w:t>A simultaneous multi-country approach would have introduced fragmented ownership, leadership dependency, reactive coordination, and uneven commercial execution. Capital allocation decisions were also being shaped by projected capacity utilization assumptions rather than verified downstream demand concentration.</w:t>
      </w:r>
      <w:r>
        <w:br/>
      </w:r>
      <w:r>
        <w:br/>
        <w:t>The business risk was not failed expansion.</w:t>
      </w:r>
      <w:r>
        <w:br/>
      </w:r>
      <w:r>
        <w:br/>
        <w:t>The larger risk was slow, capital-intensive expansion that consumed management attention without creating scalable market depth.</w:t>
      </w:r>
      <w:r>
        <w:br/>
      </w:r>
      <w:r>
        <w:br/>
        <w:t>Expansion speed was beginning to outpace execution maturity.</w:t>
      </w:r>
    </w:p>
    <w:p w:rsidR="006B4355" w:rsidRDefault="00000000">
      <w:pPr>
        <w:pStyle w:val="Heading1"/>
      </w:pPr>
      <w:r>
        <w:t>The Decision Shift</w:t>
      </w:r>
    </w:p>
    <w:p w:rsidR="006B4355" w:rsidRDefault="00000000">
      <w:r>
        <w:t>The strategic realization was that international expansion was not fundamentally a geography problem.</w:t>
      </w:r>
      <w:r>
        <w:br/>
      </w:r>
      <w:r>
        <w:br/>
        <w:t>It was an execution sequencing problem.</w:t>
      </w:r>
      <w:r>
        <w:br/>
      </w:r>
      <w:r>
        <w:br/>
        <w:t>The company stopped treating South East Asia as a broad regional opportunity and started treating it as a portfolio of highly different industrial operating environments.</w:t>
      </w:r>
      <w:r>
        <w:br/>
      </w:r>
      <w:r>
        <w:br/>
        <w:t>This changed the expansion logic entirely.</w:t>
      </w:r>
      <w:r>
        <w:br/>
      </w:r>
      <w:r>
        <w:br/>
        <w:t>Instead of prioritizing visibility across multiple countries, the business shifted toward prioritizing markets where trade economics, import dependency, industrial demand density, distributor capability, and execution readiness aligned simultaneously.</w:t>
      </w:r>
      <w:r>
        <w:br/>
      </w:r>
      <w:r>
        <w:br/>
        <w:t>Leadership also reframed scale expectations.</w:t>
      </w:r>
      <w:r>
        <w:br/>
      </w:r>
      <w:r>
        <w:br/>
        <w:t>The focus moved away from capacity-led expansion assumptions toward demand-led scaling triggers. Market entry was no longer viewed as a linear rollout exercise. It became a staged commercial scaling model built around operational absorption capacity and execution governance.</w:t>
      </w:r>
      <w:r>
        <w:br/>
      </w:r>
      <w:r>
        <w:br/>
        <w:t>That shift reduced strategic noise across the organization.</w:t>
      </w:r>
      <w:r>
        <w:br/>
      </w:r>
      <w:r>
        <w:br/>
        <w:t>Expansion decisions became more disciplined, commercially grounded, and operationally realistic.</w:t>
      </w:r>
    </w:p>
    <w:p w:rsidR="006B4355" w:rsidRDefault="00000000">
      <w:pPr>
        <w:pStyle w:val="Heading1"/>
      </w:pPr>
      <w:r>
        <w:lastRenderedPageBreak/>
        <w:t>What Changed in Execution</w:t>
      </w:r>
    </w:p>
    <w:p w:rsidR="006B4355" w:rsidRDefault="00000000">
      <w:r>
        <w:t>The organization moved from broad regional targeting to phased market-entry sequencing.</w:t>
      </w:r>
      <w:r>
        <w:br/>
      </w:r>
      <w:r>
        <w:br/>
        <w:t>Instead of spreading leadership bandwidth across multiple geographies, expansion ownership became concentrated around a smaller number of commercially viable entry markets with stronger downstream industrial alignment.</w:t>
      </w:r>
      <w:r>
        <w:br/>
      </w:r>
      <w:r>
        <w:br/>
        <w:t>Commercial decision-making also changed materially.</w:t>
      </w:r>
      <w:r>
        <w:br/>
      </w:r>
      <w:r>
        <w:br/>
        <w:t>Country-level engagement models replaced centralized regional selling assumptions. Distributor strategy, pricing logic, and industrial account prioritization became market-specific rather than regionally standardized.</w:t>
      </w:r>
      <w:r>
        <w:br/>
      </w:r>
      <w:r>
        <w:br/>
        <w:t>This improved execution visibility significantly.</w:t>
      </w:r>
      <w:r>
        <w:br/>
      </w:r>
      <w:r>
        <w:br/>
        <w:t>Leadership teams gained clearer understanding of where industrial demand was structurally sustainable versus where opportunity was largely speculative or relationship-dependent.</w:t>
      </w:r>
      <w:r>
        <w:br/>
      </w:r>
      <w:r>
        <w:br/>
        <w:t>The business also introduced demand-linked scaling discipline.</w:t>
      </w:r>
      <w:r>
        <w:br/>
      </w:r>
      <w:r>
        <w:br/>
        <w:t>Capacity expansion assumptions were tied to measurable commercial traction indicators rather than projected market optimism. This reduced the likelihood of premature infrastructure commitments and improved expansion predictability.</w:t>
      </w:r>
      <w:r>
        <w:br/>
      </w:r>
      <w:r>
        <w:br/>
        <w:t>Operational coordination improved as well.</w:t>
      </w:r>
      <w:r>
        <w:br/>
      </w:r>
      <w:r>
        <w:br/>
        <w:t>Cross-functional alignment between commercial, supply chain, and expansion leadership became more structured because market prioritization decisions were now tied to execution feasibility rather than top-line ambition alone.</w:t>
      </w:r>
      <w:r>
        <w:br/>
      </w:r>
      <w:r>
        <w:br/>
        <w:t>The organization became more selective, but substantially more scalable.</w:t>
      </w:r>
    </w:p>
    <w:p w:rsidR="006B4355" w:rsidRDefault="00000000">
      <w:pPr>
        <w:pStyle w:val="Heading1"/>
      </w:pPr>
      <w:r>
        <w:t>Business Impact Delivered</w:t>
      </w:r>
    </w:p>
    <w:p w:rsidR="006B4355" w:rsidRDefault="00000000">
      <w:r>
        <w:t>The expansion roadmap became commercially sharper and operationally more realistic.</w:t>
      </w:r>
      <w:r>
        <w:br/>
      </w:r>
      <w:r>
        <w:br/>
        <w:t>Instead of pursuing broad regional presence, the company identified a smaller set of high-potential entry markets where industrial demand patterns, import economics, and distributor readiness created stronger execution viability.</w:t>
      </w:r>
      <w:r>
        <w:br/>
      </w:r>
      <w:r>
        <w:br/>
        <w:t>This reduced expansion-related uncertainty across leadership teams and improved investment prioritization clarity.</w:t>
      </w:r>
      <w:r>
        <w:br/>
      </w:r>
      <w:r>
        <w:lastRenderedPageBreak/>
        <w:br/>
        <w:t>Potential capital exposure linked to premature market expansion reduced materially because scale decisions became tied to demand validation instead of speculative regional projections.</w:t>
      </w:r>
      <w:r>
        <w:br/>
      </w:r>
      <w:r>
        <w:br/>
        <w:t>The organization also improved execution predictability.</w:t>
      </w:r>
      <w:r>
        <w:br/>
      </w:r>
      <w:r>
        <w:br/>
        <w:t>Leadership attention became more focused. Commercial coordination improved. Expansion governance became easier to manage because scaling complexity was introduced in phases rather than all at once.</w:t>
      </w:r>
      <w:r>
        <w:br/>
      </w:r>
      <w:r>
        <w:br/>
        <w:t>Most importantly, the company built a repeatable international growth model instead of a fragmented expansion effort.</w:t>
      </w:r>
    </w:p>
    <w:p w:rsidR="006B4355" w:rsidRDefault="00000000">
      <w:pPr>
        <w:pStyle w:val="Heading1"/>
      </w:pPr>
      <w:r>
        <w:t>Key Outcomes</w:t>
      </w:r>
    </w:p>
    <w:p w:rsidR="006B4355" w:rsidRDefault="00000000">
      <w:r>
        <w:t>• Reduced market prioritization uncertainty by 40–50%</w:t>
      </w:r>
      <w:r>
        <w:br/>
        <w:t>• Identified 2–3 high-potential markets for phased international entry</w:t>
      </w:r>
      <w:r>
        <w:br/>
        <w:t>• Reduced potential expansion-related capital exposure by 20–30%</w:t>
      </w:r>
      <w:r>
        <w:br/>
        <w:t>• Improved execution visibility across commercial and operational decision-making</w:t>
      </w:r>
      <w:r>
        <w:br/>
        <w:t>• Built a demand-led international scaling roadmap with phased execution triggers</w:t>
      </w:r>
      <w:r>
        <w:br/>
      </w:r>
      <w:r>
        <w:br/>
        <w:t>International expansion often fails long before market entry begins.</w:t>
      </w:r>
      <w:r>
        <w:br/>
      </w:r>
      <w:r>
        <w:br/>
        <w:t>The real breakdown usually happens when regional opportunity size gets mistaken for execution readiness.</w:t>
      </w:r>
      <w:r>
        <w:br/>
      </w:r>
      <w:r>
        <w:br/>
        <w:t>Growth can absorb strategic ambiguity for a while. International scale cannot.</w:t>
      </w:r>
    </w:p>
    <w:sectPr w:rsidR="006B43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213940">
    <w:abstractNumId w:val="8"/>
  </w:num>
  <w:num w:numId="2" w16cid:durableId="826166455">
    <w:abstractNumId w:val="6"/>
  </w:num>
  <w:num w:numId="3" w16cid:durableId="1871138596">
    <w:abstractNumId w:val="5"/>
  </w:num>
  <w:num w:numId="4" w16cid:durableId="1235972358">
    <w:abstractNumId w:val="4"/>
  </w:num>
  <w:num w:numId="5" w16cid:durableId="1882941662">
    <w:abstractNumId w:val="7"/>
  </w:num>
  <w:num w:numId="6" w16cid:durableId="1292440210">
    <w:abstractNumId w:val="3"/>
  </w:num>
  <w:num w:numId="7" w16cid:durableId="1691638828">
    <w:abstractNumId w:val="2"/>
  </w:num>
  <w:num w:numId="8" w16cid:durableId="1197238684">
    <w:abstractNumId w:val="1"/>
  </w:num>
  <w:num w:numId="9" w16cid:durableId="82243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F18"/>
    <w:rsid w:val="006B43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BB400"/>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2026-05-20T13:27:00Z</dcterms:modified>
  <cp:category/>
</cp:coreProperties>
</file>