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221BA4" w:rsidRDefault="00000000">
      <w:pPr>
        <w:jc w:val="center"/>
      </w:pPr>
      <w:r>
        <w:rPr>
          <w:i/>
          <w:sz w:val="24"/>
        </w:rPr>
        <w:t>How GreyRadius helped a coal material handling company rethink transport infrastructure for safer, cleaner, high-volume mining operations.</w:t>
      </w:r>
    </w:p>
    <w:p w:rsidR="00221BA4" w:rsidRDefault="00000000">
      <w:pPr>
        <w:pStyle w:val="Heading1"/>
      </w:pPr>
      <w:r>
        <w:t>Context</w:t>
      </w:r>
    </w:p>
    <w:p w:rsidR="00221BA4" w:rsidRDefault="00000000">
      <w:r>
        <w:t>India’s coal mining operations are increasingly defined by scale pressure. Extraction capacity alone is no longer enough. Large-volume mining depends on whether material movement can keep pace without creating operational losses, environmental exposure, or avoidable downtime.</w:t>
      </w:r>
    </w:p>
    <w:p w:rsidR="00221BA4" w:rsidRDefault="00000000">
      <w:r>
        <w:t>For the company, coal handling had become a critical infrastructure question. The visible issue was transport inefficiency. Coal movement across high-volume zones was exposed, fragmented, and increasingly difficult to manage as volumes increased.</w:t>
      </w:r>
    </w:p>
    <w:p w:rsidR="00221BA4" w:rsidRDefault="00000000">
      <w:r>
        <w:t>Leadership initially saw this as an operational improvement problem. The deeper issue was different: the existing coal transport model was not built for scale. Open movement systems created material loss, dust exposure, coordination gaps, and reliability risks that would compound as production increased.</w:t>
      </w:r>
    </w:p>
    <w:p w:rsidR="00221BA4" w:rsidRDefault="00000000">
      <w:pPr>
        <w:pStyle w:val="Heading1"/>
      </w:pPr>
      <w:r>
        <w:t>The Core Challenge</w:t>
      </w:r>
    </w:p>
    <w:p w:rsidR="00221BA4" w:rsidRDefault="00000000">
      <w:r>
        <w:t>The surface problem was inefficient coal transport.</w:t>
      </w:r>
    </w:p>
    <w:p w:rsidR="00221BA4" w:rsidRDefault="00000000">
      <w:r>
        <w:t>The real structural issue was that material handling infrastructure had become a constraint on mining scalability.</w:t>
      </w:r>
    </w:p>
    <w:p w:rsidR="00221BA4" w:rsidRDefault="00000000">
      <w:r>
        <w:t>Open conveyor movement exposed the business to three linked risks: loss of material during transport, higher environmental exposure, and downtime from fragmented handling flows. These were not isolated operating issues. They were symptoms of an infrastructure model that lacked control, continuity, and long-term capacity alignment.</w:t>
      </w:r>
    </w:p>
    <w:p w:rsidR="00221BA4" w:rsidRDefault="00000000">
      <w:r>
        <w:t>As mining volumes increased, the old system created more execution dependency. Handling performance relied too heavily on reactive coordination rather than controlled infrastructure design. This made reliability harder to sustain and environmental risk harder to manage.</w:t>
      </w:r>
    </w:p>
    <w:p w:rsidR="00221BA4" w:rsidRDefault="00000000">
      <w:pPr>
        <w:pStyle w:val="Heading1"/>
      </w:pPr>
      <w:r>
        <w:t>The Decision Shift</w:t>
      </w:r>
    </w:p>
    <w:p w:rsidR="00221BA4" w:rsidRDefault="00000000">
      <w:r>
        <w:t>The company stopped treating coal transport as a movement problem and started treating it as a scalability infrastructure problem.</w:t>
      </w:r>
    </w:p>
    <w:p w:rsidR="00221BA4" w:rsidRDefault="00000000">
      <w:r>
        <w:t>The shift was from conventional open handling to an enclosed, automation-aligned transport model designed around operational continuity, environmental control, and high-volume handling efficiency.</w:t>
      </w:r>
    </w:p>
    <w:p w:rsidR="00221BA4" w:rsidRDefault="00000000">
      <w:r>
        <w:lastRenderedPageBreak/>
        <w:t>This reframed the business decision. The objective was no longer only to move coal faster. It was to reduce loss, control exposure, and create a transport system that could support future mining scale without adding avoidable operating friction.</w:t>
      </w:r>
    </w:p>
    <w:p w:rsidR="00221BA4" w:rsidRDefault="00000000">
      <w:pPr>
        <w:pStyle w:val="Heading1"/>
      </w:pPr>
      <w:r>
        <w:t>What Changed in Execution</w:t>
      </w:r>
    </w:p>
    <w:p w:rsidR="00221BA4" w:rsidRDefault="00000000">
      <w:r>
        <w:t>Execution moved from fragmented material movement to integrated transport flow design.</w:t>
      </w:r>
    </w:p>
    <w:p w:rsidR="00221BA4" w:rsidRDefault="00000000">
      <w:r>
        <w:t>Coal handling infrastructure shifted from open conveyor exposure to enclosed movement systems, reducing dust leakage and material loss during transport. Handling routes were aligned around continuity rather than disconnected transfer points.</w:t>
      </w:r>
    </w:p>
    <w:p w:rsidR="00221BA4" w:rsidRDefault="00000000">
      <w:r>
        <w:t>Capacity planning also changed. Instead of designing for immediate movement needs, the transport infrastructure was aligned with long-term mining volume requirements. This created stronger visibility across high-volume movement zones and reduced dependency on reactive operational fixes.</w:t>
      </w:r>
    </w:p>
    <w:p w:rsidR="00221BA4" w:rsidRDefault="00000000">
      <w:r>
        <w:t>The operating model became more controlled, predictable, and scalable.</w:t>
      </w:r>
    </w:p>
    <w:p w:rsidR="00221BA4" w:rsidRDefault="00000000">
      <w:pPr>
        <w:pStyle w:val="Heading1"/>
      </w:pPr>
      <w:r>
        <w:t>Business Impact Delivered</w:t>
      </w:r>
    </w:p>
    <w:p w:rsidR="00221BA4" w:rsidRDefault="00000000">
      <w:r>
        <w:t>The business gained stronger material handling reliability across large-volume operations.</w:t>
      </w:r>
    </w:p>
    <w:p w:rsidR="00221BA4" w:rsidRDefault="00000000">
      <w:r>
        <w:t>Coal loss during transport was reduced. Dust and environmental exposure were lowered through controlled handling systems. Movement continuity improved across critical transport zones, reducing the risk of operational disruption.</w:t>
      </w:r>
    </w:p>
    <w:p w:rsidR="00221BA4" w:rsidRDefault="00000000">
      <w:r>
        <w:t>More importantly, the company strengthened its ability to scale mining operations without allowing coal movement infrastructure to become the bottleneck.</w:t>
      </w:r>
    </w:p>
    <w:p w:rsidR="00221BA4" w:rsidRDefault="00000000">
      <w:pPr>
        <w:pStyle w:val="Heading1"/>
      </w:pPr>
      <w:r>
        <w:t>Key Outcomes</w:t>
      </w:r>
    </w:p>
    <w:p w:rsidR="00221BA4" w:rsidRDefault="00000000">
      <w:r>
        <w:t>• Reduced coal material loss during transport operations</w:t>
      </w:r>
    </w:p>
    <w:p w:rsidR="00221BA4" w:rsidRDefault="00000000">
      <w:r>
        <w:t>• Improved handling continuity across high-volume movement zones</w:t>
      </w:r>
    </w:p>
    <w:p w:rsidR="00221BA4" w:rsidRDefault="00000000">
      <w:r>
        <w:t>• Lowered dust and environmental exposure across transport infrastructure</w:t>
      </w:r>
    </w:p>
    <w:p w:rsidR="00221BA4" w:rsidRDefault="00000000">
      <w:r>
        <w:t>• Strengthened reliability of large-scale coal movement systems</w:t>
      </w:r>
    </w:p>
    <w:p w:rsidR="00221BA4" w:rsidRDefault="00000000">
      <w:r>
        <w:t>• Improved infrastructure readiness for long-term mining scale</w:t>
      </w:r>
    </w:p>
    <w:p w:rsidR="001B777D" w:rsidRDefault="00000000">
      <w:r>
        <w:t>Large-scale mining does not break only at extraction capacity. It breaks when the infrastructure that supports movement, control, and continuity cannot scale with production. In coal handling, reliability is not an operational detail — it is a growth constraint.</w:t>
      </w:r>
    </w:p>
    <w:p w:rsidR="001B777D" w:rsidRDefault="001B777D"/>
    <w:p w:rsidR="001B777D" w:rsidRDefault="001B777D"/>
    <w:p w:rsidR="00221BA4" w:rsidRDefault="001B777D">
      <w:r>
        <w:rPr>
          <w:noProof/>
        </w:rPr>
        <w:drawing>
          <wp:inline distT="0" distB="0" distL="0" distR="0">
            <wp:extent cx="5486400" cy="3082925"/>
            <wp:effectExtent l="0" t="0" r="0" b="3175"/>
            <wp:docPr id="179457604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4576046" name="Picture 1794576046"/>
                    <pic:cNvPicPr/>
                  </pic:nvPicPr>
                  <pic:blipFill>
                    <a:blip r:embed="rId6"/>
                    <a:stretch>
                      <a:fillRect/>
                    </a:stretch>
                  </pic:blipFill>
                  <pic:spPr>
                    <a:xfrm>
                      <a:off x="0" y="0"/>
                      <a:ext cx="5486400" cy="3082925"/>
                    </a:xfrm>
                    <a:prstGeom prst="rect">
                      <a:avLst/>
                    </a:prstGeom>
                  </pic:spPr>
                </pic:pic>
              </a:graphicData>
            </a:graphic>
          </wp:inline>
        </w:drawing>
      </w:r>
      <w:r>
        <w:rPr>
          <w:noProof/>
        </w:rPr>
        <w:drawing>
          <wp:inline distT="0" distB="0" distL="0" distR="0">
            <wp:extent cx="5486400" cy="3082925"/>
            <wp:effectExtent l="0" t="0" r="0" b="3175"/>
            <wp:docPr id="8024018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0240186" name="Picture 80240186"/>
                    <pic:cNvPicPr/>
                  </pic:nvPicPr>
                  <pic:blipFill>
                    <a:blip r:embed="rId7"/>
                    <a:stretch>
                      <a:fillRect/>
                    </a:stretch>
                  </pic:blipFill>
                  <pic:spPr>
                    <a:xfrm>
                      <a:off x="0" y="0"/>
                      <a:ext cx="5486400" cy="3082925"/>
                    </a:xfrm>
                    <a:prstGeom prst="rect">
                      <a:avLst/>
                    </a:prstGeom>
                  </pic:spPr>
                </pic:pic>
              </a:graphicData>
            </a:graphic>
          </wp:inline>
        </w:drawing>
      </w:r>
      <w:r>
        <w:rPr>
          <w:noProof/>
        </w:rPr>
        <w:lastRenderedPageBreak/>
        <w:drawing>
          <wp:inline distT="0" distB="0" distL="0" distR="0">
            <wp:extent cx="5486400" cy="7315200"/>
            <wp:effectExtent l="0" t="0" r="0" b="0"/>
            <wp:docPr id="98850562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505624" name="Picture 988505624"/>
                    <pic:cNvPicPr/>
                  </pic:nvPicPr>
                  <pic:blipFill>
                    <a:blip r:embed="rId8"/>
                    <a:stretch>
                      <a:fillRect/>
                    </a:stretch>
                  </pic:blipFill>
                  <pic:spPr>
                    <a:xfrm>
                      <a:off x="0" y="0"/>
                      <a:ext cx="5486400" cy="7315200"/>
                    </a:xfrm>
                    <a:prstGeom prst="rect">
                      <a:avLst/>
                    </a:prstGeom>
                  </pic:spPr>
                </pic:pic>
              </a:graphicData>
            </a:graphic>
          </wp:inline>
        </w:drawing>
      </w:r>
      <w:r>
        <w:rPr>
          <w:noProof/>
        </w:rPr>
        <w:lastRenderedPageBreak/>
        <w:drawing>
          <wp:inline distT="0" distB="0" distL="0" distR="0">
            <wp:extent cx="5486400" cy="4114800"/>
            <wp:effectExtent l="0" t="0" r="0" b="0"/>
            <wp:docPr id="209468648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4686483" name="Picture 2094686483"/>
                    <pic:cNvPicPr/>
                  </pic:nvPicPr>
                  <pic:blipFill>
                    <a:blip r:embed="rId9"/>
                    <a:stretch>
                      <a:fillRect/>
                    </a:stretch>
                  </pic:blipFill>
                  <pic:spPr>
                    <a:xfrm>
                      <a:off x="0" y="0"/>
                      <a:ext cx="5486400" cy="4114800"/>
                    </a:xfrm>
                    <a:prstGeom prst="rect">
                      <a:avLst/>
                    </a:prstGeom>
                  </pic:spPr>
                </pic:pic>
              </a:graphicData>
            </a:graphic>
          </wp:inline>
        </w:drawing>
      </w:r>
      <w:r>
        <w:rPr>
          <w:noProof/>
        </w:rPr>
        <w:drawing>
          <wp:inline distT="0" distB="0" distL="0" distR="0">
            <wp:extent cx="5486400" cy="4114800"/>
            <wp:effectExtent l="0" t="0" r="0" b="0"/>
            <wp:docPr id="3288137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8813780" name="Picture 328813780"/>
                    <pic:cNvPicPr/>
                  </pic:nvPicPr>
                  <pic:blipFill>
                    <a:blip r:embed="rId10"/>
                    <a:stretch>
                      <a:fillRect/>
                    </a:stretch>
                  </pic:blipFill>
                  <pic:spPr>
                    <a:xfrm>
                      <a:off x="0" y="0"/>
                      <a:ext cx="5486400" cy="4114800"/>
                    </a:xfrm>
                    <a:prstGeom prst="rect">
                      <a:avLst/>
                    </a:prstGeom>
                  </pic:spPr>
                </pic:pic>
              </a:graphicData>
            </a:graphic>
          </wp:inline>
        </w:drawing>
      </w:r>
      <w:r w:rsidR="00000000">
        <w:br/>
      </w:r>
    </w:p>
    <w:sectPr w:rsidR="00221BA4"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2FF" w:usb1="400004FF"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0002AFF" w:usb1="C000247B" w:usb2="00000009" w:usb3="00000000" w:csb0="000001FF" w:csb1="00000000"/>
  </w:font>
  <w:font w:name="MS Gothic">
    <w:altName w:val="ＭＳ ゴシック"/>
    <w:panose1 w:val="020B0609070205080204"/>
    <w:charset w:val="80"/>
    <w:family w:val="modern"/>
    <w:notTrueType/>
    <w:pitch w:val="fixed"/>
    <w:sig w:usb0="E00002FF" w:usb1="6AC7FDFB" w:usb2="08000012" w:usb3="00000000" w:csb0="0002009F" w:csb1="00000000"/>
  </w:font>
  <w:font w:name="Courier">
    <w:panose1 w:val="00000000000000000000"/>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288655935">
    <w:abstractNumId w:val="8"/>
  </w:num>
  <w:num w:numId="2" w16cid:durableId="2045865129">
    <w:abstractNumId w:val="6"/>
  </w:num>
  <w:num w:numId="3" w16cid:durableId="168105008">
    <w:abstractNumId w:val="5"/>
  </w:num>
  <w:num w:numId="4" w16cid:durableId="227694916">
    <w:abstractNumId w:val="4"/>
  </w:num>
  <w:num w:numId="5" w16cid:durableId="469831552">
    <w:abstractNumId w:val="7"/>
  </w:num>
  <w:num w:numId="6" w16cid:durableId="1260603203">
    <w:abstractNumId w:val="3"/>
  </w:num>
  <w:num w:numId="7" w16cid:durableId="1384862316">
    <w:abstractNumId w:val="2"/>
  </w:num>
  <w:num w:numId="8" w16cid:durableId="2015570475">
    <w:abstractNumId w:val="1"/>
  </w:num>
  <w:num w:numId="9" w16cid:durableId="42639273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7"/>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1B777D"/>
    <w:rsid w:val="00221BA4"/>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423AC477"/>
  <w14:defaultImageDpi w14:val="300"/>
  <w15:docId w15:val="{22E01E3C-DE54-DB49-927E-E04243BB5F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u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u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u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u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u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u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u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u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u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u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u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u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u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u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u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u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u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u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u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u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u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jpg"/><Relationship Id="rId3" Type="http://schemas.openxmlformats.org/officeDocument/2006/relationships/styles" Target="styles.xml"/><Relationship Id="rId7" Type="http://schemas.openxmlformats.org/officeDocument/2006/relationships/image" Target="media/image2.jpg"/><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5.jpg"/><Relationship Id="rId4" Type="http://schemas.openxmlformats.org/officeDocument/2006/relationships/settings" Target="settings.xml"/><Relationship Id="rId9" Type="http://schemas.openxmlformats.org/officeDocument/2006/relationships/image" Target="media/image4.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6</Pages>
  <Words>624</Words>
  <Characters>3558</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4174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CB</cp:lastModifiedBy>
  <cp:revision>2</cp:revision>
  <dcterms:created xsi:type="dcterms:W3CDTF">2013-12-23T23:15:00Z</dcterms:created>
  <dcterms:modified xsi:type="dcterms:W3CDTF">2026-05-20T13:31:00Z</dcterms:modified>
  <cp:category/>
</cp:coreProperties>
</file>