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112C" w:rsidRDefault="00000000">
      <w:r>
        <w:br/>
      </w:r>
      <w:r w:rsidRPr="00176D03">
        <w:rPr>
          <w:rStyle w:val="Heading1Char"/>
        </w:rPr>
        <w:t>How GreyRadius Consulting helped an Indian drone startup build a scalable commercial expansion model for the emerging DaaS market.</w:t>
      </w:r>
      <w:r>
        <w:br/>
      </w:r>
      <w:r>
        <w:br/>
      </w:r>
      <w:r w:rsidRPr="00176D03">
        <w:rPr>
          <w:rStyle w:val="Heading2Char"/>
        </w:rPr>
        <w:t>Context</w:t>
      </w:r>
      <w:r w:rsidRPr="00176D03">
        <w:rPr>
          <w:b/>
          <w:bCs/>
        </w:rPr>
        <w:br/>
      </w:r>
      <w:r>
        <w:br/>
        <w:t>India’s drone market was expanding rapidly across agriculture, infrastructure, mining, utilities, surveillance, and industrial inspection. Regulatory momentum and rising enterprise interest created strong market visibility for Drone-as-a-Service (DaaS) companies.</w:t>
      </w:r>
      <w:r>
        <w:br/>
      </w:r>
      <w:r>
        <w:br/>
        <w:t>But visibility was not the same as commercial readiness.</w:t>
      </w:r>
      <w:r>
        <w:br/>
      </w:r>
      <w:r>
        <w:br/>
        <w:t>A drone startup operating in India’s emerging UAV ecosystem had built strong technical capabilities and service flexibility. Leadership believed growth would come from expanding aggressively across industries and scaling deployment volume early.</w:t>
      </w:r>
      <w:r>
        <w:br/>
      </w:r>
      <w:r>
        <w:br/>
        <w:t>The surface problem appeared to be customer acquisition speed.</w:t>
      </w:r>
      <w:r>
        <w:br/>
      </w:r>
      <w:r>
        <w:br/>
        <w:t>The real issue was different.</w:t>
      </w:r>
      <w:r>
        <w:br/>
      </w:r>
      <w:r>
        <w:br/>
        <w:t>The business lacked a scalable commercialization structure. Different industries had different buying cycles, compliance requirements, operational expectations, and ROI thresholds. The company was attempting to scale execution before identifying where repeatable commercial demand actually existed.</w:t>
      </w:r>
      <w:r>
        <w:br/>
      </w:r>
      <w:r>
        <w:br/>
        <w:t>As expansion accelerated, execution dependency on founders increased. Sales conversations became fragmented. Use-case prioritization lacked clarity. Commercial efforts spread across too many sectors simultaneously.</w:t>
      </w:r>
      <w:r>
        <w:br/>
      </w:r>
      <w:r>
        <w:br/>
        <w:t>The market opportunity was real.</w:t>
      </w:r>
      <w:r>
        <w:br/>
      </w:r>
      <w:r>
        <w:br/>
        <w:t>The operating model behind growth was not yet mature enough to scale it.</w:t>
      </w:r>
      <w:r>
        <w:br/>
      </w:r>
      <w:r>
        <w:br/>
      </w:r>
      <w:r w:rsidRPr="00176D03">
        <w:rPr>
          <w:rStyle w:val="Heading2Char"/>
        </w:rPr>
        <w:t>The Core Challenge</w:t>
      </w:r>
      <w:r>
        <w:br/>
      </w:r>
      <w:r>
        <w:br/>
        <w:t>Leadership initially believed the company needed broader market penetration and faster sales expansion.</w:t>
      </w:r>
      <w:r>
        <w:br/>
      </w:r>
      <w:r>
        <w:br/>
        <w:t>But the structural issue was deeper.</w:t>
      </w:r>
      <w:r>
        <w:br/>
      </w:r>
      <w:r>
        <w:br/>
        <w:t xml:space="preserve">The startup was treating drones as a technology product instead of treating DaaS as an </w:t>
      </w:r>
      <w:r>
        <w:lastRenderedPageBreak/>
        <w:t>industry-specific commercial solution.</w:t>
      </w:r>
      <w:r>
        <w:br/>
      </w:r>
      <w:r>
        <w:br/>
        <w:t>Different sectors valued drone deployment differently:</w:t>
      </w:r>
      <w:r>
        <w:br/>
      </w:r>
      <w:r>
        <w:br/>
        <w:t>• Agriculture prioritized operational economics and acreage coverage.</w:t>
      </w:r>
      <w:r>
        <w:br/>
        <w:t>• Infrastructure clients focused on reporting accuracy and compliance.</w:t>
      </w:r>
      <w:r>
        <w:br/>
        <w:t>• Mining and industrial sectors cared about operational continuity and risk reduction.</w:t>
      </w:r>
      <w:r>
        <w:br/>
        <w:t>• Government-linked projects depended heavily on regulatory readiness and vendor credibility.</w:t>
      </w:r>
      <w:r>
        <w:br/>
      </w:r>
      <w:r>
        <w:br/>
        <w:t>The company’s GTM motion remained too generalized for a market that was highly use-case specific.</w:t>
      </w:r>
      <w:r>
        <w:br/>
      </w:r>
      <w:r>
        <w:br/>
        <w:t>This created multiple scaling frictions:</w:t>
      </w:r>
      <w:r>
        <w:br/>
      </w:r>
      <w:r>
        <w:br/>
        <w:t>• fragmented sales positioning</w:t>
      </w:r>
      <w:r>
        <w:br/>
        <w:t>• reactive commercial prioritization</w:t>
      </w:r>
      <w:r>
        <w:br/>
        <w:t>• inconsistent customer qualification</w:t>
      </w:r>
      <w:r>
        <w:br/>
        <w:t>• unclear expansion sequencing</w:t>
      </w:r>
      <w:r>
        <w:br/>
        <w:t>• weak execution visibility across sectors</w:t>
      </w:r>
      <w:r>
        <w:br/>
        <w:t>• growing leadership dependency in decision-making</w:t>
      </w:r>
      <w:r>
        <w:br/>
      </w:r>
      <w:r>
        <w:br/>
        <w:t>The business was expanding activity faster than commercial maturity.</w:t>
      </w:r>
      <w:r>
        <w:br/>
      </w:r>
      <w:r>
        <w:br/>
      </w:r>
      <w:r w:rsidRPr="00176D03">
        <w:rPr>
          <w:rStyle w:val="Heading2Char"/>
        </w:rPr>
        <w:t>The Decision Shift</w:t>
      </w:r>
      <w:r>
        <w:br/>
      </w:r>
      <w:r>
        <w:br/>
        <w:t>The company stopped treating drone growth as a technology adoption problem and started treating it as a commercialization sequencing problem.</w:t>
      </w:r>
      <w:r>
        <w:br/>
      </w:r>
      <w:r>
        <w:br/>
        <w:t>That shift changed the direction of the business.</w:t>
      </w:r>
      <w:r>
        <w:br/>
      </w:r>
      <w:r>
        <w:br/>
        <w:t>Instead of pursuing broad multi-sector expansion, leadership reframed the business around three core realities:</w:t>
      </w:r>
      <w:r>
        <w:br/>
      </w:r>
      <w:r>
        <w:br/>
        <w:t>1. Not every drone use case scales commercially at the same pace.</w:t>
      </w:r>
      <w:r>
        <w:br/>
        <w:t>2. Regulatory readiness determines execution speed as much as technology capability.</w:t>
      </w:r>
      <w:r>
        <w:br/>
        <w:t>3. Repeatable GTM execution matters more than early market visibility.</w:t>
      </w:r>
      <w:r>
        <w:br/>
      </w:r>
      <w:r>
        <w:br/>
        <w:t>The focus shifted from “where drones can be used” to “where scalable demand, operational readiness, and customer ROI align.”</w:t>
      </w:r>
      <w:r>
        <w:br/>
      </w:r>
      <w:r>
        <w:br/>
        <w:t>This became the foundation for a more disciplined expansion model.</w:t>
      </w:r>
      <w:r>
        <w:br/>
      </w:r>
      <w:r>
        <w:br/>
      </w:r>
      <w:r>
        <w:lastRenderedPageBreak/>
        <w:t>The business moved away from aggressive horizontal expansion and toward phased sector prioritization built around commercial viability, deployment scalability, and execution predictability.</w:t>
      </w:r>
      <w:r>
        <w:br/>
      </w:r>
      <w:r>
        <w:br/>
      </w:r>
      <w:r w:rsidRPr="00176D03">
        <w:rPr>
          <w:rStyle w:val="Heading2Char"/>
        </w:rPr>
        <w:t>What Changed in Execution</w:t>
      </w:r>
      <w:r>
        <w:br/>
      </w:r>
      <w:r>
        <w:br/>
        <w:t>Commercial decisions became use-case led rather than technology led.</w:t>
      </w:r>
      <w:r>
        <w:br/>
      </w:r>
      <w:r>
        <w:br/>
        <w:t>Instead of pursuing broad outreach across industries, the company prioritized sectors where operational pain points, regulatory acceptance, and ROI realization were more mature.</w:t>
      </w:r>
      <w:r>
        <w:br/>
      </w:r>
      <w:r>
        <w:br/>
        <w:t>Execution sequencing became more structured.</w:t>
      </w:r>
      <w:r>
        <w:br/>
      </w:r>
      <w:r>
        <w:br/>
        <w:t>High-friction sectors requiring long enterprise education cycles were deprioritized in favor of industries with clearer commercial adoption pathways and faster deployment readiness.</w:t>
      </w:r>
      <w:r>
        <w:br/>
      </w:r>
      <w:r>
        <w:br/>
        <w:t>Customer engagement models also changed significantly.</w:t>
      </w:r>
      <w:r>
        <w:br/>
      </w:r>
      <w:r>
        <w:br/>
        <w:t>The company shifted from generic drone capability discussions to sector-specific commercial positioning tied directly to measurable business outcomes such as crop monitoring efficiency, inspection accuracy, operational downtime reduction, and infrastructure visibility.</w:t>
      </w:r>
      <w:r>
        <w:br/>
      </w:r>
      <w:r>
        <w:br/>
        <w:t>This reduced commercial ambiguity during sales cycles.</w:t>
      </w:r>
      <w:r>
        <w:br/>
      </w:r>
      <w:r>
        <w:br/>
        <w:t>Ownership structures evolved as well.</w:t>
      </w:r>
      <w:r>
        <w:br/>
      </w:r>
      <w:r>
        <w:br/>
        <w:t>Commercial expansion decisions became tied to scalability thresholds instead of founder-driven opportunity chasing. Sector prioritization, deployment readiness, and operational scalability were aligned under clearer execution governance.</w:t>
      </w:r>
      <w:r>
        <w:br/>
      </w:r>
      <w:r>
        <w:br/>
        <w:t>The operating model became more disciplined:</w:t>
      </w:r>
      <w:r>
        <w:br/>
      </w:r>
      <w:r>
        <w:br/>
        <w:t>• phased market-entry sequencing</w:t>
      </w:r>
      <w:r>
        <w:br/>
        <w:t>• sector-level GTM alignment</w:t>
      </w:r>
      <w:r>
        <w:br/>
        <w:t>• clearer customer qualification logic</w:t>
      </w:r>
      <w:r>
        <w:br/>
        <w:t>• operational deployment prioritization</w:t>
      </w:r>
      <w:r>
        <w:br/>
        <w:t>• execution visibility across commercial initiatives</w:t>
      </w:r>
      <w:r>
        <w:br/>
        <w:t>• reduced reactive expansion behavior</w:t>
      </w:r>
      <w:r>
        <w:br/>
      </w:r>
      <w:r>
        <w:br/>
        <w:t>Most importantly, the company stopped measuring growth by the number of industries approached and started measuring growth by repeatable commercial adoption potential.</w:t>
      </w:r>
      <w:r>
        <w:br/>
      </w:r>
      <w:r>
        <w:lastRenderedPageBreak/>
        <w:br/>
        <w:t>That distinction improved execution maturity significantly.</w:t>
      </w:r>
      <w:r>
        <w:br/>
      </w:r>
      <w:r>
        <w:br/>
      </w:r>
      <w:r w:rsidRPr="00176D03">
        <w:rPr>
          <w:rStyle w:val="Heading2Char"/>
        </w:rPr>
        <w:t>Business Impact Delivered</w:t>
      </w:r>
      <w:r>
        <w:br/>
      </w:r>
      <w:r>
        <w:br/>
        <w:t>The business gained sharper commercial clarity in a market that was still structurally evolving.</w:t>
      </w:r>
      <w:r>
        <w:br/>
      </w:r>
      <w:r>
        <w:br/>
        <w:t>Expansion decisions became more predictable because leadership could prioritize industries based on execution feasibility rather than market excitement.</w:t>
      </w:r>
      <w:r>
        <w:br/>
      </w:r>
      <w:r>
        <w:br/>
        <w:t>Commercial positioning improved through use-case-led messaging and sector-specific GTM structures.</w:t>
      </w:r>
      <w:r>
        <w:br/>
      </w:r>
      <w:r>
        <w:br/>
        <w:t>Execution friction reduced as the company narrowed focus toward scalable deployment environments instead of fragmented opportunity pursuit.</w:t>
      </w:r>
      <w:r>
        <w:br/>
      </w:r>
      <w:r>
        <w:br/>
        <w:t>The phased commercialization model also improved leadership visibility into expansion readiness, operational scalability, and deployment economics.</w:t>
      </w:r>
      <w:r>
        <w:br/>
      </w:r>
      <w:r>
        <w:br/>
        <w:t>Instead of scaling disconnected pilots across multiple industries, the company built a more controlled pathway toward repeatable revenue expansion.</w:t>
      </w:r>
      <w:r>
        <w:br/>
      </w:r>
      <w:r>
        <w:br/>
        <w:t>The result was not simply faster growth.</w:t>
      </w:r>
      <w:r>
        <w:br/>
      </w:r>
      <w:r>
        <w:br/>
        <w:t>It was more scalable growth.</w:t>
      </w:r>
      <w:r>
        <w:br/>
      </w:r>
      <w:r>
        <w:br/>
      </w:r>
      <w:r w:rsidRPr="00176D03">
        <w:rPr>
          <w:rStyle w:val="Heading2Char"/>
        </w:rPr>
        <w:t>Key Outcomes</w:t>
      </w:r>
      <w:r>
        <w:br/>
      </w:r>
      <w:r>
        <w:br/>
        <w:t>• Reduced market-entry uncertainty across priority drone industry segments</w:t>
      </w:r>
      <w:r>
        <w:br/>
        <w:t>• Improved commercial targeting through sector-specific use-case positioning</w:t>
      </w:r>
      <w:r>
        <w:br/>
        <w:t>• Accelerated GTM readiness through phased commercialization sequencing</w:t>
      </w:r>
      <w:r>
        <w:br/>
        <w:t>• Reduced fragmented expansion efforts across low-readiness sectors</w:t>
      </w:r>
      <w:r>
        <w:br/>
        <w:t>• Improved execution visibility across deployment and commercialization priorities</w:t>
      </w:r>
      <w:r>
        <w:br/>
        <w:t>• Strengthened scalability planning for DaaS expansion across India</w:t>
      </w:r>
      <w:r>
        <w:br/>
      </w:r>
      <w:r>
        <w:br/>
        <w:t>Revenue opportunity in emerging industries often grows faster than execution maturity. In the drone market, technology creates attention early. Scalable commercialization is what determines which companies survive long enough to lead.</w:t>
      </w:r>
    </w:p>
    <w:p w:rsidR="00176D03" w:rsidRDefault="00176D03"/>
    <w:p w:rsidR="00176D03" w:rsidRDefault="00176D03"/>
    <w:p w:rsidR="00176D03" w:rsidRDefault="00176D03">
      <w:r>
        <w:rPr>
          <w:noProof/>
        </w:rPr>
        <w:lastRenderedPageBreak/>
        <w:drawing>
          <wp:inline distT="0" distB="0" distL="0" distR="0">
            <wp:extent cx="5486400" cy="4114800"/>
            <wp:effectExtent l="0" t="0" r="0" b="0"/>
            <wp:docPr id="2048920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0248" name="Picture 2048920248"/>
                    <pic:cNvPicPr/>
                  </pic:nvPicPr>
                  <pic:blipFill>
                    <a:blip r:embed="rId6"/>
                    <a:stretch>
                      <a:fillRect/>
                    </a:stretch>
                  </pic:blipFill>
                  <pic:spPr>
                    <a:xfrm>
                      <a:off x="0" y="0"/>
                      <a:ext cx="5486400" cy="4114800"/>
                    </a:xfrm>
                    <a:prstGeom prst="rect">
                      <a:avLst/>
                    </a:prstGeom>
                  </pic:spPr>
                </pic:pic>
              </a:graphicData>
            </a:graphic>
          </wp:inline>
        </w:drawing>
      </w:r>
      <w:r>
        <w:rPr>
          <w:noProof/>
        </w:rPr>
        <w:drawing>
          <wp:inline distT="0" distB="0" distL="0" distR="0">
            <wp:extent cx="5486400" cy="4114800"/>
            <wp:effectExtent l="0" t="0" r="0" b="0"/>
            <wp:docPr id="693791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91986" name="Picture 693791986"/>
                    <pic:cNvPicPr/>
                  </pic:nvPicPr>
                  <pic:blipFill>
                    <a:blip r:embed="rId7"/>
                    <a:stretch>
                      <a:fillRect/>
                    </a:stretch>
                  </pic:blipFill>
                  <pic:spPr>
                    <a:xfrm>
                      <a:off x="0" y="0"/>
                      <a:ext cx="5486400" cy="4114800"/>
                    </a:xfrm>
                    <a:prstGeom prst="rect">
                      <a:avLst/>
                    </a:prstGeom>
                  </pic:spPr>
                </pic:pic>
              </a:graphicData>
            </a:graphic>
          </wp:inline>
        </w:drawing>
      </w:r>
      <w:r>
        <w:rPr>
          <w:noProof/>
        </w:rPr>
        <w:lastRenderedPageBreak/>
        <w:drawing>
          <wp:inline distT="0" distB="0" distL="0" distR="0">
            <wp:extent cx="5486400" cy="7315200"/>
            <wp:effectExtent l="0" t="0" r="0" b="0"/>
            <wp:docPr id="260149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49238" name="Picture 260149238"/>
                    <pic:cNvPicPr/>
                  </pic:nvPicPr>
                  <pic:blipFill>
                    <a:blip r:embed="rId8"/>
                    <a:stretch>
                      <a:fillRect/>
                    </a:stretch>
                  </pic:blipFill>
                  <pic:spPr>
                    <a:xfrm>
                      <a:off x="0" y="0"/>
                      <a:ext cx="5486400" cy="7315200"/>
                    </a:xfrm>
                    <a:prstGeom prst="rect">
                      <a:avLst/>
                    </a:prstGeom>
                  </pic:spPr>
                </pic:pic>
              </a:graphicData>
            </a:graphic>
          </wp:inline>
        </w:drawing>
      </w:r>
    </w:p>
    <w:p w:rsidR="00176D03" w:rsidRDefault="00176D03"/>
    <w:p w:rsidR="00176D03" w:rsidRDefault="00176D03">
      <w:r>
        <w:rPr>
          <w:noProof/>
        </w:rPr>
        <w:lastRenderedPageBreak/>
        <w:drawing>
          <wp:inline distT="0" distB="0" distL="0" distR="0" wp14:anchorId="293EC2EE" wp14:editId="67C8EAAB">
            <wp:extent cx="4990012" cy="4289001"/>
            <wp:effectExtent l="0" t="0" r="1270" b="3810"/>
            <wp:docPr id="114212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2989" name="Picture 114212989"/>
                    <pic:cNvPicPr/>
                  </pic:nvPicPr>
                  <pic:blipFill rotWithShape="1">
                    <a:blip r:embed="rId9"/>
                    <a:srcRect t="20638" r="35713" b="5688"/>
                    <a:stretch/>
                  </pic:blipFill>
                  <pic:spPr bwMode="auto">
                    <a:xfrm>
                      <a:off x="0" y="0"/>
                      <a:ext cx="5002915" cy="4300092"/>
                    </a:xfrm>
                    <a:prstGeom prst="rect">
                      <a:avLst/>
                    </a:prstGeom>
                    <a:ln>
                      <a:noFill/>
                    </a:ln>
                    <a:extLst>
                      <a:ext uri="{53640926-AAD7-44D8-BBD7-CCE9431645EC}">
                        <a14:shadowObscured xmlns:a14="http://schemas.microsoft.com/office/drawing/2010/main"/>
                      </a:ext>
                    </a:extLst>
                  </pic:spPr>
                </pic:pic>
              </a:graphicData>
            </a:graphic>
          </wp:inline>
        </w:drawing>
      </w:r>
    </w:p>
    <w:sectPr w:rsidR="00176D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599744">
    <w:abstractNumId w:val="8"/>
  </w:num>
  <w:num w:numId="2" w16cid:durableId="1206522606">
    <w:abstractNumId w:val="6"/>
  </w:num>
  <w:num w:numId="3" w16cid:durableId="1728914510">
    <w:abstractNumId w:val="5"/>
  </w:num>
  <w:num w:numId="4" w16cid:durableId="453601084">
    <w:abstractNumId w:val="4"/>
  </w:num>
  <w:num w:numId="5" w16cid:durableId="212231832">
    <w:abstractNumId w:val="7"/>
  </w:num>
  <w:num w:numId="6" w16cid:durableId="621769827">
    <w:abstractNumId w:val="3"/>
  </w:num>
  <w:num w:numId="7" w16cid:durableId="1280915573">
    <w:abstractNumId w:val="2"/>
  </w:num>
  <w:num w:numId="8" w16cid:durableId="1107192265">
    <w:abstractNumId w:val="1"/>
  </w:num>
  <w:num w:numId="9" w16cid:durableId="50255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D03"/>
    <w:rsid w:val="0029639D"/>
    <w:rsid w:val="00326F90"/>
    <w:rsid w:val="00AA1D8D"/>
    <w:rsid w:val="00B47730"/>
    <w:rsid w:val="00CB0664"/>
    <w:rsid w:val="00EE11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1BC7E"/>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2</cp:revision>
  <dcterms:created xsi:type="dcterms:W3CDTF">2013-12-23T23:15:00Z</dcterms:created>
  <dcterms:modified xsi:type="dcterms:W3CDTF">2026-05-20T13:34:00Z</dcterms:modified>
  <cp:category/>
</cp:coreProperties>
</file>