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E35E1" w:rsidRDefault="00000000">
      <w:r>
        <w:rPr>
          <w:i/>
        </w:rPr>
        <w:t>How GreyRadius Consulting helped a SaaS startup shift from feature-led scaling to adoption-led commercial validation.</w:t>
      </w:r>
    </w:p>
    <w:p w:rsidR="005E35E1" w:rsidRDefault="00000000">
      <w:pPr>
        <w:pStyle w:val="Heading2"/>
      </w:pPr>
      <w:r>
        <w:t>Context</w:t>
      </w:r>
    </w:p>
    <w:p w:rsidR="005E35E1" w:rsidRDefault="009B14DE">
      <w:r>
        <w:t xml:space="preserve">The UAE  </w:t>
      </w:r>
      <w:r w:rsidR="00000000">
        <w:t>based SaaS startup was operating in a highly competitive market where new product launches and feature releases were becoming increasingly commoditized. The company had gained early customer interest and secured initial market traction, but leadership struggled to convert that traction into repeatable commercial scale.</w:t>
      </w:r>
    </w:p>
    <w:p w:rsidR="005E35E1" w:rsidRDefault="00000000">
      <w:r>
        <w:t>On the surface, the issue appeared to be slow growth and inconsistent customer acquisition.</w:t>
      </w:r>
    </w:p>
    <w:p w:rsidR="005E35E1" w:rsidRDefault="00000000">
      <w:r>
        <w:t>But underneath, the business was facing a deeper scaling problem.</w:t>
      </w:r>
    </w:p>
    <w:p w:rsidR="005E35E1" w:rsidRDefault="00000000">
      <w:r>
        <w:t>Product development velocity was increasing. GTM spending was rising. Sales activity was expanding. Yet customer adoption signals remained inconsistent across segments. Retention patterns varied widely. Expansion revenue was weak. Leadership lacked clarity on which customer profiles genuinely experienced recurring value from the platform.</w:t>
      </w:r>
    </w:p>
    <w:p w:rsidR="005E35E1" w:rsidRDefault="00000000">
      <w:r>
        <w:t>The company was attempting to scale before validating what was truly driving adoption.</w:t>
      </w:r>
    </w:p>
    <w:p w:rsidR="005E35E1" w:rsidRDefault="00000000">
      <w:pPr>
        <w:pStyle w:val="Heading2"/>
      </w:pPr>
      <w:r>
        <w:t>The Core Challenge</w:t>
      </w:r>
    </w:p>
    <w:p w:rsidR="005E35E1" w:rsidRDefault="00000000">
      <w:r>
        <w:t>Leadership initially believed the problem was market penetration.</w:t>
      </w:r>
    </w:p>
    <w:p w:rsidR="005E35E1" w:rsidRDefault="00000000">
      <w:r>
        <w:t>The assumption was that stronger sales execution, broader targeting, and faster feature expansion would eventually unlock scale.</w:t>
      </w:r>
    </w:p>
    <w:p w:rsidR="005E35E1" w:rsidRDefault="00000000">
      <w:r>
        <w:t>But the structural issue was different.</w:t>
      </w:r>
    </w:p>
    <w:p w:rsidR="005E35E1" w:rsidRDefault="00000000">
      <w:r>
        <w:t>The business had not yet identified a repeatable relationship between customer pain points, product usage behavior, onboarding success, and long-term retention.</w:t>
      </w:r>
    </w:p>
    <w:p w:rsidR="005E35E1" w:rsidRDefault="00000000">
      <w:r>
        <w:t>Different teams were optimizing for different definitions of growth.</w:t>
      </w:r>
    </w:p>
    <w:p w:rsidR="005E35E1" w:rsidRDefault="00000000">
      <w:r>
        <w:t>Product teams prioritized feature expansion. Sales teams pursued broad acquisition opportunities. Founders relied heavily on anecdotal customer feedback. Customer success operated reactively around support and onboarding friction.</w:t>
      </w:r>
    </w:p>
    <w:p w:rsidR="005E35E1" w:rsidRDefault="00000000">
      <w:r>
        <w:t>Growth decisions were increasingly driven by internal assumptions instead of observable customer behavior.</w:t>
      </w:r>
    </w:p>
    <w:p w:rsidR="005E35E1" w:rsidRDefault="00000000">
      <w:pPr>
        <w:pStyle w:val="Heading2"/>
      </w:pPr>
      <w:r>
        <w:t>The Decision Shift</w:t>
      </w:r>
    </w:p>
    <w:p w:rsidR="005E35E1" w:rsidRDefault="00000000">
      <w:r>
        <w:t>The turning point came when leadership stopped viewing product-market fit as a product milestone and started treating it as an execution architecture problem.</w:t>
      </w:r>
    </w:p>
    <w:p w:rsidR="005E35E1" w:rsidRDefault="00000000">
      <w:r>
        <w:t>The realization was important.</w:t>
      </w:r>
    </w:p>
    <w:p w:rsidR="005E35E1" w:rsidRDefault="00000000">
      <w:r>
        <w:t>The issue was not insufficient product capability.</w:t>
      </w:r>
    </w:p>
    <w:p w:rsidR="005E35E1" w:rsidRDefault="00000000">
      <w:r>
        <w:lastRenderedPageBreak/>
        <w:t>The issue was the absence of a structured system for identifying which customers adopted the product consistently, why they adopted it, and what behaviors predicted long-term retention.</w:t>
      </w:r>
    </w:p>
    <w:p w:rsidR="005E35E1" w:rsidRDefault="00000000">
      <w:r>
        <w:t>Instead of scaling features and acquisition simultaneously, the company shifted toward a customer-problem-led operating model built around adoption validation.</w:t>
      </w:r>
    </w:p>
    <w:p w:rsidR="005E35E1" w:rsidRDefault="00000000">
      <w:pPr>
        <w:pStyle w:val="Heading2"/>
      </w:pPr>
      <w:r>
        <w:t>What Changed in Execution</w:t>
      </w:r>
    </w:p>
    <w:p w:rsidR="005E35E1" w:rsidRDefault="00000000">
      <w:r>
        <w:t>Execution maturity became the central focus.</w:t>
      </w:r>
    </w:p>
    <w:p w:rsidR="005E35E1" w:rsidRDefault="00000000">
      <w:r>
        <w:t>Customer acquisition shifted from broad-market targeting to prioritized ICP segmentation tied directly to adoption and retention behavior.</w:t>
      </w:r>
    </w:p>
    <w:p w:rsidR="005E35E1" w:rsidRDefault="00000000">
      <w:r>
        <w:t>Product direction moved away from feature-heavy expansion and toward use-case prioritization linked to measurable customer value realization.</w:t>
      </w:r>
    </w:p>
    <w:p w:rsidR="005E35E1" w:rsidRDefault="00000000">
      <w:r>
        <w:t>The organization introduced structured adoption validation loops that reduced founder dependency in product and GTM decision-making.</w:t>
      </w:r>
    </w:p>
    <w:p w:rsidR="005E35E1" w:rsidRDefault="00000000">
      <w:r>
        <w:t>Cross-functional coordination improved as product, sales, and customer success functions started operating around shared adoption metrics instead of isolated departmental KPIs.</w:t>
      </w:r>
    </w:p>
    <w:p w:rsidR="005E35E1" w:rsidRDefault="00000000">
      <w:pPr>
        <w:pStyle w:val="Heading2"/>
      </w:pPr>
      <w:r>
        <w:t>Business Impact Delivered</w:t>
      </w:r>
    </w:p>
    <w:p w:rsidR="005E35E1" w:rsidRDefault="00000000">
      <w:r>
        <w:t>The company developed stronger visibility into what was genuinely driving product-market fit across priority customer segments.</w:t>
      </w:r>
    </w:p>
    <w:p w:rsidR="005E35E1" w:rsidRDefault="00000000">
      <w:r>
        <w:t>Customer validation cycles became faster and commercially more useful.</w:t>
      </w:r>
    </w:p>
    <w:p w:rsidR="005E35E1" w:rsidRDefault="00000000">
      <w:r>
        <w:t>Low-fit GTM investments reduced significantly as acquisition efforts became more aligned with adoption quality and retention probability.</w:t>
      </w:r>
    </w:p>
    <w:p w:rsidR="005E35E1" w:rsidRDefault="00000000">
      <w:r>
        <w:t>Execution predictability improved because product and commercial decisions became grounded in observable customer behavior instead of internal assumptions.</w:t>
      </w:r>
    </w:p>
    <w:p w:rsidR="005E35E1" w:rsidRDefault="00000000">
      <w:r>
        <w:t>The organization became more scalable operationally because execution became more disciplined.</w:t>
      </w:r>
    </w:p>
    <w:p w:rsidR="005E35E1" w:rsidRDefault="00000000">
      <w:pPr>
        <w:pStyle w:val="Heading2"/>
      </w:pPr>
      <w:r>
        <w:t>Key Outcomes</w:t>
      </w:r>
    </w:p>
    <w:p w:rsidR="005E35E1" w:rsidRDefault="00000000">
      <w:r>
        <w:t>• Improved customer validation speed across priority ICP segments</w:t>
      </w:r>
      <w:r>
        <w:br/>
        <w:t>• Reduced wasted GTM and product investment across low-fit opportunities</w:t>
      </w:r>
      <w:r>
        <w:br/>
        <w:t>• Increased visibility into retention and adoption-driven growth indicators</w:t>
      </w:r>
      <w:r>
        <w:br/>
        <w:t>• Improved alignment between product prioritization and commercial readiness</w:t>
      </w:r>
      <w:r>
        <w:br/>
        <w:t>• Reduced founder dependency in day-to-day growth decisions</w:t>
      </w:r>
      <w:r>
        <w:br/>
        <w:t>• Created a more scalable foundation for repeatable SaaS growth</w:t>
      </w:r>
    </w:p>
    <w:p w:rsidR="00267DD9" w:rsidRDefault="00000000">
      <w:r w:rsidRPr="009B14DE">
        <w:rPr>
          <w:b/>
          <w:bCs/>
        </w:rPr>
        <w:lastRenderedPageBreak/>
        <w:t>Final Insight:</w:t>
      </w:r>
      <w:r w:rsidRPr="009B14DE">
        <w:rPr>
          <w:b/>
          <w:bCs/>
        </w:rPr>
        <w:br/>
      </w:r>
      <w:r>
        <w:t>Product-market fit rarely fails because companies build too little. More often, it fails because companies scale assumptions faster than they scale customer validation.</w:t>
      </w:r>
    </w:p>
    <w:p w:rsidR="00267DD9" w:rsidRDefault="00267DD9">
      <w:r>
        <w:rPr>
          <w:noProof/>
        </w:rPr>
        <w:lastRenderedPageBreak/>
        <w:drawing>
          <wp:inline distT="0" distB="0" distL="0" distR="0">
            <wp:extent cx="5486400" cy="3789680"/>
            <wp:effectExtent l="0" t="0" r="0" b="0"/>
            <wp:docPr id="172503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37998" name="Picture 1725037998"/>
                    <pic:cNvPicPr/>
                  </pic:nvPicPr>
                  <pic:blipFill>
                    <a:blip r:embed="rId6"/>
                    <a:stretch>
                      <a:fillRect/>
                    </a:stretch>
                  </pic:blipFill>
                  <pic:spPr>
                    <a:xfrm>
                      <a:off x="0" y="0"/>
                      <a:ext cx="5486400" cy="3789680"/>
                    </a:xfrm>
                    <a:prstGeom prst="rect">
                      <a:avLst/>
                    </a:prstGeom>
                  </pic:spPr>
                </pic:pic>
              </a:graphicData>
            </a:graphic>
          </wp:inline>
        </w:drawing>
      </w:r>
      <w:r>
        <w:rPr>
          <w:noProof/>
        </w:rPr>
        <w:lastRenderedPageBreak/>
        <w:drawing>
          <wp:inline distT="0" distB="0" distL="0" distR="0">
            <wp:extent cx="5486400" cy="7316470"/>
            <wp:effectExtent l="0" t="0" r="0" b="0"/>
            <wp:docPr id="890297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97354" name="Picture 890297354"/>
                    <pic:cNvPicPr/>
                  </pic:nvPicPr>
                  <pic:blipFill>
                    <a:blip r:embed="rId7"/>
                    <a:stretch>
                      <a:fillRect/>
                    </a:stretch>
                  </pic:blipFill>
                  <pic:spPr>
                    <a:xfrm>
                      <a:off x="0" y="0"/>
                      <a:ext cx="5486400" cy="7316470"/>
                    </a:xfrm>
                    <a:prstGeom prst="rect">
                      <a:avLst/>
                    </a:prstGeom>
                  </pic:spPr>
                </pic:pic>
              </a:graphicData>
            </a:graphic>
          </wp:inline>
        </w:drawing>
      </w:r>
    </w:p>
    <w:p w:rsidR="00267DD9" w:rsidRDefault="00267DD9">
      <w:r>
        <w:rPr>
          <w:noProof/>
        </w:rPr>
        <w:lastRenderedPageBreak/>
        <w:drawing>
          <wp:inline distT="0" distB="0" distL="0" distR="0">
            <wp:extent cx="5486400" cy="3086100"/>
            <wp:effectExtent l="0" t="0" r="0" b="0"/>
            <wp:docPr id="1131142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42213" name="Picture 1131142213"/>
                    <pic:cNvPicPr/>
                  </pic:nvPicPr>
                  <pic:blipFill>
                    <a:blip r:embed="rId8"/>
                    <a:stretch>
                      <a:fillRect/>
                    </a:stretch>
                  </pic:blipFill>
                  <pic:spPr>
                    <a:xfrm>
                      <a:off x="0" y="0"/>
                      <a:ext cx="5486400" cy="3086100"/>
                    </a:xfrm>
                    <a:prstGeom prst="rect">
                      <a:avLst/>
                    </a:prstGeom>
                  </pic:spPr>
                </pic:pic>
              </a:graphicData>
            </a:graphic>
          </wp:inline>
        </w:drawing>
      </w:r>
    </w:p>
    <w:sectPr w:rsidR="00267D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3267352">
    <w:abstractNumId w:val="8"/>
  </w:num>
  <w:num w:numId="2" w16cid:durableId="1849906278">
    <w:abstractNumId w:val="6"/>
  </w:num>
  <w:num w:numId="3" w16cid:durableId="557129427">
    <w:abstractNumId w:val="5"/>
  </w:num>
  <w:num w:numId="4" w16cid:durableId="1340473504">
    <w:abstractNumId w:val="4"/>
  </w:num>
  <w:num w:numId="5" w16cid:durableId="1072922598">
    <w:abstractNumId w:val="7"/>
  </w:num>
  <w:num w:numId="6" w16cid:durableId="327096816">
    <w:abstractNumId w:val="3"/>
  </w:num>
  <w:num w:numId="7" w16cid:durableId="790322857">
    <w:abstractNumId w:val="2"/>
  </w:num>
  <w:num w:numId="8" w16cid:durableId="147788376">
    <w:abstractNumId w:val="1"/>
  </w:num>
  <w:num w:numId="9" w16cid:durableId="2063626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DD9"/>
    <w:rsid w:val="0029639D"/>
    <w:rsid w:val="00326F90"/>
    <w:rsid w:val="005E35E1"/>
    <w:rsid w:val="009B14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61287"/>
  <w14:defaultImageDpi w14:val="300"/>
  <w15:docId w15:val="{22E01E3C-DE54-DB49-927E-E04243BB5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CB</cp:lastModifiedBy>
  <cp:revision>3</cp:revision>
  <dcterms:created xsi:type="dcterms:W3CDTF">2013-12-23T23:15:00Z</dcterms:created>
  <dcterms:modified xsi:type="dcterms:W3CDTF">2026-05-20T13:43:00Z</dcterms:modified>
  <cp:category/>
</cp:coreProperties>
</file>