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203D" w:rsidRDefault="00000000" w:rsidP="005F5979">
      <w:pPr>
        <w:pStyle w:val="Heading1"/>
      </w:pPr>
      <w:r>
        <w:t>How GreyRadius helped an Indian eye care pharmaceutical company build a specialist-led commercialization model for scalable ophthalmology market expansion.</w:t>
      </w:r>
    </w:p>
    <w:p w:rsidR="0031203D" w:rsidRDefault="00000000">
      <w:r>
        <w:br/>
      </w:r>
      <w:r>
        <w:br/>
      </w:r>
      <w:r w:rsidRPr="005F5979">
        <w:rPr>
          <w:rStyle w:val="Heading2Char"/>
        </w:rPr>
        <w:t>Context</w:t>
      </w:r>
      <w:r>
        <w:br/>
      </w:r>
      <w:r>
        <w:br/>
      </w:r>
      <w:proofErr w:type="gramStart"/>
      <w:r>
        <w:t>An</w:t>
      </w:r>
      <w:proofErr w:type="gramEnd"/>
      <w:r>
        <w:t xml:space="preserve"> </w:t>
      </w:r>
      <w:r w:rsidR="005F5979">
        <w:t>European</w:t>
      </w:r>
      <w:r>
        <w:t xml:space="preserve"> eye care pharmaceutical company was preparing for expansion within the ophthalmology market</w:t>
      </w:r>
      <w:r w:rsidR="005F5979">
        <w:t xml:space="preserve"> in the GCC region</w:t>
      </w:r>
      <w:r>
        <w:t xml:space="preserve">. Leadership believed the opportunity was attractive: specialist demand was rising, ophthalmology clinics were expanding across </w:t>
      </w:r>
      <w:r w:rsidR="005F5979">
        <w:t>GCC countries</w:t>
      </w:r>
      <w:r>
        <w:t>, and prescription-driven categories continued to show strong growth potential.</w:t>
      </w:r>
      <w:r>
        <w:br/>
      </w:r>
      <w:r>
        <w:br/>
        <w:t>The initial expansion strategy focused heavily on product portfolio strength and wider physician outreach.</w:t>
      </w:r>
      <w:r>
        <w:br/>
      </w:r>
      <w:r>
        <w:br/>
        <w:t>But early commercial planning exposed a deeper issue.</w:t>
      </w:r>
      <w:r>
        <w:br/>
      </w:r>
      <w:r>
        <w:br/>
        <w:t>The challenge was not market attractiveness. The challenge was market access precision.</w:t>
      </w:r>
      <w:r>
        <w:br/>
      </w:r>
      <w:r>
        <w:br/>
        <w:t xml:space="preserve">The ophthalmology market operated differently </w:t>
      </w:r>
      <w:r w:rsidR="005F5979">
        <w:t xml:space="preserve">in the targeted markets compared to their existing European region. </w:t>
      </w:r>
      <w:r>
        <w:t>Prescription influence was concentrated among specialist networks, clinic ecosystems, regional referral patterns, and established competitive relationships. Commercial success depended less on broad doctor coverage and more on influencing prescription behavior within tightly connected specialist channels.</w:t>
      </w:r>
      <w:r>
        <w:br/>
      </w:r>
      <w:r>
        <w:br/>
        <w:t>Without that clarity, expansion risk increased quickly.</w:t>
      </w:r>
      <w:r>
        <w:br/>
      </w:r>
      <w:r>
        <w:br/>
        <w:t>Leadership faced the possibility of fragmented field execution, weak specialist adoption, and commercial investments that scaled activity faster than actual prescription traction.</w:t>
      </w:r>
      <w:r>
        <w:br/>
      </w:r>
      <w:r>
        <w:br/>
      </w:r>
      <w:r w:rsidRPr="005F5979">
        <w:rPr>
          <w:rStyle w:val="Heading2Char"/>
        </w:rPr>
        <w:t>The Core Challenge</w:t>
      </w:r>
      <w:r>
        <w:br/>
      </w:r>
      <w:r>
        <w:br/>
        <w:t>At the surface level, leadership believed the business needed stronger market-entry planning and wider commercial deployment.</w:t>
      </w:r>
      <w:r>
        <w:br/>
      </w:r>
      <w:r>
        <w:br/>
        <w:t>The real structural issue was different.</w:t>
      </w:r>
      <w:r>
        <w:br/>
      </w:r>
      <w:r>
        <w:br/>
        <w:t xml:space="preserve">The company was still treating ophthalmology expansion like a conventional pharmaceutical scale-up exercise. The operating model prioritized product visibility and physician reach, while the market itself rewarded specialist trust, prescription continuity, </w:t>
      </w:r>
      <w:r>
        <w:lastRenderedPageBreak/>
        <w:t>and localized competitive positioning.</w:t>
      </w:r>
      <w:r>
        <w:br/>
      </w:r>
      <w:r>
        <w:br/>
        <w:t>This created multiple execution dependencies.</w:t>
      </w:r>
      <w:r>
        <w:br/>
      </w:r>
      <w:r>
        <w:br/>
        <w:t>Sales deployment decisions lacked regional prioritization. Specialist targeting remained broad instead of influence-driven. Commercial investments were being allocated without enough clarity on prescription conversion dynamics or clinic-level adoption behavior.</w:t>
      </w:r>
      <w:r>
        <w:br/>
      </w:r>
      <w:r>
        <w:br/>
        <w:t>As expansion discussions accelerated, coordination friction increased across sales, commercialization, and leadership teams. Decision-making became reactive because the business lacked a scalable framework for determining where specialist adoption would realistically occur first.</w:t>
      </w:r>
      <w:r>
        <w:br/>
      </w:r>
      <w:r>
        <w:br/>
        <w:t>The issue was no longer product readiness.</w:t>
      </w:r>
      <w:r>
        <w:br/>
      </w:r>
      <w:r>
        <w:br/>
        <w:t>It was commercialization maturity.</w:t>
      </w:r>
      <w:r>
        <w:br/>
      </w:r>
      <w:r>
        <w:br/>
      </w:r>
      <w:r w:rsidRPr="005F5979">
        <w:rPr>
          <w:rStyle w:val="Heading2Char"/>
        </w:rPr>
        <w:t>The Decision Shift</w:t>
      </w:r>
      <w:r w:rsidRPr="005F5979">
        <w:rPr>
          <w:rStyle w:val="Heading2Char"/>
        </w:rPr>
        <w:br/>
      </w:r>
      <w:r>
        <w:br/>
        <w:t>The company stopped treating ophthalmology growth as a pharmaceutical coverage problem and started treating it as a specialist adoption and execution architecture problem.</w:t>
      </w:r>
      <w:r>
        <w:br/>
      </w:r>
      <w:r>
        <w:br/>
        <w:t>That realization changed the expansion model entirely.</w:t>
      </w:r>
      <w:r>
        <w:br/>
      </w:r>
      <w:r>
        <w:br/>
        <w:t>Instead of pursuing broad physician penetration across multiple regions simultaneously, leadership shifted toward a focused ophthalmology market-entry structure built around competitive differentiation, specialist prescription behavior, and region-specific commercialization sequencing.</w:t>
      </w:r>
      <w:r>
        <w:br/>
      </w:r>
      <w:r>
        <w:br/>
        <w:t>The business recognized that scale in specialty pharmaceuticals does not come from wider deployment first.</w:t>
      </w:r>
      <w:r>
        <w:br/>
      </w:r>
      <w:r>
        <w:br/>
        <w:t>It comes from concentrated adoption credibility.</w:t>
      </w:r>
      <w:r>
        <w:br/>
      </w:r>
      <w:r>
        <w:br/>
        <w:t>That shift reframed how expansion priorities were evaluated, how specialist segments were targeted, and how commercial readiness was measured internally.</w:t>
      </w:r>
      <w:r>
        <w:br/>
      </w:r>
      <w:r>
        <w:br/>
        <w:t>Growth decisions became increasingly linked to prescription influence dynamics rather than field-force expansion alone.</w:t>
      </w:r>
      <w:r>
        <w:br/>
      </w:r>
      <w:r>
        <w:br/>
      </w:r>
      <w:r w:rsidRPr="005F5979">
        <w:rPr>
          <w:rStyle w:val="Heading2Char"/>
        </w:rPr>
        <w:t>What Changed in Execution</w:t>
      </w:r>
      <w:r w:rsidRPr="005F5979">
        <w:rPr>
          <w:rStyle w:val="Heading2Char"/>
        </w:rPr>
        <w:br/>
      </w:r>
      <w:r>
        <w:br/>
        <w:t>Commercial execution moved from generalized pharmaceutical scaling to a specialist-</w:t>
      </w:r>
      <w:r>
        <w:lastRenderedPageBreak/>
        <w:t>focused operating structure.</w:t>
      </w:r>
      <w:r>
        <w:br/>
      </w:r>
      <w:r>
        <w:br/>
        <w:t>Ophthalmologists were segmented based on prescription influence, specialty relevance, regional demand concentration, and adoption potential. This reduced execution dilution and improved prioritization clarity across the commercial organization.</w:t>
      </w:r>
      <w:r>
        <w:br/>
      </w:r>
      <w:r>
        <w:br/>
        <w:t>Expansion sequencing also changed materially.</w:t>
      </w:r>
      <w:r>
        <w:br/>
      </w:r>
      <w:r>
        <w:br/>
        <w:t>Instead of pushing simultaneous regional deployment, the company prioritized specific ophthalmology clusters where specialist concentration, clinic ecosystems, and competitive whitespace created stronger adoption probability. Commercial expansion became phased rather than coverage-driven.</w:t>
      </w:r>
      <w:r>
        <w:br/>
      </w:r>
      <w:r>
        <w:br/>
        <w:t>Positioning discipline improved significantly.</w:t>
      </w:r>
      <w:r>
        <w:br/>
      </w:r>
      <w:r>
        <w:br/>
        <w:t>Rather than competing broadly within crowded pharmaceutical messaging environments, the business aligned commercialization around differentiated specialist relevance. Competitive positioning became sharper because market-entry discussions were grounded in actual prescription behavior patterns instead of generalized product narratives.</w:t>
      </w:r>
      <w:r>
        <w:br/>
      </w:r>
      <w:r>
        <w:br/>
        <w:t>Leadership alignment improved as well.</w:t>
      </w:r>
      <w:r>
        <w:br/>
      </w:r>
      <w:r>
        <w:br/>
        <w:t>Commercial decisions became more structured around adoption probability, execution readiness, and regional scalability. This reduced reactive coordination and improved execution visibility across the expansion roadmap.</w:t>
      </w:r>
      <w:r>
        <w:br/>
      </w:r>
      <w:r>
        <w:br/>
        <w:t>The operating model became more scalable because resource allocation, field prioritization, and commercialization planning were increasingly tied to measurable specialist adoption pathways.</w:t>
      </w:r>
      <w:r>
        <w:br/>
      </w:r>
      <w:r>
        <w:br/>
      </w:r>
      <w:r w:rsidRPr="005F5979">
        <w:rPr>
          <w:rStyle w:val="Heading2Char"/>
        </w:rPr>
        <w:t>Business Impact Delivered</w:t>
      </w:r>
      <w:r>
        <w:br/>
      </w:r>
      <w:r>
        <w:br/>
        <w:t>The company entered the next phase of expansion with significantly stronger commercialization clarity.</w:t>
      </w:r>
      <w:r>
        <w:br/>
      </w:r>
      <w:r>
        <w:br/>
        <w:t>Specialist targeting became more precise, reducing GTM uncertainty across priority ophthalmology segments. Regional prioritization improved deployment discipline and reduced execution fragmentation during scale-up planning.</w:t>
      </w:r>
      <w:r>
        <w:br/>
      </w:r>
      <w:r>
        <w:br/>
        <w:t>Commercial readiness improved because expansion assumptions were now linked to prescription behavior realities rather than top-down growth expectations.</w:t>
      </w:r>
      <w:r>
        <w:br/>
      </w:r>
      <w:r>
        <w:br/>
        <w:t>The organization also gained stronger execution predictability.</w:t>
      </w:r>
      <w:r>
        <w:br/>
      </w:r>
      <w:r>
        <w:lastRenderedPageBreak/>
        <w:br/>
        <w:t>Leadership teams could evaluate market-entry decisions with greater confidence around specialist adoption potential, regional sequencing logic, and competitive positioning alignment.</w:t>
      </w:r>
      <w:r>
        <w:br/>
      </w:r>
      <w:r>
        <w:br/>
        <w:t>Most importantly, the company reduced the risk of scaling commercial activity faster than actual market adoption maturity.</w:t>
      </w:r>
      <w:r>
        <w:br/>
      </w:r>
      <w:r>
        <w:br/>
        <w:t>That shift improved long-term scalability.</w:t>
      </w:r>
      <w:r>
        <w:br/>
      </w:r>
      <w:r>
        <w:br/>
      </w:r>
      <w:r w:rsidRPr="005F5979">
        <w:rPr>
          <w:rStyle w:val="Heading2Char"/>
        </w:rPr>
        <w:t>Key Outcomes</w:t>
      </w:r>
      <w:r>
        <w:br/>
      </w:r>
      <w:r>
        <w:br/>
        <w:t>• Reduced GTM uncertainty across priority ophthalmology segments</w:t>
      </w:r>
      <w:r>
        <w:br/>
        <w:t>• Improved specialist targeting efficiency through focused regional prioritization</w:t>
      </w:r>
      <w:r>
        <w:br/>
        <w:t>• Accelerated commercialization readiness for high-potential eye care categories</w:t>
      </w:r>
      <w:r>
        <w:br/>
        <w:t>• Strengthened competitive differentiation within specialist-driven prescription markets</w:t>
      </w:r>
      <w:r>
        <w:br/>
        <w:t>• Improved execution visibility across regional expansion planning</w:t>
      </w:r>
      <w:r>
        <w:br/>
        <w:t>• Reduced scaling friction between commercialization strategy and field deployment</w:t>
      </w:r>
      <w:r>
        <w:br/>
      </w:r>
      <w:r>
        <w:br/>
        <w:t>In specialty pharmaceuticals, market entry rarely fails because products lack potential.</w:t>
      </w:r>
      <w:r>
        <w:br/>
        <w:t>It fails because businesses underestimate how prescription behavior shapes execution economics.</w:t>
      </w:r>
      <w:r>
        <w:br/>
        <w:t>Specialist markets reward precision long before they reward scale.</w:t>
      </w:r>
      <w:r>
        <w:br/>
      </w:r>
      <w:r>
        <w:br/>
      </w:r>
      <w:r w:rsidR="005F5979">
        <w:rPr>
          <w:noProof/>
        </w:rPr>
        <w:drawing>
          <wp:inline distT="0" distB="0" distL="0" distR="0">
            <wp:extent cx="3454400" cy="3390900"/>
            <wp:effectExtent l="0" t="0" r="0" b="0"/>
            <wp:docPr id="17615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2308" name="Picture 1761592308"/>
                    <pic:cNvPicPr/>
                  </pic:nvPicPr>
                  <pic:blipFill>
                    <a:blip r:embed="rId6"/>
                    <a:stretch>
                      <a:fillRect/>
                    </a:stretch>
                  </pic:blipFill>
                  <pic:spPr>
                    <a:xfrm>
                      <a:off x="0" y="0"/>
                      <a:ext cx="3454400" cy="3390900"/>
                    </a:xfrm>
                    <a:prstGeom prst="rect">
                      <a:avLst/>
                    </a:prstGeom>
                  </pic:spPr>
                </pic:pic>
              </a:graphicData>
            </a:graphic>
          </wp:inline>
        </w:drawing>
      </w:r>
    </w:p>
    <w:p w:rsidR="005F5979" w:rsidRDefault="005F5979">
      <w:r>
        <w:rPr>
          <w:noProof/>
        </w:rPr>
        <w:lastRenderedPageBreak/>
        <w:drawing>
          <wp:inline distT="0" distB="0" distL="0" distR="0">
            <wp:extent cx="5486400" cy="2909570"/>
            <wp:effectExtent l="0" t="0" r="0" b="0"/>
            <wp:docPr id="1405840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40686" name="Picture 1405840686"/>
                    <pic:cNvPicPr/>
                  </pic:nvPicPr>
                  <pic:blipFill>
                    <a:blip r:embed="rId7"/>
                    <a:stretch>
                      <a:fillRect/>
                    </a:stretch>
                  </pic:blipFill>
                  <pic:spPr>
                    <a:xfrm>
                      <a:off x="0" y="0"/>
                      <a:ext cx="5486400" cy="2909570"/>
                    </a:xfrm>
                    <a:prstGeom prst="rect">
                      <a:avLst/>
                    </a:prstGeom>
                  </pic:spPr>
                </pic:pic>
              </a:graphicData>
            </a:graphic>
          </wp:inline>
        </w:drawing>
      </w:r>
    </w:p>
    <w:sectPr w:rsidR="005F59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288838">
    <w:abstractNumId w:val="8"/>
  </w:num>
  <w:num w:numId="2" w16cid:durableId="1652250300">
    <w:abstractNumId w:val="6"/>
  </w:num>
  <w:num w:numId="3" w16cid:durableId="375158916">
    <w:abstractNumId w:val="5"/>
  </w:num>
  <w:num w:numId="4" w16cid:durableId="336075271">
    <w:abstractNumId w:val="4"/>
  </w:num>
  <w:num w:numId="5" w16cid:durableId="1457142017">
    <w:abstractNumId w:val="7"/>
  </w:num>
  <w:num w:numId="6" w16cid:durableId="232589791">
    <w:abstractNumId w:val="3"/>
  </w:num>
  <w:num w:numId="7" w16cid:durableId="329256811">
    <w:abstractNumId w:val="2"/>
  </w:num>
  <w:num w:numId="8" w16cid:durableId="1453091332">
    <w:abstractNumId w:val="1"/>
  </w:num>
  <w:num w:numId="9" w16cid:durableId="48065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03D"/>
    <w:rsid w:val="00326F90"/>
    <w:rsid w:val="005F59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F8A24"/>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2026-05-20T14:11:00Z</dcterms:modified>
  <cp:category/>
</cp:coreProperties>
</file>