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611D" w:rsidRDefault="00000000" w:rsidP="0036480F">
      <w:pPr>
        <w:pStyle w:val="Heading1"/>
      </w:pPr>
      <w:r>
        <w:t>How GreyRadius Consulting helped a US hospital chain rethink healthcare expansion in Canada through a regulation-aligned, partnership-led operating model.</w:t>
      </w:r>
    </w:p>
    <w:p w:rsidR="00FC611D" w:rsidRDefault="00000000" w:rsidP="0036480F">
      <w:pPr>
        <w:pStyle w:val="Heading1"/>
      </w:pPr>
      <w:r>
        <w:rPr>
          <w:sz w:val="32"/>
        </w:rPr>
        <w:t>Context</w:t>
      </w:r>
    </w:p>
    <w:p w:rsidR="00FC611D" w:rsidRDefault="00000000">
      <w:r>
        <w:t>A US-based hospital chain was evaluating expansion into the Canadian healthcare market to diversify growth and establish a long-term North American presence.</w:t>
      </w:r>
    </w:p>
    <w:p w:rsidR="00FC611D" w:rsidRDefault="00000000">
      <w:r>
        <w:t>At the leadership level, the opportunity looked strategically attractive. Demand pressures across parts of the Canadian healthcare system, increasing focus on specialized care delivery, and gaps in operational capacity created visible market potential.</w:t>
      </w:r>
    </w:p>
    <w:p w:rsidR="00FC611D" w:rsidRDefault="00000000">
      <w:r>
        <w:t>But the expansion thesis began breaking down once execution realities surfaced.</w:t>
      </w:r>
    </w:p>
    <w:p w:rsidR="00FC611D" w:rsidRDefault="00000000">
      <w:r>
        <w:t>Healthcare in Canada was not a centralized commercial market. It was a province-driven ecosystem shaped by public funding structures, reimbursement constraints, regulatory oversight, and highly localized operating dynamics.</w:t>
      </w:r>
    </w:p>
    <w:p w:rsidR="00FC611D" w:rsidRDefault="00000000">
      <w:r>
        <w:t>What initially appeared to be a market-entry decision quickly became an execution architecture challenge.</w:t>
      </w:r>
    </w:p>
    <w:p w:rsidR="00FC611D" w:rsidRDefault="00000000">
      <w:r>
        <w:t>The business was attempting to apply a conventional US healthcare expansion model to a system where operating permissions, partnership structures, and scalability economics worked very differently.</w:t>
      </w:r>
    </w:p>
    <w:p w:rsidR="00FC611D" w:rsidRDefault="00000000">
      <w:pPr>
        <w:pStyle w:val="Heading1"/>
      </w:pPr>
      <w:r>
        <w:rPr>
          <w:sz w:val="32"/>
        </w:rPr>
        <w:t>The Core Challenge</w:t>
      </w:r>
    </w:p>
    <w:p w:rsidR="00FC611D" w:rsidRDefault="00000000">
      <w:r>
        <w:t>Leadership initially believed the primary challenge was identifying the right investment model and scaling hospital operations into high-demand regions.</w:t>
      </w:r>
    </w:p>
    <w:p w:rsidR="00FC611D" w:rsidRDefault="00000000">
      <w:r>
        <w:t>That was the surface problem.</w:t>
      </w:r>
    </w:p>
    <w:p w:rsidR="00FC611D" w:rsidRDefault="00000000">
      <w:r>
        <w:t>The real structural issue was deeper.</w:t>
      </w:r>
    </w:p>
    <w:p w:rsidR="00FC611D" w:rsidRDefault="00000000">
      <w:r>
        <w:t>The organization lacked alignment between its expansion ambition and the realities of the Canadian healthcare ecosystem.</w:t>
      </w:r>
    </w:p>
    <w:p w:rsidR="00FC611D" w:rsidRDefault="00000000">
      <w:r>
        <w:t>The original model assumed centralized expansion planning, greenfield scalability, operational replication across provinces, and commercially driven rollout sequencing.</w:t>
      </w:r>
    </w:p>
    <w:p w:rsidR="00FC611D" w:rsidRDefault="00000000">
      <w:r>
        <w:t>But healthcare delivery in Canada operated through fragmented provincial governance, differing reimbursement structures, localized stakeholder influence, and varying regulatory tolerance for private participation.</w:t>
      </w:r>
    </w:p>
    <w:p w:rsidR="00FC611D" w:rsidRDefault="00000000">
      <w:r>
        <w:lastRenderedPageBreak/>
        <w:t>As a result, the expansion strategy carried significant execution dependency.</w:t>
      </w:r>
    </w:p>
    <w:p w:rsidR="00FC611D" w:rsidRDefault="00000000">
      <w:r>
        <w:t>Without structural alignment, rapid expansion would likely create capital lock-in, regulatory delays, fragmented execution ownership, and weak scalability visibility.</w:t>
      </w:r>
    </w:p>
    <w:p w:rsidR="00FC611D" w:rsidRDefault="00000000">
      <w:pPr>
        <w:pStyle w:val="Heading1"/>
      </w:pPr>
      <w:r>
        <w:rPr>
          <w:sz w:val="32"/>
        </w:rPr>
        <w:t>The Decision Shift</w:t>
      </w:r>
    </w:p>
    <w:p w:rsidR="00FC611D" w:rsidRDefault="00000000">
      <w:r>
        <w:t>The company stopped treating Canada as a hospital expansion opportunity and started treating it as a healthcare system integration challenge.</w:t>
      </w:r>
    </w:p>
    <w:p w:rsidR="00FC611D" w:rsidRDefault="00000000">
      <w:r>
        <w:t>That shift changed the entire direction of the expansion model.</w:t>
      </w:r>
    </w:p>
    <w:p w:rsidR="00FC611D" w:rsidRDefault="00000000">
      <w:r>
        <w:t>Instead of pursuing direct ownership-led expansion, the business repositioned its approach around partnership-led market access, localized operating structures, and phased commercial validation.</w:t>
      </w:r>
    </w:p>
    <w:p w:rsidR="00FC611D" w:rsidRDefault="00000000">
      <w:r>
        <w:t>The strategic realization was important: in highly regulated healthcare systems, scale does not come from infrastructure first. It comes from institutional alignment, reimbursement compatibility, and execution legitimacy inside the system itself.</w:t>
      </w:r>
    </w:p>
    <w:p w:rsidR="00FC611D" w:rsidRDefault="00000000">
      <w:r>
        <w:t>The focus shifted from speed of rollout to quality of market fit.</w:t>
      </w:r>
    </w:p>
    <w:p w:rsidR="00FC611D" w:rsidRDefault="00000000">
      <w:pPr>
        <w:pStyle w:val="Heading1"/>
      </w:pPr>
      <w:r>
        <w:rPr>
          <w:sz w:val="32"/>
        </w:rPr>
        <w:t>What Changed in Execution</w:t>
      </w:r>
    </w:p>
    <w:p w:rsidR="00FC611D" w:rsidRDefault="00000000">
      <w:r>
        <w:t>The expansion model moved away from large upfront infrastructure assumptions toward phased execution governance and localized operating readiness.</w:t>
      </w:r>
    </w:p>
    <w:p w:rsidR="00FC611D" w:rsidRDefault="00000000">
      <w:r>
        <w:t>Greenfield expansion dependency was reduced in favor of partnership and collaboration-led structures that improved regulatory alignment and reduced capital exposure.</w:t>
      </w:r>
    </w:p>
    <w:p w:rsidR="00FC611D" w:rsidRDefault="00000000">
      <w:r>
        <w:t>Province-level prioritization became central to execution planning. Instead of treating Canada as a uniform healthcare market, leadership evaluated provinces based on healthcare demand patterns, reimbursement compatibility, policy openness, partnership potential, and operational feasibility.</w:t>
      </w:r>
    </w:p>
    <w:p w:rsidR="00FC611D" w:rsidRDefault="00000000">
      <w:r>
        <w:t>Aggressive multi-region rollout assumptions were replaced with phased validation models designed to reduce coordination friction, improve execution visibility, and create scalability checkpoints before additional expansion commitments were made.</w:t>
      </w:r>
    </w:p>
    <w:p w:rsidR="00FC611D" w:rsidRDefault="00000000">
      <w:pPr>
        <w:pStyle w:val="Heading1"/>
      </w:pPr>
      <w:r>
        <w:rPr>
          <w:sz w:val="32"/>
        </w:rPr>
        <w:t>Business Impact Delivered</w:t>
      </w:r>
    </w:p>
    <w:p w:rsidR="00FC611D" w:rsidRDefault="00000000">
      <w:r>
        <w:t>The revised approach materially improved expansion feasibility and reduced structural execution risk.</w:t>
      </w:r>
    </w:p>
    <w:p w:rsidR="00FC611D" w:rsidRDefault="00000000">
      <w:r>
        <w:t>Leadership gained clearer visibility into where expansion could realistically scale versus where operational and regulatory friction would likely slow execution maturity.</w:t>
      </w:r>
    </w:p>
    <w:p w:rsidR="00FC611D" w:rsidRDefault="00000000">
      <w:r>
        <w:lastRenderedPageBreak/>
        <w:t>The phased expansion structure improved capital allocation discipline by reducing exposure to premature infrastructure investment and uncertain operating assumptions.</w:t>
      </w:r>
    </w:p>
    <w:p w:rsidR="00FC611D" w:rsidRDefault="00000000">
      <w:r>
        <w:t>Most importantly, the business reduced the risk of entering the market with an operating model that was commercially scalable in theory but structurally incompatible in practice.</w:t>
      </w:r>
    </w:p>
    <w:p w:rsidR="00FC611D" w:rsidRDefault="00000000">
      <w:r>
        <w:t>The result was not faster expansion. It was more executable expansion.</w:t>
      </w:r>
    </w:p>
    <w:p w:rsidR="00FC611D" w:rsidRDefault="00000000">
      <w:pPr>
        <w:pStyle w:val="Heading1"/>
      </w:pPr>
      <w:r>
        <w:rPr>
          <w:sz w:val="32"/>
        </w:rPr>
        <w:t>Key Outcomes</w:t>
      </w:r>
    </w:p>
    <w:p w:rsidR="00FC611D" w:rsidRDefault="00000000">
      <w:r>
        <w:t>• Reduced market-entry risk exposure through phased expansion sequencing</w:t>
      </w:r>
      <w:r>
        <w:br/>
        <w:t>• Prioritized high-potential provinces based on healthcare demand and regulatory readiness</w:t>
      </w:r>
      <w:r>
        <w:br/>
        <w:t>• Improved visibility into reimbursement and operating model viability</w:t>
      </w:r>
      <w:r>
        <w:br/>
        <w:t>• Reduced capital exposure linked to premature infrastructure investment</w:t>
      </w:r>
      <w:r>
        <w:br/>
        <w:t>• Created a partnership-led healthcare entry structure aligned to localized execution realities</w:t>
      </w:r>
      <w:r>
        <w:br/>
        <w:t>• Improved long-term scalability planning through province-specific execution governance</w:t>
      </w:r>
    </w:p>
    <w:p w:rsidR="00FC611D" w:rsidRDefault="00000000">
      <w:r>
        <w:t>Executive Insight:</w:t>
      </w:r>
      <w:r>
        <w:br/>
        <w:t>In regulated healthcare markets, expansion success depends less on brand scale and more on how well the operating model fits the system it is entering. Execution maturity becomes the real differentiator once regulatory complexity starts shaping growth itself.</w:t>
      </w:r>
    </w:p>
    <w:sectPr w:rsidR="00FC61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080200">
    <w:abstractNumId w:val="8"/>
  </w:num>
  <w:num w:numId="2" w16cid:durableId="845633722">
    <w:abstractNumId w:val="6"/>
  </w:num>
  <w:num w:numId="3" w16cid:durableId="101001396">
    <w:abstractNumId w:val="5"/>
  </w:num>
  <w:num w:numId="4" w16cid:durableId="1651057864">
    <w:abstractNumId w:val="4"/>
  </w:num>
  <w:num w:numId="5" w16cid:durableId="335763781">
    <w:abstractNumId w:val="7"/>
  </w:num>
  <w:num w:numId="6" w16cid:durableId="1012269443">
    <w:abstractNumId w:val="3"/>
  </w:num>
  <w:num w:numId="7" w16cid:durableId="2019387218">
    <w:abstractNumId w:val="2"/>
  </w:num>
  <w:num w:numId="8" w16cid:durableId="119880541">
    <w:abstractNumId w:val="1"/>
  </w:num>
  <w:num w:numId="9" w16cid:durableId="144338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80F"/>
    <w:rsid w:val="00AA1D8D"/>
    <w:rsid w:val="00B47730"/>
    <w:rsid w:val="00CB0664"/>
    <w:rsid w:val="00FC61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1D275"/>
  <w14:defaultImageDpi w14:val="300"/>
  <w15:docId w15:val="{22E01E3C-DE54-DB49-927E-E04243BB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788</Words>
  <Characters>4495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CB</cp:lastModifiedBy>
  <cp:revision>2</cp:revision>
  <dcterms:created xsi:type="dcterms:W3CDTF">2013-12-23T23:15:00Z</dcterms:created>
  <dcterms:modified xsi:type="dcterms:W3CDTF">2026-05-20T14:13:00Z</dcterms:modified>
  <cp:category/>
</cp:coreProperties>
</file>