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54DC" w:rsidRDefault="00000000">
      <w:pPr>
        <w:jc w:val="center"/>
      </w:pPr>
      <w:r>
        <w:rPr>
          <w:i/>
          <w:sz w:val="24"/>
        </w:rPr>
        <w:t>How GreyRadius helped a US pharma technology firm build a centralized oncology evidence intelligence model for scalable cross-trial benchmarking.</w:t>
      </w:r>
    </w:p>
    <w:p w:rsidR="00DE54DC" w:rsidRDefault="00000000">
      <w:pPr>
        <w:pStyle w:val="Heading1"/>
      </w:pPr>
      <w:r>
        <w:t>Context</w:t>
      </w:r>
    </w:p>
    <w:p w:rsidR="00DE54DC" w:rsidRDefault="00000000">
      <w:r>
        <w:t>A US-based pharma technology firm was working with fragmented oncology clinical trial abstract data across multiple indications. Leadership initially saw the issue as a research productivity problem: analysts were spending too much time reading abstracts, interpreting outcomes, and preparing benchmark-ready evidence.</w:t>
      </w:r>
      <w:r>
        <w:br/>
      </w:r>
      <w:r>
        <w:br/>
        <w:t>But the deeper pressure was not volume alone. The business needed evidence that could be compared, trusted, and reused across clinical, competitive, and strategic decision workflows.</w:t>
      </w:r>
      <w:r>
        <w:br/>
      </w:r>
      <w:r>
        <w:br/>
        <w:t>As oncology portfolios became more complex, abstract-level data could no longer be handled as isolated research documents. Each abstract carried different endpoint language, cohort definitions, trial arm structures, comparator references, and reporting depth. This created scaling friction across evidence interpretation.</w:t>
      </w:r>
      <w:r>
        <w:br/>
      </w:r>
      <w:r>
        <w:br/>
        <w:t>What was at risk was commercially important: weak evidence benchmarking, inconsistent competitive intelligence, and slower oncology decision-making.</w:t>
      </w:r>
    </w:p>
    <w:p w:rsidR="00DE54DC" w:rsidRDefault="00000000">
      <w:pPr>
        <w:pStyle w:val="Heading1"/>
      </w:pPr>
      <w:r>
        <w:t>The Core Challenge</w:t>
      </w:r>
    </w:p>
    <w:p w:rsidR="00DE54DC" w:rsidRDefault="00000000">
      <w:r>
        <w:t>The surface problem was fragmented abstract review.</w:t>
      </w:r>
      <w:r>
        <w:br/>
      </w:r>
      <w:r>
        <w:br/>
        <w:t>The real structural issue was the absence of an evidence intelligence system.</w:t>
      </w:r>
      <w:r>
        <w:br/>
      </w:r>
      <w:r>
        <w:br/>
        <w:t>The company was relying on analyst-dependent interpretation, where each abstract was reviewed as a standalone document. This created inconsistency across indications, slowed benchmarking, and made cross-trial comparison difficult.</w:t>
      </w:r>
      <w:r>
        <w:br/>
      </w:r>
      <w:r>
        <w:br/>
        <w:t>The operating model lacked standard evidence structures. Outcomes, endpoints, comparators, cohorts, and trial arms were not consistently captured in a way that allowed scalable analysis.</w:t>
      </w:r>
      <w:r>
        <w:br/>
      </w:r>
      <w:r>
        <w:br/>
        <w:t>As evidence demand increased, the model became harder to scale. More analysts could increase review capacity, but they could not solve the underlying consistency problem.</w:t>
      </w:r>
      <w:r>
        <w:br/>
      </w:r>
      <w:r>
        <w:br/>
        <w:t>The bottleneck was not effort. It was evidence architecture.</w:t>
      </w:r>
    </w:p>
    <w:p w:rsidR="00DE54DC" w:rsidRDefault="00000000">
      <w:pPr>
        <w:pStyle w:val="Heading1"/>
      </w:pPr>
      <w:r>
        <w:lastRenderedPageBreak/>
        <w:t>The Decision Shift</w:t>
      </w:r>
    </w:p>
    <w:p w:rsidR="00DE54DC" w:rsidRDefault="00000000">
      <w:r>
        <w:t>The company stopped treating oncology abstracts as research documents and started treating them as inputs into a structured evidence intelligence system.</w:t>
      </w:r>
      <w:r>
        <w:br/>
      </w:r>
      <w:r>
        <w:br/>
        <w:t>This was the critical shift.</w:t>
      </w:r>
      <w:r>
        <w:br/>
      </w:r>
      <w:r>
        <w:br/>
        <w:t>The problem was reframed from “How do we review more abstracts faster?” to “How do we make abstract-level evidence comparable, reusable, and decision-ready at scale?”</w:t>
      </w:r>
      <w:r>
        <w:br/>
      </w:r>
      <w:r>
        <w:br/>
        <w:t>That shift changed the operating logic. Evidence interpretation could no longer depend on individual judgment alone. It needed standardized structures, shared definitions, and repeatable intelligence workflows.</w:t>
      </w:r>
      <w:r>
        <w:br/>
      </w:r>
      <w:r>
        <w:br/>
        <w:t>This allowed the business to move from manual interpretation to a centralized model designed for cross-trial comparability, indication-level analysis, and scalable benchmarking.</w:t>
      </w:r>
    </w:p>
    <w:p w:rsidR="00DE54DC" w:rsidRDefault="00000000">
      <w:pPr>
        <w:pStyle w:val="Heading1"/>
      </w:pPr>
      <w:r>
        <w:t>What Changed in Execution</w:t>
      </w:r>
    </w:p>
    <w:p w:rsidR="00DE54DC" w:rsidRDefault="00000000">
      <w:r>
        <w:t>Evidence review moved from fragmented document reading to structured extraction.</w:t>
      </w:r>
      <w:r>
        <w:br/>
      </w:r>
      <w:r>
        <w:br/>
        <w:t>Cohorts, endpoints, comparators, trial arms, and outcome measures were organized into consistent evidence structures. This reduced interpretation variance and created a clearer basis for analysis.</w:t>
      </w:r>
      <w:r>
        <w:br/>
      </w:r>
      <w:r>
        <w:br/>
        <w:t>The workflow shifted from analyst-dependent judgment to centralized evidence governance. Teams were no longer rebuilding logic from scratch for every abstract or indication.</w:t>
      </w:r>
      <w:r>
        <w:br/>
      </w:r>
      <w:r>
        <w:br/>
        <w:t>Benchmarking also changed. Instead of comparing documents, the business could compare evidence elements across trials, cohorts, and indications.</w:t>
      </w:r>
      <w:r>
        <w:br/>
      </w:r>
      <w:r>
        <w:br/>
        <w:t>This improved execution visibility. Leaders could see where evidence was complete, where interpretation gaps existed, and where additional validation was needed.</w:t>
      </w:r>
      <w:r>
        <w:br/>
      </w:r>
      <w:r>
        <w:br/>
        <w:t>The model also created stronger operating discipline. Evidence could now move through a repeatable structure rather than through reactive coordination across analysts and stakeholders.</w:t>
      </w:r>
    </w:p>
    <w:p w:rsidR="00DE54DC" w:rsidRDefault="00000000">
      <w:pPr>
        <w:pStyle w:val="Heading1"/>
      </w:pPr>
      <w:r>
        <w:t>Business Impact Delivered</w:t>
      </w:r>
    </w:p>
    <w:p w:rsidR="00DE54DC" w:rsidRDefault="00000000">
      <w:r>
        <w:t>The new evidence intelligence model improved consistency, speed, and scalability.</w:t>
      </w:r>
      <w:r>
        <w:br/>
      </w:r>
      <w:r>
        <w:br/>
        <w:t xml:space="preserve">Manual evidence review effort reduced by 40–60%, allowing analyst time to shift from </w:t>
      </w:r>
      <w:r>
        <w:lastRenderedPageBreak/>
        <w:t>repetitive extraction to higher-value interpretation.</w:t>
      </w:r>
      <w:r>
        <w:br/>
      </w:r>
      <w:r>
        <w:br/>
        <w:t>Benchmark-ready evidence generation timelines accelerated by 30–50%, improving responsiveness for oncology intelligence needs.</w:t>
      </w:r>
      <w:r>
        <w:br/>
      </w:r>
      <w:r>
        <w:br/>
        <w:t>Evidence structuring consistency improved across multiple oncology indications, reducing the risk of misaligned comparisons and unreliable competitive intelligence.</w:t>
      </w:r>
      <w:r>
        <w:br/>
      </w:r>
      <w:r>
        <w:br/>
        <w:t>Most importantly, the company gained a scalable foundation for oncology decision support. Evidence could now be structured once and reused across strategic analysis, competitive reviews, and indication-level benchmarking.</w:t>
      </w:r>
    </w:p>
    <w:p w:rsidR="00DE54DC" w:rsidRDefault="00000000">
      <w:pPr>
        <w:pStyle w:val="Heading1"/>
      </w:pPr>
      <w:r>
        <w:t>Key Outcomes</w:t>
      </w:r>
    </w:p>
    <w:p w:rsidR="00DE54DC" w:rsidRDefault="00000000">
      <w:r>
        <w:t>• Manual evidence review effort reduced by 40–60%.</w:t>
      </w:r>
      <w:r>
        <w:br/>
        <w:t>• Benchmark-ready evidence generation timelines improved by 30–50%.</w:t>
      </w:r>
      <w:r>
        <w:br/>
        <w:t>• Evidence consistency improved across multiple oncology indications.</w:t>
      </w:r>
      <w:r>
        <w:br/>
        <w:t>• Cross-trial benchmarking became more scalable and less dependent on individual analyst interpretation.</w:t>
      </w:r>
      <w:r>
        <w:br/>
        <w:t>• The business moved from fragmented abstract interpretation to structured oncology evidence intelligence.</w:t>
      </w:r>
      <w:r>
        <w:br/>
      </w:r>
      <w:r>
        <w:br/>
        <w:t>In oncology intelligence, scale does not come from reading more abstracts. It comes from building evidence systems that make complex clinical data comparable, reusable, and decision-ready.</w:t>
      </w:r>
    </w:p>
    <w:sectPr w:rsidR="00DE54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598897">
    <w:abstractNumId w:val="8"/>
  </w:num>
  <w:num w:numId="2" w16cid:durableId="1230731841">
    <w:abstractNumId w:val="6"/>
  </w:num>
  <w:num w:numId="3" w16cid:durableId="2118330922">
    <w:abstractNumId w:val="5"/>
  </w:num>
  <w:num w:numId="4" w16cid:durableId="1174568262">
    <w:abstractNumId w:val="4"/>
  </w:num>
  <w:num w:numId="5" w16cid:durableId="1346901352">
    <w:abstractNumId w:val="7"/>
  </w:num>
  <w:num w:numId="6" w16cid:durableId="2068215169">
    <w:abstractNumId w:val="3"/>
  </w:num>
  <w:num w:numId="7" w16cid:durableId="186259159">
    <w:abstractNumId w:val="2"/>
  </w:num>
  <w:num w:numId="8" w16cid:durableId="1742437951">
    <w:abstractNumId w:val="1"/>
  </w:num>
  <w:num w:numId="9" w16cid:durableId="34170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E54DC"/>
    <w:rsid w:val="00FC693F"/>
    <w:rsid w:val="00FD4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86F0E"/>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2026-05-20T14:13:00Z</dcterms:modified>
  <cp:category/>
</cp:coreProperties>
</file>