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53A2" w:rsidRDefault="00000000">
      <w:pPr>
        <w:spacing w:after="80"/>
      </w:pPr>
      <w:r>
        <w:rPr>
          <w:b/>
          <w:bCs/>
          <w:color w:val="7A7A7A"/>
          <w:spacing w:val="150"/>
          <w:sz w:val="16"/>
          <w:szCs w:val="16"/>
        </w:rPr>
        <w:t>GREYRADIUS  ·  CASE STUDY</w:t>
      </w:r>
    </w:p>
    <w:p w:rsidR="001053A2" w:rsidRDefault="001053A2">
      <w:pPr>
        <w:pBdr>
          <w:bottom w:val="single" w:sz="8" w:space="1" w:color="1A1A1A"/>
        </w:pBdr>
      </w:pPr>
    </w:p>
    <w:p w:rsidR="001053A2" w:rsidRDefault="001053A2">
      <w:pPr>
        <w:spacing w:before="240"/>
      </w:pPr>
    </w:p>
    <w:p w:rsidR="001053A2" w:rsidRDefault="00000000">
      <w:pPr>
        <w:spacing w:after="200"/>
      </w:pPr>
      <w:r>
        <w:rPr>
          <w:color w:val="555555"/>
        </w:rPr>
        <w:t>How GreyRadius helped an early-stage fresh foods brand replace founder intuition with validated consumer intelligence — and convert assumption-led planning into a defensible, investor-grade GTM architecture before a single rupee of distribution spend.</w:t>
      </w:r>
    </w:p>
    <w:p w:rsidR="001053A2" w:rsidRDefault="001053A2">
      <w:pPr>
        <w:pBdr>
          <w:bottom w:val="single" w:sz="4" w:space="1" w:color="CCCCCC"/>
        </w:pBdr>
      </w:pPr>
    </w:p>
    <w:p w:rsidR="001053A2" w:rsidRDefault="001053A2">
      <w:pPr>
        <w:spacing w:before="80"/>
      </w:pPr>
    </w:p>
    <w:p w:rsidR="001053A2" w:rsidRDefault="00000000">
      <w:pPr>
        <w:spacing w:before="320" w:after="100"/>
      </w:pPr>
      <w:r>
        <w:rPr>
          <w:b/>
          <w:bCs/>
          <w:color w:val="7A7A7A"/>
          <w:spacing w:val="120"/>
          <w:sz w:val="18"/>
          <w:szCs w:val="18"/>
        </w:rPr>
        <w:t>CONTEXT</w:t>
      </w:r>
    </w:p>
    <w:p w:rsidR="001053A2" w:rsidRDefault="00000000">
      <w:pPr>
        <w:spacing w:after="160"/>
      </w:pPr>
      <w:r>
        <w:rPr>
          <w:color w:val="333333"/>
        </w:rPr>
        <w:t xml:space="preserve">A multi-SKU fresh foods brand — milk, </w:t>
      </w:r>
      <w:proofErr w:type="spellStart"/>
      <w:r>
        <w:rPr>
          <w:color w:val="333333"/>
        </w:rPr>
        <w:t>batter</w:t>
      </w:r>
      <w:proofErr w:type="spellEnd"/>
      <w:r>
        <w:rPr>
          <w:color w:val="333333"/>
        </w:rPr>
        <w:t>, eggs, curd — was preparing to enter Bengaluru's cluttered CPG market. The founding team had product-market fit in their heads, a portfolio of eight SKUs in hand, and enough capital to launch.</w:t>
      </w:r>
    </w:p>
    <w:p w:rsidR="001053A2" w:rsidRDefault="00000000">
      <w:pPr>
        <w:spacing w:after="160"/>
      </w:pPr>
      <w:r>
        <w:rPr>
          <w:color w:val="333333"/>
        </w:rPr>
        <w:t>What they did not have: a validated read on which consumer segments would convert, which price points would hold under competitive pressure, which channels would actually close purchases, and whether their packaging would earn trust at the point of sale.</w:t>
      </w:r>
    </w:p>
    <w:p w:rsidR="001053A2" w:rsidRDefault="00000000">
      <w:pPr>
        <w:spacing w:after="160"/>
      </w:pPr>
      <w:r>
        <w:rPr>
          <w:color w:val="333333"/>
        </w:rPr>
        <w:t>The market they were entering is unforgiving. Fresh foods in Bengaluru is a category dominated by entrenched incumbents with established supply chains, familiar brand cues, and consumer habits built over years. A new entrant cannot out-distribute them. The only viable entry strategy is precision — knowing exactly where to play, and why the consumer there will switch.</w:t>
      </w:r>
    </w:p>
    <w:p w:rsidR="001053A2" w:rsidRDefault="001053A2">
      <w:pPr>
        <w:pBdr>
          <w:bottom w:val="single" w:sz="4" w:space="1" w:color="CCCCCC"/>
        </w:pBdr>
      </w:pPr>
    </w:p>
    <w:p w:rsidR="001053A2" w:rsidRDefault="00000000">
      <w:pPr>
        <w:spacing w:before="320" w:after="100"/>
      </w:pPr>
      <w:r>
        <w:rPr>
          <w:b/>
          <w:bCs/>
          <w:color w:val="7A7A7A"/>
          <w:spacing w:val="120"/>
          <w:sz w:val="18"/>
          <w:szCs w:val="18"/>
        </w:rPr>
        <w:t>THE CORE CHALLENGE</w:t>
      </w:r>
    </w:p>
    <w:p w:rsidR="001053A2" w:rsidRDefault="00000000">
      <w:pPr>
        <w:spacing w:after="160"/>
      </w:pPr>
      <w:r>
        <w:rPr>
          <w:color w:val="333333"/>
        </w:rPr>
        <w:t>The visible problem was straightforward: the brand needed a go-to-market plan before launch.</w:t>
      </w:r>
    </w:p>
    <w:p w:rsidR="001053A2" w:rsidRDefault="00000000">
      <w:pPr>
        <w:spacing w:after="160"/>
      </w:pPr>
      <w:r>
        <w:rPr>
          <w:color w:val="333333"/>
        </w:rPr>
        <w:t>The structural problem was more serious. The brand had conflated product readiness with launch readiness. Having eight SKUs was mistaken for having a GTM strategy. Every key decision — segment targeting, pricing, channel selection, packaging — rested on founder assumptions that had never been stress-tested against real consumer behaviour.</w:t>
      </w:r>
    </w:p>
    <w:p w:rsidR="001053A2" w:rsidRDefault="00000000">
      <w:pPr>
        <w:spacing w:after="160"/>
      </w:pPr>
      <w:r>
        <w:rPr>
          <w:color w:val="333333"/>
        </w:rPr>
        <w:t>This is a common and costly failure mode in early-stage CPG. Founders understand their product deeply. They understand the consumer far less deeply than they believe. In a commoditized fresh foods category — where switching costs are low, visual cues drive purchase decisions, and price sensitivity operates within tight bands — assumption-led entry does not fail slowly. It fails expensively, and late.</w:t>
      </w:r>
    </w:p>
    <w:p w:rsidR="001053A2" w:rsidRDefault="00000000">
      <w:pPr>
        <w:spacing w:after="160"/>
      </w:pPr>
      <w:r>
        <w:rPr>
          <w:color w:val="333333"/>
        </w:rPr>
        <w:t>The real challenge was not building a launch plan. It was building the evidence base that any credible launch plan must rest on.</w:t>
      </w:r>
    </w:p>
    <w:p w:rsidR="001053A2" w:rsidRDefault="001053A2">
      <w:pPr>
        <w:pBdr>
          <w:bottom w:val="single" w:sz="4" w:space="1" w:color="CCCCCC"/>
        </w:pBdr>
      </w:pPr>
    </w:p>
    <w:p w:rsidR="001053A2" w:rsidRDefault="00000000">
      <w:pPr>
        <w:spacing w:before="320" w:after="100"/>
      </w:pPr>
      <w:r>
        <w:rPr>
          <w:b/>
          <w:bCs/>
          <w:color w:val="7A7A7A"/>
          <w:spacing w:val="120"/>
          <w:sz w:val="18"/>
          <w:szCs w:val="18"/>
        </w:rPr>
        <w:t>THE DECISION SHIFT</w:t>
      </w:r>
    </w:p>
    <w:p w:rsidR="001053A2" w:rsidRDefault="001053A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053A2">
        <w:tblPrEx>
          <w:tblCellMar>
            <w:top w:w="0" w:type="dxa"/>
            <w:bottom w:w="0" w:type="dxa"/>
          </w:tblCellMar>
        </w:tblPrEx>
        <w:tc>
          <w:tcPr>
            <w:tcW w:w="9026" w:type="dxa"/>
            <w:tcBorders>
              <w:left w:val="single" w:sz="16" w:space="0" w:color="1A1A1A"/>
            </w:tcBorders>
            <w:shd w:val="clear" w:color="auto" w:fill="F0EFE8"/>
            <w:tcMar>
              <w:top w:w="240" w:type="dxa"/>
              <w:left w:w="360" w:type="dxa"/>
              <w:bottom w:w="240" w:type="dxa"/>
              <w:right w:w="360" w:type="dxa"/>
            </w:tcMar>
          </w:tcPr>
          <w:p w:rsidR="001053A2" w:rsidRDefault="00000000">
            <w:pPr>
              <w:spacing w:after="120"/>
            </w:pPr>
            <w:r>
              <w:rPr>
                <w:b/>
                <w:bCs/>
                <w:i/>
                <w:iCs/>
                <w:color w:val="1A1A1A"/>
                <w:sz w:val="24"/>
                <w:szCs w:val="24"/>
              </w:rPr>
              <w:t>The company stopped treating GTM as a planning problem and started treating it as a validation problem.</w:t>
            </w:r>
          </w:p>
          <w:p w:rsidR="001053A2" w:rsidRDefault="00000000">
            <w:pPr>
              <w:spacing w:after="120"/>
            </w:pPr>
            <w:r>
              <w:rPr>
                <w:color w:val="444444"/>
              </w:rPr>
              <w:lastRenderedPageBreak/>
              <w:t>The realization was precise: in a commoditized fresh foods category, differentiation is not built in the product — it is built through segment precision, validated pricing, sequenced channel entry, and consumer-tested brand cues. All of these must be established before distribution spend begins. After spend, the assumptions get tested by the market, and correction is expensive. Before spend, they can be tested cheaply.</w:t>
            </w:r>
          </w:p>
          <w:p w:rsidR="001053A2" w:rsidRDefault="00000000">
            <w:r>
              <w:rPr>
                <w:color w:val="444444"/>
              </w:rPr>
              <w:t>This shifted the entire operating logic. Instead of building a launch plan from the top down — strategy first, execution second — the brand moved to a data-gated discipline: no distribution decision until the underlying consumer intelligence was validated. No pricing rollout until elasticity thresholds were confirmed. No packaging finalization until purchase intent data came back.</w:t>
            </w:r>
          </w:p>
        </w:tc>
      </w:tr>
    </w:tbl>
    <w:p w:rsidR="001053A2" w:rsidRDefault="001053A2">
      <w:pPr>
        <w:spacing w:before="200"/>
      </w:pPr>
    </w:p>
    <w:p w:rsidR="001053A2" w:rsidRDefault="001053A2">
      <w:pPr>
        <w:pBdr>
          <w:bottom w:val="single" w:sz="4" w:space="1" w:color="CCCCCC"/>
        </w:pBdr>
      </w:pPr>
    </w:p>
    <w:p w:rsidR="001053A2" w:rsidRDefault="00000000">
      <w:pPr>
        <w:spacing w:before="320" w:after="100"/>
      </w:pPr>
      <w:r>
        <w:rPr>
          <w:b/>
          <w:bCs/>
          <w:color w:val="7A7A7A"/>
          <w:spacing w:val="120"/>
          <w:sz w:val="18"/>
          <w:szCs w:val="18"/>
        </w:rPr>
        <w:t>WHAT CHANGED IN EXECUTION</w:t>
      </w:r>
    </w:p>
    <w:p w:rsidR="001053A2" w:rsidRDefault="00000000">
      <w:pPr>
        <w:spacing w:after="160"/>
      </w:pPr>
      <w:r>
        <w:rPr>
          <w:color w:val="333333"/>
        </w:rPr>
        <w:t>Channel selection shifted from a broad city-wide rollout to a sequenced micro-market activation model. Seven micro-markets in Bengaluru were mapped, prioritized by demand density and competitive exposure, and ranked for activation sequence. This reduced spread and increased activation density — meaning each rupee of channel investment landed in areas with the highest validated conversion potential.</w:t>
      </w:r>
    </w:p>
    <w:p w:rsidR="001053A2" w:rsidRDefault="00000000">
      <w:pPr>
        <w:spacing w:after="160"/>
      </w:pPr>
      <w:r>
        <w:rPr>
          <w:color w:val="333333"/>
        </w:rPr>
        <w:t>Pricing moved from cost-plus assumption to consumer-validated elasticity bands. Segment-specific price thresholds were tested and confirmed before rollout. The outcome was a 17–25% acceptance band — a commercially actionable range that gave the brand pricing room without overexposing margin.</w:t>
      </w:r>
    </w:p>
    <w:p w:rsidR="001053A2" w:rsidRDefault="00000000">
      <w:pPr>
        <w:spacing w:after="160"/>
      </w:pPr>
      <w:r>
        <w:rPr>
          <w:color w:val="333333"/>
        </w:rPr>
        <w:t>Packaging was removed from the founder's creative brief and placed into consumer testing. Over 40 design variants were evaluated across trust cues, shelf appeal, and stated purchase intent. The eight SKUs that survived testing carried consumer validation behind every design choice — not aesthetic preference.</w:t>
      </w:r>
    </w:p>
    <w:p w:rsidR="001053A2" w:rsidRDefault="00000000">
      <w:pPr>
        <w:spacing w:after="160"/>
      </w:pPr>
      <w:r>
        <w:rPr>
          <w:color w:val="333333"/>
        </w:rPr>
        <w:t xml:space="preserve">Sales forecasting shifted from founder projection to investor-grade demand </w:t>
      </w:r>
      <w:proofErr w:type="spellStart"/>
      <w:r>
        <w:rPr>
          <w:color w:val="333333"/>
        </w:rPr>
        <w:t>modeling</w:t>
      </w:r>
      <w:proofErr w:type="spellEnd"/>
      <w:r>
        <w:rPr>
          <w:color w:val="333333"/>
        </w:rPr>
        <w:t xml:space="preserve">. TAM/SAM/SOM analysis combined with micro-market demand </w:t>
      </w:r>
      <w:proofErr w:type="spellStart"/>
      <w:r>
        <w:rPr>
          <w:color w:val="333333"/>
        </w:rPr>
        <w:t>modeling</w:t>
      </w:r>
      <w:proofErr w:type="spellEnd"/>
      <w:r>
        <w:rPr>
          <w:color w:val="333333"/>
        </w:rPr>
        <w:t xml:space="preserve"> replaced back-of-envelope projections, giving the business a credible number to plan operations and capital deployment against.</w:t>
      </w:r>
    </w:p>
    <w:p w:rsidR="001053A2" w:rsidRDefault="001053A2">
      <w:pPr>
        <w:pBdr>
          <w:bottom w:val="single" w:sz="4" w:space="1" w:color="CCCCCC"/>
        </w:pBdr>
      </w:pPr>
    </w:p>
    <w:p w:rsidR="001053A2" w:rsidRDefault="00000000">
      <w:pPr>
        <w:spacing w:before="320" w:after="100"/>
      </w:pPr>
      <w:r>
        <w:rPr>
          <w:b/>
          <w:bCs/>
          <w:color w:val="7A7A7A"/>
          <w:spacing w:val="120"/>
          <w:sz w:val="18"/>
          <w:szCs w:val="18"/>
        </w:rPr>
        <w:t>BUSINESS IMPACT DELIVERED</w:t>
      </w:r>
    </w:p>
    <w:p w:rsidR="001053A2" w:rsidRDefault="00000000">
      <w:pPr>
        <w:spacing w:after="160"/>
      </w:pPr>
      <w:r>
        <w:rPr>
          <w:color w:val="333333"/>
        </w:rPr>
        <w:t>The brand moved from idea-stage to fully launch-ready within three months — with validated demand, de-risked pricing, and channel-specific rollout clarity in place. This is not a small operational outcome. In a cluttered, incumbent-heavy fresh foods category, entering with precision rather than assumption is a structural advantage that compounds over the first year of operations.</w:t>
      </w:r>
    </w:p>
    <w:p w:rsidR="001053A2" w:rsidRDefault="00000000">
      <w:pPr>
        <w:spacing w:after="160"/>
      </w:pPr>
      <w:r>
        <w:rPr>
          <w:color w:val="333333"/>
        </w:rPr>
        <w:t>Capital that would have been deployed into a blind market entry — testing pricing in the field, correcting channel mix after underperformance, rebuilding packaging after poor shelf response — was preserved. The cost of getting it wrong in market is always higher than the cost of getting it right before entry.</w:t>
      </w:r>
    </w:p>
    <w:p w:rsidR="001053A2" w:rsidRDefault="00000000">
      <w:pPr>
        <w:spacing w:after="160"/>
      </w:pPr>
      <w:r>
        <w:rPr>
          <w:color w:val="333333"/>
        </w:rPr>
        <w:t xml:space="preserve">The launch architecture that emerged — segment-specific, channel-sequenced, price-validated, packaging-tested — is also investor-ready. The numbers behind it are defensible. </w:t>
      </w:r>
      <w:r>
        <w:rPr>
          <w:color w:val="333333"/>
        </w:rPr>
        <w:lastRenderedPageBreak/>
        <w:t>That matters: early-stage CPG brands routinely lose credibility with investors and retail partners when their GTM assumptions cannot be substantiated.</w:t>
      </w:r>
    </w:p>
    <w:p w:rsidR="001053A2" w:rsidRDefault="001053A2">
      <w:pPr>
        <w:pBdr>
          <w:bottom w:val="single" w:sz="4" w:space="1" w:color="CCCCCC"/>
        </w:pBdr>
      </w:pPr>
    </w:p>
    <w:p w:rsidR="001053A2" w:rsidRDefault="00000000">
      <w:pPr>
        <w:spacing w:before="320" w:after="100"/>
      </w:pPr>
      <w:r>
        <w:rPr>
          <w:b/>
          <w:bCs/>
          <w:color w:val="7A7A7A"/>
          <w:spacing w:val="120"/>
          <w:sz w:val="18"/>
          <w:szCs w:val="18"/>
        </w:rPr>
        <w:t>KEY OUTCOMES</w:t>
      </w:r>
    </w:p>
    <w:p w:rsidR="001053A2" w:rsidRDefault="001053A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1053A2">
        <w:tblPrEx>
          <w:tblCellMar>
            <w:top w:w="0" w:type="dxa"/>
            <w:bottom w:w="0" w:type="dxa"/>
          </w:tblCellMar>
        </w:tblPrEx>
        <w:tc>
          <w:tcPr>
            <w:tcW w:w="3009" w:type="dxa"/>
            <w:tcBorders>
              <w:left w:val="none" w:sz="2" w:space="0" w:color="444444"/>
            </w:tcBorders>
            <w:shd w:val="clear" w:color="auto" w:fill="1A1A1A"/>
            <w:tcMar>
              <w:top w:w="200" w:type="dxa"/>
              <w:left w:w="200" w:type="dxa"/>
              <w:bottom w:w="120" w:type="dxa"/>
              <w:right w:w="200" w:type="dxa"/>
            </w:tcMar>
          </w:tcPr>
          <w:p w:rsidR="001053A2" w:rsidRDefault="00000000">
            <w:pPr>
              <w:jc w:val="center"/>
            </w:pPr>
            <w:r>
              <w:rPr>
                <w:b/>
                <w:bCs/>
                <w:color w:val="FFFFFF"/>
                <w:sz w:val="36"/>
                <w:szCs w:val="36"/>
              </w:rPr>
              <w:t>₹3.8–4.5 Cr</w:t>
            </w:r>
          </w:p>
        </w:tc>
        <w:tc>
          <w:tcPr>
            <w:tcW w:w="3009" w:type="dxa"/>
            <w:tcBorders>
              <w:left w:val="single" w:sz="2" w:space="0" w:color="444444"/>
            </w:tcBorders>
            <w:shd w:val="clear" w:color="auto" w:fill="1A1A1A"/>
            <w:tcMar>
              <w:top w:w="200" w:type="dxa"/>
              <w:left w:w="200" w:type="dxa"/>
              <w:bottom w:w="120" w:type="dxa"/>
              <w:right w:w="200" w:type="dxa"/>
            </w:tcMar>
          </w:tcPr>
          <w:p w:rsidR="001053A2" w:rsidRDefault="00000000">
            <w:pPr>
              <w:jc w:val="center"/>
            </w:pPr>
            <w:r>
              <w:rPr>
                <w:b/>
                <w:bCs/>
                <w:color w:val="FFFFFF"/>
                <w:sz w:val="36"/>
                <w:szCs w:val="36"/>
              </w:rPr>
              <w:t>+21%</w:t>
            </w:r>
          </w:p>
        </w:tc>
        <w:tc>
          <w:tcPr>
            <w:tcW w:w="3009" w:type="dxa"/>
            <w:tcBorders>
              <w:left w:val="single" w:sz="2" w:space="0" w:color="444444"/>
            </w:tcBorders>
            <w:shd w:val="clear" w:color="auto" w:fill="1A1A1A"/>
            <w:tcMar>
              <w:top w:w="200" w:type="dxa"/>
              <w:left w:w="200" w:type="dxa"/>
              <w:bottom w:w="120" w:type="dxa"/>
              <w:right w:w="200" w:type="dxa"/>
            </w:tcMar>
          </w:tcPr>
          <w:p w:rsidR="001053A2" w:rsidRDefault="00000000">
            <w:pPr>
              <w:jc w:val="center"/>
            </w:pPr>
            <w:r>
              <w:rPr>
                <w:b/>
                <w:bCs/>
                <w:color w:val="FFFFFF"/>
                <w:sz w:val="36"/>
                <w:szCs w:val="36"/>
              </w:rPr>
              <w:t>34%</w:t>
            </w:r>
          </w:p>
        </w:tc>
      </w:tr>
      <w:tr w:rsidR="001053A2">
        <w:tblPrEx>
          <w:tblCellMar>
            <w:top w:w="0" w:type="dxa"/>
            <w:bottom w:w="0" w:type="dxa"/>
          </w:tblCellMar>
        </w:tblPrEx>
        <w:tc>
          <w:tcPr>
            <w:tcW w:w="3009" w:type="dxa"/>
            <w:tcBorders>
              <w:left w:val="none" w:sz="2" w:space="0" w:color="CCCCCC"/>
            </w:tcBorders>
            <w:shd w:val="clear" w:color="auto" w:fill="EEEDE6"/>
            <w:tcMar>
              <w:top w:w="160" w:type="dxa"/>
              <w:left w:w="200" w:type="dxa"/>
              <w:bottom w:w="160" w:type="dxa"/>
              <w:right w:w="200" w:type="dxa"/>
            </w:tcMar>
          </w:tcPr>
          <w:p w:rsidR="001053A2" w:rsidRDefault="00000000">
            <w:pPr>
              <w:jc w:val="center"/>
            </w:pPr>
            <w:r>
              <w:rPr>
                <w:color w:val="555555"/>
                <w:sz w:val="18"/>
                <w:szCs w:val="18"/>
              </w:rPr>
              <w:t>Demand potential validated for Year 1 across 7 micro-markets</w:t>
            </w:r>
          </w:p>
        </w:tc>
        <w:tc>
          <w:tcPr>
            <w:tcW w:w="3009" w:type="dxa"/>
            <w:tcBorders>
              <w:left w:val="single" w:sz="2" w:space="0" w:color="CCCCCC"/>
            </w:tcBorders>
            <w:shd w:val="clear" w:color="auto" w:fill="EEEDE6"/>
            <w:tcMar>
              <w:top w:w="160" w:type="dxa"/>
              <w:left w:w="200" w:type="dxa"/>
              <w:bottom w:w="160" w:type="dxa"/>
              <w:right w:w="200" w:type="dxa"/>
            </w:tcMar>
          </w:tcPr>
          <w:p w:rsidR="001053A2" w:rsidRDefault="00000000">
            <w:pPr>
              <w:jc w:val="center"/>
            </w:pPr>
            <w:r>
              <w:rPr>
                <w:color w:val="555555"/>
                <w:sz w:val="18"/>
                <w:szCs w:val="18"/>
              </w:rPr>
              <w:t>Improvement in stated purchase intent post packaging iteration</w:t>
            </w:r>
          </w:p>
        </w:tc>
        <w:tc>
          <w:tcPr>
            <w:tcW w:w="3009" w:type="dxa"/>
            <w:tcBorders>
              <w:left w:val="single" w:sz="2" w:space="0" w:color="CCCCCC"/>
            </w:tcBorders>
            <w:shd w:val="clear" w:color="auto" w:fill="EEEDE6"/>
            <w:tcMar>
              <w:top w:w="160" w:type="dxa"/>
              <w:left w:w="200" w:type="dxa"/>
              <w:bottom w:w="160" w:type="dxa"/>
              <w:right w:w="200" w:type="dxa"/>
            </w:tcMar>
          </w:tcPr>
          <w:p w:rsidR="001053A2" w:rsidRDefault="00000000">
            <w:pPr>
              <w:jc w:val="center"/>
            </w:pPr>
            <w:r>
              <w:rPr>
                <w:color w:val="555555"/>
                <w:sz w:val="18"/>
                <w:szCs w:val="18"/>
              </w:rPr>
              <w:t>Reduction in market activation timeline vs. unstructured launch approach</w:t>
            </w:r>
          </w:p>
        </w:tc>
      </w:tr>
    </w:tbl>
    <w:p w:rsidR="001053A2" w:rsidRDefault="001053A2">
      <w:pPr>
        <w:spacing w:before="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053A2">
        <w:tblPrEx>
          <w:tblCellMar>
            <w:top w:w="0" w:type="dxa"/>
            <w:bottom w:w="0" w:type="dxa"/>
          </w:tblCellMar>
        </w:tblPrEx>
        <w:tc>
          <w:tcPr>
            <w:tcW w:w="9026" w:type="dxa"/>
            <w:tcBorders>
              <w:top w:val="single" w:sz="2" w:space="0" w:color="CCCCCC"/>
              <w:bottom w:val="single" w:sz="2" w:space="0" w:color="CCCCCC"/>
            </w:tcBorders>
            <w:shd w:val="clear" w:color="auto" w:fill="F7F6F1"/>
            <w:tcMar>
              <w:top w:w="280" w:type="dxa"/>
              <w:left w:w="400" w:type="dxa"/>
              <w:bottom w:w="280" w:type="dxa"/>
              <w:right w:w="400" w:type="dxa"/>
            </w:tcMar>
          </w:tcPr>
          <w:p w:rsidR="001053A2" w:rsidRDefault="00000000">
            <w:pPr>
              <w:jc w:val="center"/>
            </w:pPr>
            <w:r>
              <w:rPr>
                <w:i/>
                <w:iCs/>
                <w:color w:val="1A1A1A"/>
                <w:sz w:val="24"/>
                <w:szCs w:val="24"/>
              </w:rPr>
              <w:t>"In commoditized CPG categories, the competitive moat is built before launch — through segment precision and validated positioning — not after distribution spend proves the assumptions wrong."</w:t>
            </w:r>
          </w:p>
        </w:tc>
      </w:tr>
    </w:tbl>
    <w:p w:rsidR="00C735EE" w:rsidRDefault="00C735EE">
      <w:pPr>
        <w:spacing w:before="160"/>
      </w:pPr>
      <w:r>
        <w:rPr>
          <w:noProof/>
        </w:rPr>
        <w:drawing>
          <wp:inline distT="0" distB="0" distL="0" distR="0">
            <wp:extent cx="5731510" cy="3638550"/>
            <wp:effectExtent l="0" t="0" r="0" b="6350"/>
            <wp:docPr id="1282367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67510" name="Picture 1282367510"/>
                    <pic:cNvPicPr/>
                  </pic:nvPicPr>
                  <pic:blipFill>
                    <a:blip r:embed="rId7">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rsidR="001053A2" w:rsidRDefault="00C735EE">
      <w:pPr>
        <w:spacing w:before="160"/>
      </w:pPr>
      <w:r>
        <w:rPr>
          <w:noProof/>
        </w:rPr>
        <w:lastRenderedPageBreak/>
        <w:drawing>
          <wp:inline distT="0" distB="0" distL="0" distR="0">
            <wp:extent cx="5731510" cy="3708400"/>
            <wp:effectExtent l="0" t="0" r="0" b="0"/>
            <wp:docPr id="1284963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3842" name="Picture 1284963842"/>
                    <pic:cNvPicPr/>
                  </pic:nvPicPr>
                  <pic:blipFill>
                    <a:blip r:embed="rId8">
                      <a:extLst>
                        <a:ext uri="{28A0092B-C50C-407E-A947-70E740481C1C}">
                          <a14:useLocalDpi xmlns:a14="http://schemas.microsoft.com/office/drawing/2010/main" val="0"/>
                        </a:ext>
                      </a:extLst>
                    </a:blip>
                    <a:stretch>
                      <a:fillRect/>
                    </a:stretch>
                  </pic:blipFill>
                  <pic:spPr>
                    <a:xfrm>
                      <a:off x="0" y="0"/>
                      <a:ext cx="5731510" cy="3708400"/>
                    </a:xfrm>
                    <a:prstGeom prst="rect">
                      <a:avLst/>
                    </a:prstGeom>
                  </pic:spPr>
                </pic:pic>
              </a:graphicData>
            </a:graphic>
          </wp:inline>
        </w:drawing>
      </w:r>
      <w:r>
        <w:rPr>
          <w:noProof/>
        </w:rPr>
        <w:drawing>
          <wp:inline distT="0" distB="0" distL="0" distR="0">
            <wp:extent cx="5731510" cy="3820795"/>
            <wp:effectExtent l="0" t="0" r="0" b="1905"/>
            <wp:docPr id="722720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0468" name="Picture 722720468"/>
                    <pic:cNvPicPr/>
                  </pic:nvPicPr>
                  <pic:blipFill>
                    <a:blip r:embed="rId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extent cx="5731510" cy="3708400"/>
            <wp:effectExtent l="0" t="0" r="0" b="0"/>
            <wp:docPr id="559506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06571" name="Picture 559506571"/>
                    <pic:cNvPicPr/>
                  </pic:nvPicPr>
                  <pic:blipFill>
                    <a:blip r:embed="rId10">
                      <a:extLst>
                        <a:ext uri="{28A0092B-C50C-407E-A947-70E740481C1C}">
                          <a14:useLocalDpi xmlns:a14="http://schemas.microsoft.com/office/drawing/2010/main" val="0"/>
                        </a:ext>
                      </a:extLst>
                    </a:blip>
                    <a:stretch>
                      <a:fillRect/>
                    </a:stretch>
                  </pic:blipFill>
                  <pic:spPr>
                    <a:xfrm>
                      <a:off x="0" y="0"/>
                      <a:ext cx="5731510" cy="3708400"/>
                    </a:xfrm>
                    <a:prstGeom prst="rect">
                      <a:avLst/>
                    </a:prstGeom>
                  </pic:spPr>
                </pic:pic>
              </a:graphicData>
            </a:graphic>
          </wp:inline>
        </w:drawing>
      </w:r>
    </w:p>
    <w:p w:rsidR="00C735EE" w:rsidRDefault="00DB2352">
      <w:pPr>
        <w:spacing w:before="160"/>
      </w:pPr>
      <w:r>
        <w:rPr>
          <w:noProof/>
        </w:rPr>
        <w:lastRenderedPageBreak/>
        <w:drawing>
          <wp:inline distT="0" distB="0" distL="0" distR="0">
            <wp:extent cx="3479800" cy="4597400"/>
            <wp:effectExtent l="0" t="0" r="0" b="0"/>
            <wp:docPr id="548296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96716" name="Picture 548296716"/>
                    <pic:cNvPicPr/>
                  </pic:nvPicPr>
                  <pic:blipFill>
                    <a:blip r:embed="rId11">
                      <a:extLst>
                        <a:ext uri="{28A0092B-C50C-407E-A947-70E740481C1C}">
                          <a14:useLocalDpi xmlns:a14="http://schemas.microsoft.com/office/drawing/2010/main" val="0"/>
                        </a:ext>
                      </a:extLst>
                    </a:blip>
                    <a:stretch>
                      <a:fillRect/>
                    </a:stretch>
                  </pic:blipFill>
                  <pic:spPr>
                    <a:xfrm>
                      <a:off x="0" y="0"/>
                      <a:ext cx="3479800" cy="4597400"/>
                    </a:xfrm>
                    <a:prstGeom prst="rect">
                      <a:avLst/>
                    </a:prstGeom>
                  </pic:spPr>
                </pic:pic>
              </a:graphicData>
            </a:graphic>
          </wp:inline>
        </w:drawing>
      </w:r>
      <w:r>
        <w:rPr>
          <w:noProof/>
        </w:rPr>
        <w:drawing>
          <wp:inline distT="0" distB="0" distL="0" distR="0">
            <wp:extent cx="4140200" cy="2197100"/>
            <wp:effectExtent l="0" t="0" r="0" b="0"/>
            <wp:docPr id="6634506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0632" name="Picture 663450632"/>
                    <pic:cNvPicPr/>
                  </pic:nvPicPr>
                  <pic:blipFill>
                    <a:blip r:embed="rId12">
                      <a:extLst>
                        <a:ext uri="{28A0092B-C50C-407E-A947-70E740481C1C}">
                          <a14:useLocalDpi xmlns:a14="http://schemas.microsoft.com/office/drawing/2010/main" val="0"/>
                        </a:ext>
                      </a:extLst>
                    </a:blip>
                    <a:stretch>
                      <a:fillRect/>
                    </a:stretch>
                  </pic:blipFill>
                  <pic:spPr>
                    <a:xfrm>
                      <a:off x="0" y="0"/>
                      <a:ext cx="4140200" cy="2197100"/>
                    </a:xfrm>
                    <a:prstGeom prst="rect">
                      <a:avLst/>
                    </a:prstGeom>
                  </pic:spPr>
                </pic:pic>
              </a:graphicData>
            </a:graphic>
          </wp:inline>
        </w:drawing>
      </w:r>
      <w:r>
        <w:rPr>
          <w:noProof/>
        </w:rPr>
        <w:lastRenderedPageBreak/>
        <w:drawing>
          <wp:inline distT="0" distB="0" distL="0" distR="0">
            <wp:extent cx="4140200" cy="2197100"/>
            <wp:effectExtent l="0" t="0" r="0" b="0"/>
            <wp:docPr id="1937872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72466" name="Picture 1937872466"/>
                    <pic:cNvPicPr/>
                  </pic:nvPicPr>
                  <pic:blipFill>
                    <a:blip r:embed="rId13">
                      <a:extLst>
                        <a:ext uri="{28A0092B-C50C-407E-A947-70E740481C1C}">
                          <a14:useLocalDpi xmlns:a14="http://schemas.microsoft.com/office/drawing/2010/main" val="0"/>
                        </a:ext>
                      </a:extLst>
                    </a:blip>
                    <a:stretch>
                      <a:fillRect/>
                    </a:stretch>
                  </pic:blipFill>
                  <pic:spPr>
                    <a:xfrm>
                      <a:off x="0" y="0"/>
                      <a:ext cx="4140200" cy="2197100"/>
                    </a:xfrm>
                    <a:prstGeom prst="rect">
                      <a:avLst/>
                    </a:prstGeom>
                  </pic:spPr>
                </pic:pic>
              </a:graphicData>
            </a:graphic>
          </wp:inline>
        </w:drawing>
      </w:r>
    </w:p>
    <w:p w:rsidR="00C735EE" w:rsidRDefault="00C735EE">
      <w:pPr>
        <w:spacing w:before="160"/>
      </w:pPr>
    </w:p>
    <w:sectPr w:rsidR="00C735EE">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5426" w:rsidRDefault="00BD5426">
      <w:r>
        <w:separator/>
      </w:r>
    </w:p>
  </w:endnote>
  <w:endnote w:type="continuationSeparator" w:id="0">
    <w:p w:rsidR="00BD5426" w:rsidRDefault="00BD5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53A2" w:rsidRDefault="00000000">
    <w:pPr>
      <w:pBdr>
        <w:top w:val="single" w:sz="2" w:space="8" w:color="CCCCCC"/>
      </w:pBdr>
      <w:spacing w:before="120"/>
      <w:jc w:val="right"/>
    </w:pPr>
    <w:r>
      <w:rPr>
        <w:color w:val="7A7A7A"/>
        <w:sz w:val="16"/>
        <w:szCs w:val="16"/>
      </w:rPr>
      <w:t xml:space="preserve">GreyRadius  ·  Case Study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5426" w:rsidRDefault="00BD5426">
      <w:r>
        <w:separator/>
      </w:r>
    </w:p>
  </w:footnote>
  <w:footnote w:type="continuationSeparator" w:id="0">
    <w:p w:rsidR="00BD5426" w:rsidRDefault="00BD54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31028"/>
    <w:multiLevelType w:val="hybridMultilevel"/>
    <w:tmpl w:val="14649782"/>
    <w:lvl w:ilvl="0" w:tplc="E5383E70">
      <w:start w:val="1"/>
      <w:numFmt w:val="bullet"/>
      <w:lvlText w:val="●"/>
      <w:lvlJc w:val="left"/>
      <w:pPr>
        <w:ind w:left="720" w:hanging="360"/>
      </w:pPr>
    </w:lvl>
    <w:lvl w:ilvl="1" w:tplc="D38411C4">
      <w:start w:val="1"/>
      <w:numFmt w:val="bullet"/>
      <w:lvlText w:val="○"/>
      <w:lvlJc w:val="left"/>
      <w:pPr>
        <w:ind w:left="1440" w:hanging="360"/>
      </w:pPr>
    </w:lvl>
    <w:lvl w:ilvl="2" w:tplc="DA465698">
      <w:start w:val="1"/>
      <w:numFmt w:val="bullet"/>
      <w:lvlText w:val="■"/>
      <w:lvlJc w:val="left"/>
      <w:pPr>
        <w:ind w:left="2160" w:hanging="360"/>
      </w:pPr>
    </w:lvl>
    <w:lvl w:ilvl="3" w:tplc="5F0EFEA8">
      <w:start w:val="1"/>
      <w:numFmt w:val="bullet"/>
      <w:lvlText w:val="●"/>
      <w:lvlJc w:val="left"/>
      <w:pPr>
        <w:ind w:left="2880" w:hanging="360"/>
      </w:pPr>
    </w:lvl>
    <w:lvl w:ilvl="4" w:tplc="154A360E">
      <w:start w:val="1"/>
      <w:numFmt w:val="bullet"/>
      <w:lvlText w:val="○"/>
      <w:lvlJc w:val="left"/>
      <w:pPr>
        <w:ind w:left="3600" w:hanging="360"/>
      </w:pPr>
    </w:lvl>
    <w:lvl w:ilvl="5" w:tplc="185ABE08">
      <w:start w:val="1"/>
      <w:numFmt w:val="bullet"/>
      <w:lvlText w:val="■"/>
      <w:lvlJc w:val="left"/>
      <w:pPr>
        <w:ind w:left="4320" w:hanging="360"/>
      </w:pPr>
    </w:lvl>
    <w:lvl w:ilvl="6" w:tplc="BB0C6FE6">
      <w:start w:val="1"/>
      <w:numFmt w:val="bullet"/>
      <w:lvlText w:val="●"/>
      <w:lvlJc w:val="left"/>
      <w:pPr>
        <w:ind w:left="5040" w:hanging="360"/>
      </w:pPr>
    </w:lvl>
    <w:lvl w:ilvl="7" w:tplc="3C947D16">
      <w:start w:val="1"/>
      <w:numFmt w:val="bullet"/>
      <w:lvlText w:val="●"/>
      <w:lvlJc w:val="left"/>
      <w:pPr>
        <w:ind w:left="5760" w:hanging="360"/>
      </w:pPr>
    </w:lvl>
    <w:lvl w:ilvl="8" w:tplc="53F07BEC">
      <w:start w:val="1"/>
      <w:numFmt w:val="bullet"/>
      <w:lvlText w:val="●"/>
      <w:lvlJc w:val="left"/>
      <w:pPr>
        <w:ind w:left="6480" w:hanging="360"/>
      </w:pPr>
    </w:lvl>
  </w:abstractNum>
  <w:num w:numId="1" w16cid:durableId="384304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3A2"/>
    <w:rsid w:val="001053A2"/>
    <w:rsid w:val="00BD5426"/>
    <w:rsid w:val="00C735EE"/>
    <w:rsid w:val="00DB2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3D2309"/>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A1A1A"/>
      <w:sz w:val="52"/>
      <w:szCs w:val="52"/>
    </w:rPr>
  </w:style>
  <w:style w:type="paragraph" w:styleId="Heading2">
    <w:name w:val="heading 2"/>
    <w:uiPriority w:val="9"/>
    <w:semiHidden/>
    <w:unhideWhenUsed/>
    <w:qFormat/>
    <w:pPr>
      <w:spacing w:before="320" w:after="120"/>
      <w:outlineLvl w:val="1"/>
    </w:pPr>
    <w:rP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876</Words>
  <Characters>4994</Characters>
  <Application>Microsoft Office Word</Application>
  <DocSecurity>0</DocSecurity>
  <Lines>41</Lines>
  <Paragraphs>11</Paragraphs>
  <ScaleCrop>false</ScaleCrop>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3</cp:revision>
  <dcterms:created xsi:type="dcterms:W3CDTF">2026-05-20T05:41:00Z</dcterms:created>
  <dcterms:modified xsi:type="dcterms:W3CDTF">2026-05-20T14:17:00Z</dcterms:modified>
</cp:coreProperties>
</file>