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Automation Can Move the Cost.</w:t>
      </w:r>
    </w:p>
    <w:p>
      <w:pPr>
        <w:widowControl/>
      </w:pPr>
      <w:r>
        <w:rPr>
          <w:b w:val="0"/>
        </w:rPr>
      </w:r>
      <w:r>
        <w:rPr>
          <w:b/>
        </w:rPr>
        <w:t>How GreyRadius helped a mid-sized business put workflow economics and accountable ownership ahead of AI tool selection.</w:t>
      </w:r>
      <w:r>
        <w:rPr>
          <w:b w:val="0"/>
        </w:rPr>
      </w:r>
    </w:p>
    <w:p>
      <w:pPr>
        <w:pStyle w:val="Heading1"/>
      </w:pPr>
      <w:r>
        <w:t>Context</w:t>
      </w:r>
    </w:p>
    <w:p>
      <w:pPr>
        <w:widowControl/>
      </w:pPr>
      <w:r>
        <w:rPr>
          <w:b w:val="0"/>
        </w:rPr>
        <w:t>A mid-sized business was selecting its first AI workflow pilot. The immediate attraction was straightforward: reduce manual effort and create capacity without adding headcount.</w:t>
      </w:r>
    </w:p>
    <w:p>
      <w:pPr>
        <w:widowControl/>
      </w:pPr>
      <w:r>
        <w:rPr>
          <w:b w:val="0"/>
        </w:rPr>
        <w:t>The investment risk was less visible. Faster output could still leave employees checking, correcting and routing every transaction. Automation could move work downstream while making the original step look more productive.</w:t>
      </w:r>
    </w:p>
    <w:p>
      <w:pPr>
        <w:widowControl/>
      </w:pPr>
      <w:r>
        <w:rPr>
          <w:b w:val="0"/>
        </w:rPr>
        <w:t>The source material does not identify the sector, geography, selected workflow or operating baseline. It therefore supports a case about investment discipline and operating readiness, rather than a claim of successful deployment.</w:t>
      </w:r>
    </w:p>
    <w:p>
      <w:pPr>
        <w:widowControl/>
      </w:pPr>
      <w:r>
        <w:rPr>
          <w:b w:val="0"/>
        </w:rPr>
        <w:t>The central question was whether the business could convert AI capability into a lower cost of completing work correctly.</w:t>
      </w:r>
    </w:p>
    <w:p>
      <w:pPr>
        <w:pStyle w:val="Heading1"/>
      </w:pPr>
      <w:r>
        <w:t>The Core Challenge</w:t>
      </w:r>
    </w:p>
    <w:p>
      <w:pPr>
        <w:widowControl/>
      </w:pPr>
      <w:r>
        <w:rPr>
          <w:b w:val="0"/>
        </w:rPr>
      </w:r>
      <w:r>
        <w:rPr>
          <w:b/>
        </w:rPr>
        <w:t>The surface problem was choosing the first AI tool or use case. The inferred structural issue was the absence of a clear basis for deciding which workflow deserved investment.</w:t>
      </w:r>
      <w:r>
        <w:rPr>
          <w:b w:val="0"/>
        </w:rPr>
      </w:r>
    </w:p>
    <w:p>
      <w:pPr>
        <w:widowControl/>
      </w:pPr>
      <w:r>
        <w:rPr>
          <w:b w:val="0"/>
        </w:rPr>
        <w:t>Transaction volume alone could make a workflow look attractive. But volume would not establish whether the work was sufficiently repeatable, the data usable or the cost of mistakes acceptable.</w:t>
      </w:r>
    </w:p>
    <w:p>
      <w:pPr>
        <w:widowControl/>
      </w:pPr>
      <w:r>
        <w:rPr>
          <w:b w:val="0"/>
        </w:rPr>
        <w:t>Manual effort was equally incomplete as an investment signal. A task might take considerable time because inputs were inconsistent, approvals were unclear or exceptions required judgement. Automating its visible steps would leave those execution dependencies intact.</w:t>
      </w:r>
    </w:p>
    <w:p>
      <w:pPr>
        <w:widowControl/>
      </w:pPr>
      <w:r>
        <w:rPr>
          <w:b w:val="0"/>
        </w:rPr>
        <w:t>Ownership created another potential constraint. Technology teams could manage the application while business teams remained responsible for service quality and consequences. Without one accountable workflow owner, neither side would necessarily control the full cost of completion.</w:t>
      </w:r>
    </w:p>
    <w:p>
      <w:pPr>
        <w:widowControl/>
      </w:pPr>
      <w:r>
        <w:rPr>
          <w:b w:val="0"/>
        </w:rPr>
        <w:t>This was the scaling friction underneath the pilot decision: local productivity gains could coexist with higher review costs, fragmented ownership and unresolved rework.</w:t>
      </w:r>
    </w:p>
    <w:p>
      <w:pPr>
        <w:pStyle w:val="Heading1"/>
      </w:pPr>
      <w:r>
        <w:t>The Decision Shift</w:t>
      </w:r>
    </w:p>
    <w:p>
      <w:pPr>
        <w:widowControl/>
      </w:pPr>
      <w:r>
        <w:rPr>
          <w:b w:val="0"/>
        </w:rPr>
        <w:t>The investment logic shifted from technology-led adoption to workflow-led investment, with expansion conditional on verified net business value.</w:t>
      </w:r>
    </w:p>
    <w:p>
      <w:pPr>
        <w:widowControl/>
      </w:pPr>
      <w:r>
        <w:rPr>
          <w:b w:val="0"/>
        </w:rPr>
        <w:t xml:space="preserve">The strategic realization was that </w:t>
      </w:r>
      <w:r>
        <w:rPr>
          <w:b/>
        </w:rPr>
        <w:t>the unit of value was a correctly completed business transaction—not an AI-generated output.</w:t>
      </w:r>
      <w:r>
        <w:rPr>
          <w:b w:val="0"/>
        </w:rPr>
      </w:r>
    </w:p>
    <w:p>
      <w:pPr>
        <w:widowControl/>
      </w:pPr>
      <w:r>
        <w:rPr>
          <w:b w:val="0"/>
        </w:rPr>
        <w:t>That changed what leadership needed to judge. Faster drafting, classification or retrieval would matter only if it improved the complete workflow after accounting for review, corrections, exceptions and ongoing operating costs.</w:t>
      </w:r>
    </w:p>
    <w:p>
      <w:pPr>
        <w:widowControl/>
      </w:pPr>
      <w:r>
        <w:rPr>
          <w:b w:val="0"/>
        </w:rPr>
        <w:t>Data readiness and business ownership consequently became investment conditions. A workflow with attractive potential savings but unreliable inputs or no accountable owner was not ready for expansion.</w:t>
      </w:r>
    </w:p>
    <w:p>
      <w:pPr>
        <w:widowControl/>
      </w:pPr>
      <w:r>
        <w:rPr>
          <w:b w:val="0"/>
        </w:rPr>
        <w:t>The pilot became a bounded commercial test. Its purpose was to establish whether one defined workflow could deliver better economics at an acceptable level of quality before the business committed to broader adoption.</w:t>
      </w:r>
    </w:p>
    <w:p>
      <w:pPr>
        <w:pStyle w:val="Heading1"/>
      </w:pPr>
      <w:r>
        <w:t>What Changed in Execution</w:t>
      </w:r>
    </w:p>
    <w:p>
      <w:pPr>
        <w:widowControl/>
      </w:pPr>
      <w:r>
        <w:rPr>
          <w:b w:val="0"/>
        </w:rPr>
        <w:t>Workflow selection reflected five connected factors: transaction volume, manual effort, error costs, data readiness and accountable ownership. No single factor could justify the investment on its own.</w:t>
      </w:r>
    </w:p>
    <w:p>
      <w:pPr>
        <w:widowControl/>
      </w:pPr>
      <w:r>
        <w:rPr>
          <w:b w:val="0"/>
        </w:rPr>
        <w:t>The pilot boundary defined which transactions were eligible. This prevented routine cases and difficult exceptions from being treated as one uniform workload, and gave the baseline a meaningful comparison point.</w:t>
      </w:r>
    </w:p>
    <w:p>
      <w:pPr>
        <w:widowControl/>
      </w:pPr>
      <w:r>
        <w:rPr>
          <w:b w:val="0"/>
        </w:rPr>
        <w:t>Approved workflow data and restricted access established the operating conditions for the pilot. Critical data gaps became constraints on scope, rather than problems that employees would quietly absorb through additional checking.</w:t>
      </w:r>
    </w:p>
    <w:p>
      <w:pPr>
        <w:widowControl/>
      </w:pPr>
      <w:r>
        <w:rPr>
          <w:b w:val="0"/>
        </w:rPr>
        <w:t>Human review had a defined role for exceptions and consequential outputs. An escalation owner reduced ambiguity over who should decide when the system could not complete work reliably.</w:t>
      </w:r>
    </w:p>
    <w:p>
      <w:pPr>
        <w:widowControl/>
      </w:pPr>
      <w:r>
        <w:rPr>
          <w:b w:val="0"/>
        </w:rPr>
        <w:t>Together, these changes made accountability more explicit: the business owner carried responsibility for completion quality and economics; technical readiness supported that responsibility. Expansion depended on evidence from the workflow as a whole.</w:t>
      </w:r>
    </w:p>
    <w:p>
      <w:pPr>
        <w:pStyle w:val="Heading1"/>
      </w:pPr>
      <w:r>
        <w:t>Business Impact Delivered</w:t>
      </w:r>
    </w:p>
    <w:p>
      <w:pPr>
        <w:widowControl/>
      </w:pPr>
      <w:r>
        <w:rPr>
          <w:b w:val="0"/>
        </w:rPr>
        <w:t>No reduction in handling time, transaction cost or error rate has been verified. Revenue, capacity and headcount benefits cannot be claimed from the available inputs.</w:t>
      </w:r>
    </w:p>
    <w:p>
      <w:pPr>
        <w:widowControl/>
      </w:pPr>
      <w:r>
        <w:rPr>
          <w:b w:val="0"/>
        </w:rPr>
        <w:t>The supported change was a clearer basis for committing capital. Automation was assessed against completion economics, with review and rework included, rather than against isolated demonstrations of speed.</w:t>
      </w:r>
    </w:p>
    <w:p>
      <w:pPr>
        <w:widowControl/>
      </w:pPr>
      <w:r>
        <w:rPr>
          <w:b w:val="0"/>
        </w:rPr>
        <w:t>Commercial validation still requires lower cost per completed transaction without unacceptable errors or added rework. A faster first step would not meet that standard if downstream effort consumed the saving.</w:t>
      </w:r>
    </w:p>
    <w:p>
      <w:pPr>
        <w:pStyle w:val="Heading1"/>
      </w:pPr>
      <w:r>
        <w:t>Key Outcomes</w:t>
      </w:r>
    </w:p>
    <w:p>
      <w:pPr>
        <w:pStyle w:val="ListBullet"/>
        <w:widowControl/>
      </w:pPr>
      <w:r>
        <w:rPr>
          <w:b w:val="0"/>
        </w:rPr>
      </w:r>
      <w:r>
        <w:rPr>
          <w:b/>
        </w:rPr>
        <w:t>Investment gate:</w:t>
      </w:r>
      <w:r>
        <w:rPr>
          <w:b w:val="0"/>
        </w:rPr>
        <w:t xml:space="preserve"> Expansion tied to verified net business value.</w:t>
      </w:r>
    </w:p>
    <w:p>
      <w:pPr>
        <w:pStyle w:val="ListBullet"/>
        <w:widowControl/>
      </w:pPr>
      <w:r>
        <w:rPr>
          <w:b w:val="0"/>
        </w:rPr>
      </w:r>
      <w:r>
        <w:rPr>
          <w:b/>
        </w:rPr>
        <w:t>Pilot scope:</w:t>
      </w:r>
      <w:r>
        <w:rPr>
          <w:b w:val="0"/>
        </w:rPr>
        <w:t xml:space="preserve"> One bounded workflow with defined eligible transactions.</w:t>
      </w:r>
    </w:p>
    <w:p>
      <w:pPr>
        <w:pStyle w:val="ListBullet"/>
        <w:widowControl/>
      </w:pPr>
      <w:r>
        <w:rPr>
          <w:b w:val="0"/>
        </w:rPr>
      </w:r>
      <w:r>
        <w:rPr>
          <w:b/>
        </w:rPr>
        <w:t>Accountability:</w:t>
      </w:r>
      <w:r>
        <w:rPr>
          <w:b w:val="0"/>
        </w:rPr>
        <w:t xml:space="preserve"> Business ownership and an exception escalation owner.</w:t>
      </w:r>
    </w:p>
    <w:p>
      <w:pPr>
        <w:pStyle w:val="ListBullet"/>
        <w:widowControl/>
      </w:pPr>
      <w:r>
        <w:rPr>
          <w:b w:val="0"/>
        </w:rPr>
      </w:r>
      <w:r>
        <w:rPr>
          <w:b/>
        </w:rPr>
        <w:t>Evidence gap:</w:t>
      </w:r>
      <w:r>
        <w:rPr>
          <w:b w:val="0"/>
        </w:rPr>
        <w:t xml:space="preserve"> Baseline and pilot figures for handling time, full transaction cost and error or rework rates remain unavailable.</w:t>
      </w:r>
    </w:p>
    <w:p>
      <w:pPr>
        <w:widowControl/>
      </w:pPr>
      <w:r>
        <w:rPr>
          <w:b w:val="0"/>
        </w:rPr>
        <w:t>AI can increase output faster than an organisation can absorb it. The scaling advantage comes when completed work becomes cheaper and more dependable—and the business knows who owns that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Can Move the Cost.</dc:title>
  <dc:subject/>
  <dc:creator>GreyRadius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