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EV Market Entry in India</w:t>
      </w:r>
    </w:p>
    <w:p>
      <w:pPr>
        <w:jc w:val="center"/>
      </w:pPr>
      <w:r>
        <w:rPr>
          <w:b/>
          <w:sz w:val="32"/>
        </w:rPr>
        <w:t>PLI FAME and the Commercial Reality Right Now</w:t>
      </w:r>
    </w:p>
    <w:p>
      <w:pPr>
        <w:jc w:val="center"/>
      </w:pPr>
      <w:r>
        <w:rPr>
          <w:i/>
          <w:sz w:val="21"/>
        </w:rPr>
        <w:t>A practical guide for international OEMs battery companies component suppliers and mobility technology providers</w:t>
      </w:r>
    </w:p>
    <w:p>
      <w:pPr>
        <w:pStyle w:val="Heading1"/>
      </w:pPr>
      <w:r>
        <w:t>India is attractive but it is not an easy EV market</w:t>
      </w:r>
    </w:p>
    <w:p>
      <w:r>
        <w:t>India’s electric vehicle story is no longer a simple policy-led growth narrative. Demand is expanding, local OEMs are investing, supplier ecosystems are deepening and electric two-wheelers are selling at meaningful scale. Yet an international company can still enter the wrong segment, price its product around a temporary incentive, underestimate localisation requirements and spend two years pursuing an OEM nomination that never converts into volume.</w:t>
      </w:r>
    </w:p>
    <w:p>
      <w:r>
        <w:t>That is the commercial reality of EV market entry India today. The opportunity is genuine, but it is uneven. It differs sharply by vehicle segment, customer type, localisation burden, after-sales requirement and the amount of time a company can afford before revenue begins.</w:t>
      </w:r>
    </w:p>
    <w:p>
      <w:r>
        <w:t>The policy language can also be misleading when read in isolation. FAME II helped create demand, but it ended in March 2024. PM E-DRIVE became the principal central demand-support framework, and its treatment of segments and timelines is not uniform. The Advanced Chemistry Cell production-linked incentive scheme is important, but it is designed for large-scale cell manufacturing with investment, capacity, performance and domestic-value-addition obligations. It is not a general subsidy for every battery business.</w:t>
      </w:r>
    </w:p>
    <w:p>
      <w:r>
        <w:t>The right entry question is therefore not whether India has an electric vehicle opportunity. It is whether a specific company can reach a bankable customer, meet Indian cost and qualification requirements, localise at the right pace and remain competitive after incentives reduce or disappear.</w:t>
      </w:r>
    </w:p>
    <w:p>
      <w:pPr>
        <w:pStyle w:val="Heading1"/>
      </w:pPr>
      <w:r>
        <w:t>The commercial reality behind India electric vehicle opportunity</w:t>
      </w:r>
    </w:p>
    <w:p>
      <w:r>
        <w:t>Scale alone does not guarantee accessible revenue. India is a highly price-sensitive market, purchasing decisions are segment-specific, and incumbent supplier relationships matter. A technically superior imported component may still lose if it creates a landed-cost disadvantage, requires a new service process or cannot pass local validation quickly.</w:t>
      </w:r>
    </w:p>
    <w:p>
      <w:r>
        <w:t>The strongest opportunities tend to appear where four conditions overlap: a clearly measurable improvement in vehicle economics or performance; an OEM or fleet customer willing to validate the product; a credible localisation pathway; and enough cash runway to absorb qualification, tooling and ramp-up time.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vAlign w:val="center"/>
          </w:tcPr>
          <w:p>
            <w:r>
              <w:rPr>
                <w:b/>
                <w:color w:val="FFFFFF"/>
                <w:sz w:val="18"/>
              </w:rPr>
              <w:t>Market signal</w:t>
            </w:r>
          </w:p>
        </w:tc>
        <w:tc>
          <w:tcPr>
            <w:tcW w:type="dxa" w:w="2484"/>
            <w:shd w:fill="1F4E79"/>
            <w:vAlign w:val="center"/>
          </w:tcPr>
          <w:p>
            <w:r>
              <w:rPr>
                <w:b/>
                <w:color w:val="FFFFFF"/>
                <w:sz w:val="18"/>
              </w:rPr>
              <w:t>What it suggests</w:t>
            </w:r>
          </w:p>
        </w:tc>
        <w:tc>
          <w:tcPr>
            <w:tcW w:type="dxa" w:w="2484"/>
            <w:shd w:fill="1F4E79"/>
            <w:vAlign w:val="center"/>
          </w:tcPr>
          <w:p>
            <w:r>
              <w:rPr>
                <w:b/>
                <w:color w:val="FFFFFF"/>
                <w:sz w:val="18"/>
              </w:rPr>
              <w:t>Commercial caveat</w:t>
            </w:r>
          </w:p>
        </w:tc>
        <w:tc>
          <w:tcPr>
            <w:tcW w:type="dxa" w:w="2484"/>
            <w:shd w:fill="1F4E79"/>
            <w:vAlign w:val="center"/>
          </w:tcPr>
          <w:p>
            <w:r>
              <w:rPr>
                <w:b/>
                <w:color w:val="FFFFFF"/>
                <w:sz w:val="18"/>
              </w:rPr>
              <w:t>Entry implication</w:t>
            </w:r>
          </w:p>
        </w:tc>
      </w:tr>
      <w:tr>
        <w:tc>
          <w:tcPr>
            <w:tcW w:type="dxa" w:w="2484"/>
            <w:tcMar>
              <w:top w:w="120" w:type="dxa"/>
              <w:start w:w="120" w:type="dxa"/>
              <w:bottom w:w="120" w:type="dxa"/>
              <w:end w:w="120" w:type="dxa"/>
            </w:tcMar>
            <w:vAlign w:val="center"/>
          </w:tcPr>
          <w:p>
            <w:r>
              <w:rPr>
                <w:sz w:val="17"/>
              </w:rPr>
              <w:t>High e-2W volumes</w:t>
            </w:r>
          </w:p>
        </w:tc>
        <w:tc>
          <w:tcPr>
            <w:tcW w:type="dxa" w:w="2484"/>
            <w:tcMar>
              <w:top w:w="120" w:type="dxa"/>
              <w:start w:w="120" w:type="dxa"/>
              <w:bottom w:w="120" w:type="dxa"/>
              <w:end w:w="120" w:type="dxa"/>
            </w:tcMar>
            <w:vAlign w:val="center"/>
          </w:tcPr>
          <w:p>
            <w:r>
              <w:rPr>
                <w:sz w:val="17"/>
              </w:rPr>
              <w:t>Large addressable base for components and services</w:t>
            </w:r>
          </w:p>
        </w:tc>
        <w:tc>
          <w:tcPr>
            <w:tcW w:type="dxa" w:w="2484"/>
            <w:tcMar>
              <w:top w:w="120" w:type="dxa"/>
              <w:start w:w="120" w:type="dxa"/>
              <w:bottom w:w="120" w:type="dxa"/>
              <w:end w:w="120" w:type="dxa"/>
            </w:tcMar>
            <w:vAlign w:val="center"/>
          </w:tcPr>
          <w:p>
            <w:r>
              <w:rPr>
                <w:sz w:val="17"/>
              </w:rPr>
              <w:t>Severe price pressure and intense local competition</w:t>
            </w:r>
          </w:p>
        </w:tc>
        <w:tc>
          <w:tcPr>
            <w:tcW w:type="dxa" w:w="2484"/>
            <w:tcMar>
              <w:top w:w="120" w:type="dxa"/>
              <w:start w:w="120" w:type="dxa"/>
              <w:bottom w:w="120" w:type="dxa"/>
              <w:end w:w="120" w:type="dxa"/>
            </w:tcMar>
            <w:vAlign w:val="center"/>
          </w:tcPr>
          <w:p>
            <w:r>
              <w:rPr>
                <w:sz w:val="17"/>
              </w:rPr>
              <w:t>Enter with a cost-down or localisation case</w:t>
            </w:r>
          </w:p>
        </w:tc>
      </w:tr>
      <w:tr>
        <w:tc>
          <w:tcPr>
            <w:tcW w:type="dxa" w:w="2484"/>
            <w:tcMar>
              <w:top w:w="120" w:type="dxa"/>
              <w:start w:w="120" w:type="dxa"/>
              <w:bottom w:w="120" w:type="dxa"/>
              <w:end w:w="120" w:type="dxa"/>
            </w:tcMar>
            <w:vAlign w:val="center"/>
            <w:shd w:fill="F3F6F8"/>
          </w:tcPr>
          <w:p>
            <w:r>
              <w:rPr>
                <w:sz w:val="17"/>
              </w:rPr>
              <w:t>Rapid e-3W electrification</w:t>
            </w:r>
          </w:p>
        </w:tc>
        <w:tc>
          <w:tcPr>
            <w:tcW w:type="dxa" w:w="2484"/>
            <w:tcMar>
              <w:top w:w="120" w:type="dxa"/>
              <w:start w:w="120" w:type="dxa"/>
              <w:bottom w:w="120" w:type="dxa"/>
              <w:end w:w="120" w:type="dxa"/>
            </w:tcMar>
            <w:vAlign w:val="center"/>
            <w:shd w:fill="F3F6F8"/>
          </w:tcPr>
          <w:p>
            <w:r>
              <w:rPr>
                <w:sz w:val="17"/>
              </w:rPr>
              <w:t>Strong total-cost-of-ownership logic for commercial users</w:t>
            </w:r>
          </w:p>
        </w:tc>
        <w:tc>
          <w:tcPr>
            <w:tcW w:type="dxa" w:w="2484"/>
            <w:tcMar>
              <w:top w:w="120" w:type="dxa"/>
              <w:start w:w="120" w:type="dxa"/>
              <w:bottom w:w="120" w:type="dxa"/>
              <w:end w:w="120" w:type="dxa"/>
            </w:tcMar>
            <w:vAlign w:val="center"/>
            <w:shd w:fill="F3F6F8"/>
          </w:tcPr>
          <w:p>
            <w:r>
              <w:rPr>
                <w:sz w:val="17"/>
              </w:rPr>
              <w:t>Dealer finance and uptime drive purchasing</w:t>
            </w:r>
          </w:p>
        </w:tc>
        <w:tc>
          <w:tcPr>
            <w:tcW w:type="dxa" w:w="2484"/>
            <w:tcMar>
              <w:top w:w="120" w:type="dxa"/>
              <w:start w:w="120" w:type="dxa"/>
              <w:bottom w:w="120" w:type="dxa"/>
              <w:end w:w="120" w:type="dxa"/>
            </w:tcMar>
            <w:vAlign w:val="center"/>
            <w:shd w:fill="F3F6F8"/>
          </w:tcPr>
          <w:p>
            <w:r>
              <w:rPr>
                <w:sz w:val="17"/>
              </w:rPr>
              <w:t>Prioritise fleet economics and service availability</w:t>
            </w:r>
          </w:p>
        </w:tc>
      </w:tr>
      <w:tr>
        <w:tc>
          <w:tcPr>
            <w:tcW w:type="dxa" w:w="2484"/>
            <w:tcMar>
              <w:top w:w="120" w:type="dxa"/>
              <w:start w:w="120" w:type="dxa"/>
              <w:bottom w:w="120" w:type="dxa"/>
              <w:end w:w="120" w:type="dxa"/>
            </w:tcMar>
            <w:vAlign w:val="center"/>
          </w:tcPr>
          <w:p>
            <w:r>
              <w:rPr>
                <w:sz w:val="17"/>
              </w:rPr>
              <w:t>More e-PV launches</w:t>
            </w:r>
          </w:p>
        </w:tc>
        <w:tc>
          <w:tcPr>
            <w:tcW w:type="dxa" w:w="2484"/>
            <w:tcMar>
              <w:top w:w="120" w:type="dxa"/>
              <w:start w:w="120" w:type="dxa"/>
              <w:bottom w:w="120" w:type="dxa"/>
              <w:end w:w="120" w:type="dxa"/>
            </w:tcMar>
            <w:vAlign w:val="center"/>
          </w:tcPr>
          <w:p>
            <w:r>
              <w:rPr>
                <w:sz w:val="17"/>
              </w:rPr>
              <w:t>Growing premium and mass-market product range</w:t>
            </w:r>
          </w:p>
        </w:tc>
        <w:tc>
          <w:tcPr>
            <w:tcW w:type="dxa" w:w="2484"/>
            <w:tcMar>
              <w:top w:w="120" w:type="dxa"/>
              <w:start w:w="120" w:type="dxa"/>
              <w:bottom w:w="120" w:type="dxa"/>
              <w:end w:w="120" w:type="dxa"/>
            </w:tcMar>
            <w:vAlign w:val="center"/>
          </w:tcPr>
          <w:p>
            <w:r>
              <w:rPr>
                <w:sz w:val="17"/>
              </w:rPr>
              <w:t>Long programmes and high validation burden</w:t>
            </w:r>
          </w:p>
        </w:tc>
        <w:tc>
          <w:tcPr>
            <w:tcW w:type="dxa" w:w="2484"/>
            <w:tcMar>
              <w:top w:w="120" w:type="dxa"/>
              <w:start w:w="120" w:type="dxa"/>
              <w:bottom w:w="120" w:type="dxa"/>
              <w:end w:w="120" w:type="dxa"/>
            </w:tcMar>
            <w:vAlign w:val="center"/>
          </w:tcPr>
          <w:p>
            <w:r>
              <w:rPr>
                <w:sz w:val="17"/>
              </w:rPr>
              <w:t>Build around an OEM platform nomination</w:t>
            </w:r>
          </w:p>
        </w:tc>
      </w:tr>
      <w:tr>
        <w:tc>
          <w:tcPr>
            <w:tcW w:type="dxa" w:w="2484"/>
            <w:tcMar>
              <w:top w:w="120" w:type="dxa"/>
              <w:start w:w="120" w:type="dxa"/>
              <w:bottom w:w="120" w:type="dxa"/>
              <w:end w:w="120" w:type="dxa"/>
            </w:tcMar>
            <w:vAlign w:val="center"/>
            <w:shd w:fill="F3F6F8"/>
          </w:tcPr>
          <w:p>
            <w:r>
              <w:rPr>
                <w:sz w:val="17"/>
              </w:rPr>
              <w:t>Charging and fleet build-out</w:t>
            </w:r>
          </w:p>
        </w:tc>
        <w:tc>
          <w:tcPr>
            <w:tcW w:type="dxa" w:w="2484"/>
            <w:tcMar>
              <w:top w:w="120" w:type="dxa"/>
              <w:start w:w="120" w:type="dxa"/>
              <w:bottom w:w="120" w:type="dxa"/>
              <w:end w:w="120" w:type="dxa"/>
            </w:tcMar>
            <w:vAlign w:val="center"/>
            <w:shd w:fill="F3F6F8"/>
          </w:tcPr>
          <w:p>
            <w:r>
              <w:rPr>
                <w:sz w:val="17"/>
              </w:rPr>
              <w:t>Demand for hardware software and operations</w:t>
            </w:r>
          </w:p>
        </w:tc>
        <w:tc>
          <w:tcPr>
            <w:tcW w:type="dxa" w:w="2484"/>
            <w:tcMar>
              <w:top w:w="120" w:type="dxa"/>
              <w:start w:w="120" w:type="dxa"/>
              <w:bottom w:w="120" w:type="dxa"/>
              <w:end w:w="120" w:type="dxa"/>
            </w:tcMar>
            <w:vAlign w:val="center"/>
            <w:shd w:fill="F3F6F8"/>
          </w:tcPr>
          <w:p>
            <w:r>
              <w:rPr>
                <w:sz w:val="17"/>
              </w:rPr>
              <w:t>Utilisation and site economics vary widely</w:t>
            </w:r>
          </w:p>
        </w:tc>
        <w:tc>
          <w:tcPr>
            <w:tcW w:type="dxa" w:w="2484"/>
            <w:tcMar>
              <w:top w:w="120" w:type="dxa"/>
              <w:start w:w="120" w:type="dxa"/>
              <w:bottom w:w="120" w:type="dxa"/>
              <w:end w:w="120" w:type="dxa"/>
            </w:tcMar>
            <w:vAlign w:val="center"/>
            <w:shd w:fill="F3F6F8"/>
          </w:tcPr>
          <w:p>
            <w:r>
              <w:rPr>
                <w:sz w:val="17"/>
              </w:rPr>
              <w:t>Sell to defined fleets or anchor locations first</w:t>
            </w:r>
          </w:p>
        </w:tc>
      </w:tr>
      <w:tr>
        <w:tc>
          <w:tcPr>
            <w:tcW w:type="dxa" w:w="2484"/>
            <w:tcMar>
              <w:top w:w="120" w:type="dxa"/>
              <w:start w:w="120" w:type="dxa"/>
              <w:bottom w:w="120" w:type="dxa"/>
              <w:end w:w="120" w:type="dxa"/>
            </w:tcMar>
            <w:vAlign w:val="center"/>
          </w:tcPr>
          <w:p>
            <w:r>
              <w:rPr>
                <w:sz w:val="17"/>
              </w:rPr>
              <w:t>Battery localisation push</w:t>
            </w:r>
          </w:p>
        </w:tc>
        <w:tc>
          <w:tcPr>
            <w:tcW w:type="dxa" w:w="2484"/>
            <w:tcMar>
              <w:top w:w="120" w:type="dxa"/>
              <w:start w:w="120" w:type="dxa"/>
              <w:bottom w:w="120" w:type="dxa"/>
              <w:end w:w="120" w:type="dxa"/>
            </w:tcMar>
            <w:vAlign w:val="center"/>
          </w:tcPr>
          <w:p>
            <w:r>
              <w:rPr>
                <w:sz w:val="17"/>
              </w:rPr>
              <w:t>Strategic demand for cells packs BMS and materials</w:t>
            </w:r>
          </w:p>
        </w:tc>
        <w:tc>
          <w:tcPr>
            <w:tcW w:type="dxa" w:w="2484"/>
            <w:tcMar>
              <w:top w:w="120" w:type="dxa"/>
              <w:start w:w="120" w:type="dxa"/>
              <w:bottom w:w="120" w:type="dxa"/>
              <w:end w:w="120" w:type="dxa"/>
            </w:tcMar>
            <w:vAlign w:val="center"/>
          </w:tcPr>
          <w:p>
            <w:r>
              <w:rPr>
                <w:sz w:val="17"/>
              </w:rPr>
              <w:t>ACC PLI is scale- and performance-linked</w:t>
            </w:r>
          </w:p>
        </w:tc>
        <w:tc>
          <w:tcPr>
            <w:tcW w:type="dxa" w:w="2484"/>
            <w:tcMar>
              <w:top w:w="120" w:type="dxa"/>
              <w:start w:w="120" w:type="dxa"/>
              <w:bottom w:w="120" w:type="dxa"/>
              <w:end w:w="120" w:type="dxa"/>
            </w:tcMar>
            <w:vAlign w:val="center"/>
          </w:tcPr>
          <w:p>
            <w:r>
              <w:rPr>
                <w:sz w:val="17"/>
              </w:rPr>
              <w:t>Separate a supplier entry from a gigafactory thesis</w:t>
            </w:r>
          </w:p>
        </w:tc>
      </w:tr>
    </w:tbl>
    <w:p>
      <w:pPr>
        <w:pStyle w:val="Heading1"/>
      </w:pPr>
      <w:r>
        <w:t>FAME India electric vehicle policy and the phase-down risk</w:t>
      </w:r>
    </w:p>
    <w:p>
      <w:r>
        <w:t>The Faster Adoption and Manufacturing of Electric Vehicles scheme, particularly FAME II, supported the early market by reducing the effective purchase price of eligible electric vehicles and funding ecosystem development. It also linked eligibility to localisation and technical requirements. For many buyers, especially in price-sensitive two- and three-wheeler categories, that support helped narrow the upfront price gap with internal-combustion alternatives.</w:t>
      </w:r>
    </w:p>
    <w:p>
      <w:r>
        <w:t>But FAME II ended on 31 March 2024. It was followed by the Electric Mobility Promotion Scheme and then PM E-DRIVE. As of September 2026, PM E-DRIVE has a broader scheme horizon to March 2028 for several components, while demand incentives for electric two- and three-wheelers have had shorter terminal dates and extensions. This distinction matters. A company should not describe the current market as if FAME continues unchanged, nor assume that every vehicle sold during the overall PM E-DRIVE period receives the same support.</w:t>
      </w:r>
    </w:p>
    <w:p>
      <w:r>
        <w:t>The phase-down risk is not merely regulatory. It flows directly into pricing, dealer conversion, inventory and working capital. If a vehicle’s retail proposition works only after a central subsidy, a reduction can force the OEM to raise price, absorb the gap in margin or pressure suppliers for immediate cost reductions. Each response can damage a new entrant.</w:t>
      </w:r>
    </w:p>
    <w:p>
      <w:pPr>
        <w:pStyle w:val="Heading2"/>
      </w:pPr>
      <w:r>
        <w:t>What subsidy phase-down means for EV economics</w:t>
      </w:r>
    </w:p>
    <w:p>
      <w:pPr>
        <w:pStyle w:val="ListBullet"/>
      </w:pPr>
      <w:r>
        <w:t>Model the product without the subsidy. The base case should work on total cost of ownership, financing, utilisation, energy cost and residual value. Treat any demand incentive as upside or a temporary adoption accelerator.</w:t>
      </w:r>
    </w:p>
    <w:p>
      <w:pPr>
        <w:pStyle w:val="ListBullet"/>
      </w:pPr>
      <w:r>
        <w:t>Stress-test the channel. A price increase that appears small at the vehicle level can materially change monthly instalments and dealer conversion in two- and three-wheelers.</w:t>
      </w:r>
    </w:p>
    <w:p>
      <w:pPr>
        <w:pStyle w:val="ListBullet"/>
      </w:pPr>
      <w:r>
        <w:t>Protect against OEM cost-down requests. Supplier contracts and forecasts should account for annual price reductions, localisation milestones and commodity movements.</w:t>
      </w:r>
    </w:p>
    <w:p>
      <w:pPr>
        <w:pStyle w:val="ListBullet"/>
      </w:pPr>
      <w:r>
        <w:t>Separate consumer demand from fleet demand. Commercial fleets can justify EVs through kilometres travelled and uptime, while private buyers may place more weight on acquisition price, range confidence and resale value.</w:t>
      </w:r>
    </w:p>
    <w:p>
      <w:pPr>
        <w:pStyle w:val="ListBullet"/>
      </w:pPr>
      <w:r>
        <w:t>Do not confuse a scheme extension with uniform eligibility. Check the current notification, segment cap, vehicle certification and claim process before including incentives in a business plan.</w:t>
      </w:r>
    </w:p>
    <w:p>
      <w:pPr>
        <w:pStyle w:val="Heading1"/>
      </w:pPr>
      <w:r>
        <w:t>What the India EV PLI scheme for ACC batteries actually pays</w:t>
      </w:r>
    </w:p>
    <w:p>
      <w:r>
        <w:t>The national programme for Advanced Chemistry Cell battery storage has an approved outlay of ₹18,100 crore. Its purpose is to establish gigascale ACC manufacturing in India and increase domestic value addition. The incentive is linked to production and sale of qualifying cells; it is not an upfront grant that covers the cost of building a plant.</w:t>
      </w:r>
    </w:p>
    <w:p>
      <w:r>
        <w:t>Under the scheme design, the payable amount is calculated using the applicable subsidy per kilowatt-hour, the percentage of value addition achieved and actual ACC sales in kilowatt-hours. In practical terms, the reward follows verified production, domestic value creation and sales. A factory announcement, an imported-cell pack assembly operation or unused nameplate capacity does not by itself generate the incentive.</w:t>
      </w:r>
    </w:p>
    <w:p>
      <w:pPr>
        <w:pStyle w:val="Heading2"/>
      </w:pPr>
      <w:r>
        <w:t>The qualifying conditions that change the investment case</w:t>
      </w:r>
    </w:p>
    <w:p>
      <w:pPr>
        <w:pStyle w:val="ListBullet"/>
      </w:pPr>
      <w:r>
        <w:t>Scale: the original programme was structured around large manufacturing commitments, with beneficiary capacity parameters measured in gigawatt-hours rather than a small pilot line.</w:t>
      </w:r>
    </w:p>
    <w:p>
      <w:pPr>
        <w:pStyle w:val="ListBullet"/>
      </w:pPr>
      <w:r>
        <w:t>Investment: beneficiaries must make mandatory investment of ₹225 crore per GWh of committed capacity within two years.</w:t>
      </w:r>
    </w:p>
    <w:p>
      <w:pPr>
        <w:pStyle w:val="ListBullet"/>
      </w:pPr>
      <w:r>
        <w:t>Domestic value addition: beneficiaries must achieve at least 25% domestic value addition and increase it to 60% within five years.</w:t>
      </w:r>
    </w:p>
    <w:p>
      <w:pPr>
        <w:pStyle w:val="ListBullet"/>
      </w:pPr>
      <w:r>
        <w:t>Performance: ACC technologies compete on specified performance characteristics. The scheme is technology-agnostic, but commercially weak chemistry does not become viable simply because it is locally produced.</w:t>
      </w:r>
    </w:p>
    <w:p>
      <w:pPr>
        <w:pStyle w:val="ListBullet"/>
      </w:pPr>
      <w:r>
        <w:t>Output and sales: incentives attach to actual eligible cell sales and achieved value addition, subject to programme terms and the beneficiary’s quoted subsidy parameters.</w:t>
      </w:r>
    </w:p>
    <w:p>
      <w:r>
        <w:t>For an international battery company, this creates two distinct India battery market entry routes. The first is a full manufacturing thesis: commit capital, win or partner into eligible capacity, localise the supply chain and build demand across mobility and stationary storage. The second is a supplier or technology thesis: sell materials, manufacturing equipment, process controls, thermal systems, BMS technology, testing or engineering services to Indian cell and pack makers. The second route may offer faster revenue and lower capital exposure, although it does not provide direct access to ACC PLI payments.</w:t>
      </w:r>
    </w:p>
    <w:p>
      <w:pPr>
        <w:pStyle w:val="Heading1"/>
      </w:pPr>
      <w:r>
        <w:t>OEM supplier qualification takes 12 to 24 months and sometimes longer</w:t>
      </w:r>
    </w:p>
    <w:p>
      <w:r>
        <w:t>International suppliers frequently underestimate the time between a promising OEM meeting and serial production. A realistic planning range is 12 to 24 months for a new safety-critical or performance-critical component. The timeline can extend further when the part is tied to a future vehicle platform, requires tooling, changes the vehicle architecture or lacks Indian field data.</w:t>
      </w:r>
    </w:p>
    <w:tbl>
      <w:tblPr>
        <w:tblStyle w:val="TableGrid"/>
        <w:tblW w:type="auto" w:w="0"/>
        <w:jc w:val="center"/>
        <w:tblLook w:firstColumn="1" w:firstRow="1" w:lastColumn="0" w:lastRow="0" w:noHBand="0" w:noVBand="1" w:val="04A0"/>
      </w:tblPr>
      <w:tblGrid>
        <w:gridCol w:w="4968"/>
        <w:gridCol w:w="4968"/>
      </w:tblGrid>
      <w:tr>
        <w:tc>
          <w:tcPr>
            <w:tcW w:type="dxa" w:w="4968"/>
            <w:shd w:fill="333333"/>
          </w:tcPr>
          <w:p>
            <w:r>
              <w:rPr>
                <w:b/>
                <w:color w:val="FFFFFF"/>
              </w:rPr>
              <w:t>Indicative period</w:t>
            </w:r>
          </w:p>
        </w:tc>
        <w:tc>
          <w:tcPr>
            <w:tcW w:type="dxa" w:w="4968"/>
            <w:shd w:fill="333333"/>
          </w:tcPr>
          <w:p>
            <w:r>
              <w:rPr>
                <w:b/>
                <w:color w:val="FFFFFF"/>
              </w:rPr>
              <w:t>Typical activity</w:t>
            </w:r>
          </w:p>
        </w:tc>
      </w:tr>
      <w:tr>
        <w:tc>
          <w:tcPr>
            <w:tcW w:type="dxa" w:w="4968"/>
            <w:tcMar>
              <w:top w:w="120" w:type="dxa"/>
              <w:start w:w="120" w:type="dxa"/>
              <w:bottom w:w="120" w:type="dxa"/>
              <w:end w:w="120" w:type="dxa"/>
            </w:tcMar>
            <w:vAlign w:val="center"/>
          </w:tcPr>
          <w:p>
            <w:r>
              <w:t>0 to 3 months</w:t>
            </w:r>
          </w:p>
        </w:tc>
        <w:tc>
          <w:tcPr>
            <w:tcW w:type="dxa" w:w="4968"/>
            <w:tcMar>
              <w:top w:w="120" w:type="dxa"/>
              <w:start w:w="120" w:type="dxa"/>
              <w:bottom w:w="120" w:type="dxa"/>
              <w:end w:w="120" w:type="dxa"/>
            </w:tcMar>
            <w:vAlign w:val="center"/>
          </w:tcPr>
          <w:p>
            <w:r>
              <w:t>Target account fit technical introduction and request for information</w:t>
            </w:r>
          </w:p>
        </w:tc>
      </w:tr>
      <w:tr>
        <w:tc>
          <w:tcPr>
            <w:tcW w:type="dxa" w:w="4968"/>
            <w:tcMar>
              <w:top w:w="120" w:type="dxa"/>
              <w:start w:w="120" w:type="dxa"/>
              <w:bottom w:w="120" w:type="dxa"/>
              <w:end w:w="120" w:type="dxa"/>
            </w:tcMar>
            <w:vAlign w:val="center"/>
            <w:shd w:fill="F3F6F8"/>
          </w:tcPr>
          <w:p>
            <w:r>
              <w:t>2 to 6 months</w:t>
            </w:r>
          </w:p>
        </w:tc>
        <w:tc>
          <w:tcPr>
            <w:tcW w:type="dxa" w:w="4968"/>
            <w:tcMar>
              <w:top w:w="120" w:type="dxa"/>
              <w:start w:w="120" w:type="dxa"/>
              <w:bottom w:w="120" w:type="dxa"/>
              <w:end w:w="120" w:type="dxa"/>
            </w:tcMar>
            <w:vAlign w:val="center"/>
            <w:shd w:fill="F3F6F8"/>
          </w:tcPr>
          <w:p>
            <w:r>
              <w:t>Technical review quotation supplier audit and commercial screening</w:t>
            </w:r>
          </w:p>
        </w:tc>
      </w:tr>
      <w:tr>
        <w:tc>
          <w:tcPr>
            <w:tcW w:type="dxa" w:w="4968"/>
            <w:tcMar>
              <w:top w:w="120" w:type="dxa"/>
              <w:start w:w="120" w:type="dxa"/>
              <w:bottom w:w="120" w:type="dxa"/>
              <w:end w:w="120" w:type="dxa"/>
            </w:tcMar>
            <w:vAlign w:val="center"/>
          </w:tcPr>
          <w:p>
            <w:r>
              <w:t>4 to 12 months</w:t>
            </w:r>
          </w:p>
        </w:tc>
        <w:tc>
          <w:tcPr>
            <w:tcW w:type="dxa" w:w="4968"/>
            <w:tcMar>
              <w:top w:w="120" w:type="dxa"/>
              <w:start w:w="120" w:type="dxa"/>
              <w:bottom w:w="120" w:type="dxa"/>
              <w:end w:w="120" w:type="dxa"/>
            </w:tcMar>
            <w:vAlign w:val="center"/>
          </w:tcPr>
          <w:p>
            <w:r>
              <w:t>Samples design validation testing homologation support and failure analysis</w:t>
            </w:r>
          </w:p>
        </w:tc>
      </w:tr>
      <w:tr>
        <w:tc>
          <w:tcPr>
            <w:tcW w:type="dxa" w:w="4968"/>
            <w:tcMar>
              <w:top w:w="120" w:type="dxa"/>
              <w:start w:w="120" w:type="dxa"/>
              <w:bottom w:w="120" w:type="dxa"/>
              <w:end w:w="120" w:type="dxa"/>
            </w:tcMar>
            <w:vAlign w:val="center"/>
            <w:shd w:fill="F3F6F8"/>
          </w:tcPr>
          <w:p>
            <w:r>
              <w:t>9 to 18 months</w:t>
            </w:r>
          </w:p>
        </w:tc>
        <w:tc>
          <w:tcPr>
            <w:tcW w:type="dxa" w:w="4968"/>
            <w:tcMar>
              <w:top w:w="120" w:type="dxa"/>
              <w:start w:w="120" w:type="dxa"/>
              <w:bottom w:w="120" w:type="dxa"/>
              <w:end w:w="120" w:type="dxa"/>
            </w:tcMar>
            <w:vAlign w:val="center"/>
            <w:shd w:fill="F3F6F8"/>
          </w:tcPr>
          <w:p>
            <w:r>
              <w:t>Tooling pilot builds process approval quality documentation and localisation</w:t>
            </w:r>
          </w:p>
        </w:tc>
      </w:tr>
      <w:tr>
        <w:tc>
          <w:tcPr>
            <w:tcW w:type="dxa" w:w="4968"/>
            <w:tcMar>
              <w:top w:w="120" w:type="dxa"/>
              <w:start w:w="120" w:type="dxa"/>
              <w:bottom w:w="120" w:type="dxa"/>
              <w:end w:w="120" w:type="dxa"/>
            </w:tcMar>
            <w:vAlign w:val="center"/>
          </w:tcPr>
          <w:p>
            <w:r>
              <w:t>12 to 24 months</w:t>
            </w:r>
          </w:p>
        </w:tc>
        <w:tc>
          <w:tcPr>
            <w:tcW w:type="dxa" w:w="4968"/>
            <w:tcMar>
              <w:top w:w="120" w:type="dxa"/>
              <w:start w:w="120" w:type="dxa"/>
              <w:bottom w:w="120" w:type="dxa"/>
              <w:end w:w="120" w:type="dxa"/>
            </w:tcMar>
            <w:vAlign w:val="center"/>
          </w:tcPr>
          <w:p>
            <w:r>
              <w:t>Nomination production validation ramp-up and serial supply</w:t>
            </w:r>
          </w:p>
        </w:tc>
      </w:tr>
    </w:tbl>
    <w:p>
      <w:r>
        <w:t>The timeline is not a promise of business. Suppliers should budget for local engineering responses, repeated testing, cost negotiation, vendor registration and production-quality requirements. They should also distinguish between technical approval, commercial nomination and a purchase order. These are different gates.</w:t>
      </w:r>
    </w:p>
    <w:p>
      <w:pPr>
        <w:pStyle w:val="Heading1"/>
      </w:pPr>
      <w:r>
        <w:t>Which EV segments are commercially accessible</w:t>
      </w:r>
    </w:p>
    <w:p>
      <w:pPr>
        <w:pStyle w:val="Heading2"/>
      </w:pPr>
      <w:r>
        <w:t>Electric two-wheelers</w:t>
      </w:r>
    </w:p>
    <w:p>
      <w:r>
        <w:t>Two-wheelers offer the largest visible volume pool and a broad OEM base. They are most accessible to companies that can improve cost, range, charging convenience, safety, lightweighting or manufacturing yield without adding unaffordable complexity. Components such as power electronics, motors, controllers, connectivity modules, thermal solutions and battery diagnostics can be relevant, but the price target is unforgiving. Imported finished vehicles are a difficult entry proposition unless the brand occupies a defensible premium niche. For most international entrants, supplying or licensing into Indian OEMs is more realistic than launching a new mass-market vehicle brand.</w:t>
      </w:r>
    </w:p>
    <w:p>
      <w:pPr>
        <w:pStyle w:val="Heading2"/>
      </w:pPr>
      <w:r>
        <w:t>Electric three-wheelers and light commercial mobility</w:t>
      </w:r>
    </w:p>
    <w:p>
      <w:r>
        <w:t>Commercial three-wheelers are attractive because the economics are driven by daily utilisation and fuel savings. The segment can be accessible to drivetrain, battery, telematics, fleet-management, financing-enablement and charging companies. However, uptime, service reach and driver financing are often more important than headline technology. A solution that performs well in a laboratory but cannot be repaired quickly in a tier-two city will struggle.</w:t>
      </w:r>
    </w:p>
    <w:p>
      <w:pPr>
        <w:pStyle w:val="Heading2"/>
      </w:pPr>
      <w:r>
        <w:t>Electric passenger four-wheelers</w:t>
      </w:r>
    </w:p>
    <w:p>
      <w:r>
        <w:t>Passenger cars offer a larger value per vehicle but a higher entry barrier. Vehicle programmes are longer, quality and safety validation is demanding, incumbent tier-one suppliers are deeply integrated and local content expectations are high. The best route for a specialised international supplier is usually to enter through a nominated OEM platform, a joint development programme, a tier-one partnership or a local manufacturing relationship. A foreign OEM considering finished-vehicle entry must also evaluate the manufacturing-linked passenger-car scheme, brand investment, charging partnerships, distribution and after-sales economics rather than viewing reduced import duty as a complete market-entry strategy.</w:t>
      </w:r>
    </w:p>
    <w:p>
      <w:pPr>
        <w:pStyle w:val="Heading2"/>
      </w:pPr>
      <w:r>
        <w:t>Electric buses trucks and fleet applications</w:t>
      </w:r>
    </w:p>
    <w:p>
      <w:r>
        <w:t>Commercial vehicles can offer a strong entry route for companies with proven total-cost-of-ownership improvements, high-voltage systems, fleet charging, battery analytics, thermal management, safety systems or uptime services. Sales cycles are procurement-led and can be slow, but customer economics are measurable. Public tenders, approved vehicle configurations, payment security and depot readiness become central. A focused fleet pilot with a credible local OEM or operator is usually more valuable than a broad market launch.</w:t>
      </w:r>
    </w:p>
    <w:p>
      <w:pPr>
        <w:pStyle w:val="Heading1"/>
      </w:pPr>
      <w:r>
        <w:t>The EV supply chain India entrants should assess</w:t>
      </w:r>
    </w:p>
    <w:p>
      <w:r>
        <w:t>India’s localisation agenda creates opportunities beyond complete vehicles. The addressable supply chain includes cell materials, cell manufacturing equipment, pack components, BMS hardware and software, power semiconductors, motors, magnet alternatives, high-voltage connectors, thermal management, charging equipment, testing, cybersecurity, recycling and fleet software.</w:t>
      </w:r>
    </w:p>
    <w:p>
      <w:r>
        <w:t>Accessibility varies. A software or diagnostic product can enter through a pilot, but it still needs integration access and a buyer who owns the problem. A high-voltage component may require years of validation. A battery-material investment needs reliable feedstock, power, environmental approvals and committed offtake. The correct route is determined by the buyer’s qualification process and the localisation economics, not by the market-growth headline.</w:t>
      </w:r>
    </w:p>
    <w:p>
      <w:pPr>
        <w:pStyle w:val="Heading1"/>
      </w:pPr>
      <w:r>
        <w:t>A practical market-entry sequence</w:t>
      </w:r>
    </w:p>
    <w:p>
      <w:pPr>
        <w:pStyle w:val="ListNumber"/>
      </w:pPr>
      <w:r>
        <w:t>Choose one commercial beachhead. Define the first segment, buyer type, use case and product rather than targeting the entire Indian EV market.</w:t>
      </w:r>
    </w:p>
    <w:p>
      <w:pPr>
        <w:pStyle w:val="ListNumber"/>
      </w:pPr>
      <w:r>
        <w:t>Validate willingness to pay. Test the landed and localised price against the OEM’s target cost and quantify the improvement in range, warranty, safety, yield or total cost of ownership.</w:t>
      </w:r>
    </w:p>
    <w:p>
      <w:pPr>
        <w:pStyle w:val="ListNumber"/>
      </w:pPr>
      <w:r>
        <w:t>Map the approval path. Identify engineering, sourcing, quality, homologation and plant stakeholders, along with the evidence required at each gate.</w:t>
      </w:r>
    </w:p>
    <w:p>
      <w:pPr>
        <w:pStyle w:val="ListNumber"/>
      </w:pPr>
      <w:r>
        <w:t>Design localisation before committing a plant. Compare contract manufacturing, licensed production, joint venture, acquisition and greenfield options. Tie each stage to confirmed demand.</w:t>
      </w:r>
    </w:p>
    <w:p>
      <w:pPr>
        <w:pStyle w:val="ListNumber"/>
      </w:pPr>
      <w:r>
        <w:t>Secure a reference programme. A paid pilot, development contract or platform nomination is a stronger signal than a memorandum of understanding.</w:t>
      </w:r>
    </w:p>
    <w:p>
      <w:pPr>
        <w:pStyle w:val="ListNumber"/>
      </w:pPr>
      <w:r>
        <w:t>Fund the full qualification period. Assume 12 to 24 months before serial supply and allow for additional delay, retesting and tooling changes.</w:t>
      </w:r>
    </w:p>
    <w:p>
      <w:pPr>
        <w:pStyle w:val="ListNumber"/>
      </w:pPr>
      <w:r>
        <w:t>Scale only after the economics are repeatable. Expand to more OEMs or segments when the first use case has validated price, performance, service and production quality.</w:t>
      </w:r>
    </w:p>
    <w:p>
      <w:pPr>
        <w:pStyle w:val="Heading1"/>
      </w:pPr>
      <w:r>
        <w:t>Decision framework enter India now or wait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8"/>
              </w:rPr>
              <w:t>Company profile</w:t>
            </w:r>
          </w:p>
        </w:tc>
        <w:tc>
          <w:tcPr>
            <w:tcW w:type="dxa" w:w="3312"/>
            <w:shd w:fill="1F4E79"/>
          </w:tcPr>
          <w:p>
            <w:r>
              <w:rPr>
                <w:b/>
                <w:color w:val="FFFFFF"/>
                <w:sz w:val="18"/>
              </w:rPr>
              <w:t>Recommendation</w:t>
            </w:r>
          </w:p>
        </w:tc>
        <w:tc>
          <w:tcPr>
            <w:tcW w:type="dxa" w:w="3312"/>
            <w:shd w:fill="1F4E79"/>
          </w:tcPr>
          <w:p>
            <w:r>
              <w:rPr>
                <w:b/>
                <w:color w:val="FFFFFF"/>
                <w:sz w:val="18"/>
              </w:rPr>
              <w:t>Reason</w:t>
            </w:r>
          </w:p>
        </w:tc>
      </w:tr>
      <w:tr>
        <w:tc>
          <w:tcPr>
            <w:tcW w:type="dxa" w:w="3312"/>
            <w:tcMar>
              <w:top w:w="120" w:type="dxa"/>
              <w:start w:w="120" w:type="dxa"/>
              <w:bottom w:w="120" w:type="dxa"/>
              <w:end w:w="120" w:type="dxa"/>
            </w:tcMar>
            <w:vAlign w:val="center"/>
          </w:tcPr>
          <w:p>
            <w:r>
              <w:rPr>
                <w:sz w:val="16"/>
              </w:rPr>
              <w:t>Proven component with measurable cost or performance advantage and a localisation path</w:t>
            </w:r>
          </w:p>
        </w:tc>
        <w:tc>
          <w:tcPr>
            <w:tcW w:type="dxa" w:w="3312"/>
            <w:tcMar>
              <w:top w:w="120" w:type="dxa"/>
              <w:start w:w="120" w:type="dxa"/>
              <w:bottom w:w="120" w:type="dxa"/>
              <w:end w:w="120" w:type="dxa"/>
            </w:tcMar>
            <w:vAlign w:val="center"/>
          </w:tcPr>
          <w:p>
            <w:r>
              <w:rPr>
                <w:sz w:val="16"/>
              </w:rPr>
              <w:t>Enter now</w:t>
            </w:r>
          </w:p>
        </w:tc>
        <w:tc>
          <w:tcPr>
            <w:tcW w:type="dxa" w:w="3312"/>
            <w:tcMar>
              <w:top w:w="120" w:type="dxa"/>
              <w:start w:w="120" w:type="dxa"/>
              <w:bottom w:w="120" w:type="dxa"/>
              <w:end w:w="120" w:type="dxa"/>
            </w:tcMar>
            <w:vAlign w:val="center"/>
          </w:tcPr>
          <w:p>
            <w:r>
              <w:rPr>
                <w:sz w:val="16"/>
              </w:rPr>
              <w:t>Can pursue a focused OEM qualification programme with a clear value case</w:t>
            </w:r>
          </w:p>
        </w:tc>
      </w:tr>
      <w:tr>
        <w:tc>
          <w:tcPr>
            <w:tcW w:type="dxa" w:w="3312"/>
            <w:tcMar>
              <w:top w:w="120" w:type="dxa"/>
              <w:start w:w="120" w:type="dxa"/>
              <w:bottom w:w="120" w:type="dxa"/>
              <w:end w:w="120" w:type="dxa"/>
            </w:tcMar>
            <w:vAlign w:val="center"/>
            <w:shd w:fill="F3F6F8"/>
          </w:tcPr>
          <w:p>
            <w:r>
              <w:rPr>
                <w:sz w:val="16"/>
              </w:rPr>
              <w:t>Battery materials equipment or process supplier with Indian gigafactory customers</w:t>
            </w:r>
          </w:p>
        </w:tc>
        <w:tc>
          <w:tcPr>
            <w:tcW w:type="dxa" w:w="3312"/>
            <w:tcMar>
              <w:top w:w="120" w:type="dxa"/>
              <w:start w:w="120" w:type="dxa"/>
              <w:bottom w:w="120" w:type="dxa"/>
              <w:end w:w="120" w:type="dxa"/>
            </w:tcMar>
            <w:vAlign w:val="center"/>
            <w:shd w:fill="F3F6F8"/>
          </w:tcPr>
          <w:p>
            <w:r>
              <w:rPr>
                <w:sz w:val="16"/>
              </w:rPr>
              <w:t>Enter now selectively</w:t>
            </w:r>
          </w:p>
        </w:tc>
        <w:tc>
          <w:tcPr>
            <w:tcW w:type="dxa" w:w="3312"/>
            <w:tcMar>
              <w:top w:w="120" w:type="dxa"/>
              <w:start w:w="120" w:type="dxa"/>
              <w:bottom w:w="120" w:type="dxa"/>
              <w:end w:w="120" w:type="dxa"/>
            </w:tcMar>
            <w:vAlign w:val="center"/>
            <w:shd w:fill="F3F6F8"/>
          </w:tcPr>
          <w:p>
            <w:r>
              <w:rPr>
                <w:sz w:val="16"/>
              </w:rPr>
              <w:t>Demand can be captured through local manufacturers without owning full cell capacity</w:t>
            </w:r>
          </w:p>
        </w:tc>
      </w:tr>
      <w:tr>
        <w:tc>
          <w:tcPr>
            <w:tcW w:type="dxa" w:w="3312"/>
            <w:tcMar>
              <w:top w:w="120" w:type="dxa"/>
              <w:start w:w="120" w:type="dxa"/>
              <w:bottom w:w="120" w:type="dxa"/>
              <w:end w:w="120" w:type="dxa"/>
            </w:tcMar>
            <w:vAlign w:val="center"/>
          </w:tcPr>
          <w:p>
            <w:r>
              <w:rPr>
                <w:sz w:val="16"/>
              </w:rPr>
              <w:t>Fleet technology or charging solution with a contracted anchor customer</w:t>
            </w:r>
          </w:p>
        </w:tc>
        <w:tc>
          <w:tcPr>
            <w:tcW w:type="dxa" w:w="3312"/>
            <w:tcMar>
              <w:top w:w="120" w:type="dxa"/>
              <w:start w:w="120" w:type="dxa"/>
              <w:bottom w:w="120" w:type="dxa"/>
              <w:end w:w="120" w:type="dxa"/>
            </w:tcMar>
            <w:vAlign w:val="center"/>
          </w:tcPr>
          <w:p>
            <w:r>
              <w:rPr>
                <w:sz w:val="16"/>
              </w:rPr>
              <w:t>Enter now</w:t>
            </w:r>
          </w:p>
        </w:tc>
        <w:tc>
          <w:tcPr>
            <w:tcW w:type="dxa" w:w="3312"/>
            <w:tcMar>
              <w:top w:w="120" w:type="dxa"/>
              <w:start w:w="120" w:type="dxa"/>
              <w:bottom w:w="120" w:type="dxa"/>
              <w:end w:w="120" w:type="dxa"/>
            </w:tcMar>
            <w:vAlign w:val="center"/>
          </w:tcPr>
          <w:p>
            <w:r>
              <w:rPr>
                <w:sz w:val="16"/>
              </w:rPr>
              <w:t>Utilisation and customer economics can be tested before broad rollout</w:t>
            </w:r>
          </w:p>
        </w:tc>
      </w:tr>
      <w:tr>
        <w:tc>
          <w:tcPr>
            <w:tcW w:type="dxa" w:w="3312"/>
            <w:tcMar>
              <w:top w:w="120" w:type="dxa"/>
              <w:start w:w="120" w:type="dxa"/>
              <w:bottom w:w="120" w:type="dxa"/>
              <w:end w:w="120" w:type="dxa"/>
            </w:tcMar>
            <w:vAlign w:val="center"/>
            <w:shd w:fill="F3F6F8"/>
          </w:tcPr>
          <w:p>
            <w:r>
              <w:rPr>
                <w:sz w:val="16"/>
              </w:rPr>
              <w:t>Premium technology company with no Indian cost-down plan</w:t>
            </w:r>
          </w:p>
        </w:tc>
        <w:tc>
          <w:tcPr>
            <w:tcW w:type="dxa" w:w="3312"/>
            <w:tcMar>
              <w:top w:w="120" w:type="dxa"/>
              <w:start w:w="120" w:type="dxa"/>
              <w:bottom w:w="120" w:type="dxa"/>
              <w:end w:w="120" w:type="dxa"/>
            </w:tcMar>
            <w:vAlign w:val="center"/>
            <w:shd w:fill="F3F6F8"/>
          </w:tcPr>
          <w:p>
            <w:r>
              <w:rPr>
                <w:sz w:val="16"/>
              </w:rPr>
              <w:t>Pilot first</w:t>
            </w:r>
          </w:p>
        </w:tc>
        <w:tc>
          <w:tcPr>
            <w:tcW w:type="dxa" w:w="3312"/>
            <w:tcMar>
              <w:top w:w="120" w:type="dxa"/>
              <w:start w:w="120" w:type="dxa"/>
              <w:bottom w:w="120" w:type="dxa"/>
              <w:end w:w="120" w:type="dxa"/>
            </w:tcMar>
            <w:vAlign w:val="center"/>
            <w:shd w:fill="F3F6F8"/>
          </w:tcPr>
          <w:p>
            <w:r>
              <w:rPr>
                <w:sz w:val="16"/>
              </w:rPr>
              <w:t>Technical interest may not survive sourcing and landed-cost review</w:t>
            </w:r>
          </w:p>
        </w:tc>
      </w:tr>
      <w:tr>
        <w:tc>
          <w:tcPr>
            <w:tcW w:type="dxa" w:w="3312"/>
            <w:tcMar>
              <w:top w:w="120" w:type="dxa"/>
              <w:start w:w="120" w:type="dxa"/>
              <w:bottom w:w="120" w:type="dxa"/>
              <w:end w:w="120" w:type="dxa"/>
            </w:tcMar>
            <w:vAlign w:val="center"/>
          </w:tcPr>
          <w:p>
            <w:r>
              <w:rPr>
                <w:sz w:val="16"/>
              </w:rPr>
              <w:t>New mass-market EV brand relying on subsidy-led retail pricing</w:t>
            </w:r>
          </w:p>
        </w:tc>
        <w:tc>
          <w:tcPr>
            <w:tcW w:type="dxa" w:w="3312"/>
            <w:tcMar>
              <w:top w:w="120" w:type="dxa"/>
              <w:start w:w="120" w:type="dxa"/>
              <w:bottom w:w="120" w:type="dxa"/>
              <w:end w:w="120" w:type="dxa"/>
            </w:tcMar>
            <w:vAlign w:val="center"/>
          </w:tcPr>
          <w:p>
            <w:r>
              <w:rPr>
                <w:sz w:val="16"/>
              </w:rPr>
              <w:t>Wait or redesign</w:t>
            </w:r>
          </w:p>
        </w:tc>
        <w:tc>
          <w:tcPr>
            <w:tcW w:type="dxa" w:w="3312"/>
            <w:tcMar>
              <w:top w:w="120" w:type="dxa"/>
              <w:start w:w="120" w:type="dxa"/>
              <w:bottom w:w="120" w:type="dxa"/>
              <w:end w:w="120" w:type="dxa"/>
            </w:tcMar>
            <w:vAlign w:val="center"/>
          </w:tcPr>
          <w:p>
            <w:r>
              <w:rPr>
                <w:sz w:val="16"/>
              </w:rPr>
              <w:t>Distribution service finance and post-subsidy economics remain unresolved</w:t>
            </w:r>
          </w:p>
        </w:tc>
      </w:tr>
      <w:tr>
        <w:tc>
          <w:tcPr>
            <w:tcW w:type="dxa" w:w="3312"/>
            <w:tcMar>
              <w:top w:w="120" w:type="dxa"/>
              <w:start w:w="120" w:type="dxa"/>
              <w:bottom w:w="120" w:type="dxa"/>
              <w:end w:w="120" w:type="dxa"/>
            </w:tcMar>
            <w:vAlign w:val="center"/>
            <w:shd w:fill="F3F6F8"/>
          </w:tcPr>
          <w:p>
            <w:r>
              <w:rPr>
                <w:sz w:val="16"/>
              </w:rPr>
              <w:t>Cell manufacturer seeking PLI mainly to offset plant capex</w:t>
            </w:r>
          </w:p>
        </w:tc>
        <w:tc>
          <w:tcPr>
            <w:tcW w:type="dxa" w:w="3312"/>
            <w:tcMar>
              <w:top w:w="120" w:type="dxa"/>
              <w:start w:w="120" w:type="dxa"/>
              <w:bottom w:w="120" w:type="dxa"/>
              <w:end w:w="120" w:type="dxa"/>
            </w:tcMar>
            <w:vAlign w:val="center"/>
            <w:shd w:fill="F3F6F8"/>
          </w:tcPr>
          <w:p>
            <w:r>
              <w:rPr>
                <w:sz w:val="16"/>
              </w:rPr>
              <w:t>Wait and rebuild the case</w:t>
            </w:r>
          </w:p>
        </w:tc>
        <w:tc>
          <w:tcPr>
            <w:tcW w:type="dxa" w:w="3312"/>
            <w:tcMar>
              <w:top w:w="120" w:type="dxa"/>
              <w:start w:w="120" w:type="dxa"/>
              <w:bottom w:w="120" w:type="dxa"/>
              <w:end w:w="120" w:type="dxa"/>
            </w:tcMar>
            <w:vAlign w:val="center"/>
            <w:shd w:fill="F3F6F8"/>
          </w:tcPr>
          <w:p>
            <w:r>
              <w:rPr>
                <w:sz w:val="16"/>
              </w:rPr>
              <w:t>The incentive follows eligible output sales and value addition; it is not simple capex reimbursement</w:t>
            </w:r>
          </w:p>
        </w:tc>
      </w:tr>
      <w:tr>
        <w:tc>
          <w:tcPr>
            <w:tcW w:type="dxa" w:w="3312"/>
            <w:tcMar>
              <w:top w:w="120" w:type="dxa"/>
              <w:start w:w="120" w:type="dxa"/>
              <w:bottom w:w="120" w:type="dxa"/>
              <w:end w:w="120" w:type="dxa"/>
            </w:tcMar>
            <w:vAlign w:val="center"/>
          </w:tcPr>
          <w:p>
            <w:r>
              <w:rPr>
                <w:sz w:val="16"/>
              </w:rPr>
              <w:t>Supplier without 24 months of runway or local application support</w:t>
            </w:r>
          </w:p>
        </w:tc>
        <w:tc>
          <w:tcPr>
            <w:tcW w:type="dxa" w:w="3312"/>
            <w:tcMar>
              <w:top w:w="120" w:type="dxa"/>
              <w:start w:w="120" w:type="dxa"/>
              <w:bottom w:w="120" w:type="dxa"/>
              <w:end w:w="120" w:type="dxa"/>
            </w:tcMar>
            <w:vAlign w:val="center"/>
          </w:tcPr>
          <w:p>
            <w:r>
              <w:rPr>
                <w:sz w:val="16"/>
              </w:rPr>
              <w:t>Wait</w:t>
            </w:r>
          </w:p>
        </w:tc>
        <w:tc>
          <w:tcPr>
            <w:tcW w:type="dxa" w:w="3312"/>
            <w:tcMar>
              <w:top w:w="120" w:type="dxa"/>
              <w:start w:w="120" w:type="dxa"/>
              <w:bottom w:w="120" w:type="dxa"/>
              <w:end w:w="120" w:type="dxa"/>
            </w:tcMar>
            <w:vAlign w:val="center"/>
          </w:tcPr>
          <w:p>
            <w:r>
              <w:rPr>
                <w:sz w:val="16"/>
              </w:rPr>
              <w:t>Qualification and localisation can outlast the available capital</w:t>
            </w:r>
          </w:p>
        </w:tc>
      </w:tr>
    </w:tbl>
    <w:p>
      <w:pPr>
        <w:pStyle w:val="Heading2"/>
      </w:pPr>
      <w:r>
        <w:t>The final test</w:t>
      </w:r>
    </w:p>
    <w:p>
      <w:r>
        <w:t>Enter now if the company can name its first buyer, quantify the customer’s economic gain, meet the qualification timeline, localise without destroying quality and finance the period before serial revenue. Wait if the India case depends mainly on market growth forecasts, a subsidy continuing unchanged or an assumption that global OEM approval will automatically carry into Indian sourcing.</w:t>
      </w:r>
    </w:p>
    <w:p>
      <w:r>
        <w:t>India rewards patient, cost-disciplined entrants that solve a defined problem inside the local ecosystem. It is less forgiving of companies that arrive with a global product, a policy presentation and no executable route to nomination, localisation and service.</w:t>
      </w:r>
    </w:p>
    <w:p>
      <w:pPr>
        <w:pStyle w:val="Heading1"/>
      </w:pPr>
      <w:r>
        <w:t>Frequently asked questions</w:t>
      </w:r>
    </w:p>
    <w:p>
      <w:r>
        <w:rPr>
          <w:b/>
        </w:rPr>
        <w:t>What is the FAME scheme for electric vehicles in India?</w:t>
      </w:r>
    </w:p>
    <w:p>
      <w:r>
        <w:t>FAME was the Faster Adoption and Manufacturing of Electric Vehicles programme. FAME II supported eligible electric vehicles and ecosystem development, subject to technical and localisation conditions, and ended on 31 March 2024. Current entry plans should assess PM E-DRIVE and the latest segment-specific notifications rather than assuming FAME II benefits still apply.</w:t>
      </w:r>
    </w:p>
    <w:p>
      <w:r>
        <w:rPr>
          <w:b/>
        </w:rPr>
        <w:t>What is the PLI for ACC batteries?</w:t>
      </w:r>
    </w:p>
    <w:p>
      <w:r>
        <w:t>The ACC battery PLI is an ₹18,100 crore programme intended to build gigascale advanced-chemistry-cell manufacturing in India. Incentives are linked to the applicable subsidy per kWh, achieved domestic value addition and actual eligible cell sales. Key obligations include mandatory investment of ₹225 crore per GWh within two years, at least 25% domestic value addition and a rise to 60% within five years.</w:t>
      </w:r>
    </w:p>
    <w:p>
      <w:r>
        <w:rPr>
          <w:b/>
        </w:rPr>
        <w:t>How long does OEM supplier qualification take in India?</w:t>
      </w:r>
    </w:p>
    <w:p>
      <w:r>
        <w:t>A realistic planning range is 12 to 24 months for a new automotive component, especially when it affects safety, vehicle performance or a future platform. Simple carry-over parts can move faster, while new architecture, tooling, localisation or extensive field validation can take longer.</w:t>
      </w:r>
    </w:p>
    <w:p>
      <w:r>
        <w:rPr>
          <w:b/>
        </w:rPr>
        <w:t>Which EV segment is most accessible for international companies?</w:t>
      </w:r>
    </w:p>
    <w:p>
      <w:r>
        <w:t>There is no single answer. Two-wheelers provide volume but intense price pressure. Three-wheelers and fleets offer strong total-cost-of-ownership logic. Passenger cars offer higher value but longer qualification cycles. For many international technology and component companies, the most accessible route is a focused B2B entry through an Indian OEM, tier-one supplier or fleet customer rather than launching a vehicle brand.</w:t>
      </w:r>
    </w:p>
    <w:p>
      <w:r>
        <w:rPr>
          <w:b/>
        </w:rPr>
        <w:t>Is India battery market entry only attractive for cell manufacturers?</w:t>
      </w:r>
    </w:p>
    <w:p>
      <w:r>
        <w:t>No. International companies can enter through materials, equipment, pack components, BMS, thermal management, testing, recycling and engineering services. These routes may require less capital and reach revenue sooner than building a cell gigafactory, although they do not automatically qualify for ACC PLI incentives.</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8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Market Entry in India PLI FAME and the Commercial Reality Right Now</dc:title>
  <dc:subject>SEO blog on India EV market entry policy incentives and commercial access</dc:subject>
  <dc:creator>GreyRadius Consulting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