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Availability Was Not Adoption</w:t>
      </w:r>
    </w:p>
    <w:p>
      <w:r>
        <w:rPr>
          <w:i/>
        </w:rPr>
        <w:t>How GreyRadius helped an international EdTech company turn a global learning-products offering into a curriculum-aligned, channel-specific entry plan for India.</w:t>
      </w:r>
    </w:p>
    <w:p>
      <w:pPr>
        <w:pStyle w:val="Heading1"/>
      </w:pPr>
      <w:r>
        <w:t>Context</w:t>
      </w:r>
    </w:p>
    <w:p>
      <w:r>
        <w:t>An international EdTech and learning-products company was preparing to enter India. Its global offering was ready, and the market presented two potential routes to revenue: institutional sales to schools and direct sales to consumers.</w:t>
      </w:r>
    </w:p>
    <w:p>
      <w:r>
        <w:t>The apparent launch question was how quickly the company could make its products available. That framing carried a commercial risk. Availability would mean little if schools could not place the products within their teaching requirements or if consumer acquisition costs exceeded the value of early sales.</w:t>
      </w:r>
    </w:p>
    <w:p>
      <w:r>
        <w:t>India required a sharper entry decision: which products had a credible fit with CBSE and NCERT learning requirements, who would buy them, and which route could produce the first evidence of paid adoption.</w:t>
      </w:r>
    </w:p>
    <w:p>
      <w:pPr>
        <w:pStyle w:val="Heading1"/>
      </w:pPr>
      <w:r>
        <w:t>The Core Challenge</w:t>
      </w:r>
    </w:p>
    <w:p>
      <w:r>
        <w:t>At the surface, the company faced a familiar product-launch problem: adapt its positioning, select channels and build demand.</w:t>
      </w:r>
    </w:p>
    <w:p>
      <w:r>
        <w:t>The structural issue was that those choices depended on different buying systems. A school would assess curriculum relevance, classroom use and purchasing fit. A parent or learner buying through e-commerce or modern trade would encounter a different proposition and a different cost of acquisition. Treating both as one launch could create broad distribution without a clear path to revenue.</w:t>
      </w:r>
    </w:p>
    <w:p>
      <w:r>
        <w:t>Curriculum fit also could not sit solely with the product team while commercial teams pursued volume. If the sales promise, product positioning and learning requirements diverged, early interest might fail to convert into repeatable adoption. Likewise, a channel could generate reach while obscuring whether the right buyer was purchasing the right product at a viable cost.</w:t>
      </w:r>
    </w:p>
    <w:p>
      <w:r>
        <w:t>The risk was fragmented ownership of the entry decision: product relevance, institutional sales and consumer distribution could each appear to be progressing while the company remained unable to say what had actually been validated.</w:t>
      </w:r>
    </w:p>
    <w:p>
      <w:pPr>
        <w:pStyle w:val="Heading1"/>
      </w:pPr>
      <w:r>
        <w:t>The Decision Shift</w:t>
      </w:r>
    </w:p>
    <w:p>
      <w:r>
        <w:t>The company moved from global product-led entry to curriculum-aligned, channel-specific market entry.</w:t>
      </w:r>
    </w:p>
    <w:p>
      <w:r>
        <w:t>The strategic realization was that India was not a single launch market for this offering. It was an education ecosystem in which curriculum alignment shaped the product’s reason to be bought, while the buyer and channel shaped whether that demand could become revenue.</w:t>
      </w:r>
    </w:p>
    <w:p>
      <w:r>
        <w:t>That changed the definition of progress. A listing, a distributor relationship or a school conversation was no longer enough on its own. The first meaningful gate was a school contract or first consumer revenue from a clearly defined product and route. Wider expansion would follow evidence that the initial proposition worked commercially.</w:t>
      </w:r>
    </w:p>
    <w:p>
      <w:r>
        <w:t>This reframing made the early launch narrower but more useful. It gave leadership a way to distinguish market presence from market acceptance before committing to broader distribution.</w:t>
      </w:r>
    </w:p>
    <w:p>
      <w:pPr>
        <w:pStyle w:val="Heading1"/>
      </w:pPr>
      <w:r>
        <w:t>What Changed in Execution</w:t>
      </w:r>
    </w:p>
    <w:p>
      <w:r>
        <w:t>Product positioning was anchored to two priority learning frameworks, CBSE and NCERT. That created a common reference point for product and commercial decisions: claims made to buyers needed to connect to identifiable learning requirements.</w:t>
      </w:r>
    </w:p>
    <w:p>
      <w:r>
        <w:t>Institutional sales and consumer distribution became separate routes to market. The school route had to establish a credible educational and purchasing case. The consumer route had to demonstrate that a product could reach buyers at acquisition economics that made sense. Each route therefore needed its own measure of progress.</w:t>
      </w:r>
    </w:p>
    <w:p>
      <w:r>
        <w:t>Within consumer distribution, modern trade and e-commerce were assigned roles according to product type, buyer and acquisition economics. Channel reach was considered alongside the cost and quality of the revenue it could generate. This reduced the risk of interpreting shelf presence or online visibility as proof of demand.</w:t>
      </w:r>
    </w:p>
    <w:p>
      <w:r>
        <w:t>The initial commercial milestone also became an expansion gate. Leadership could evaluate a first-school contract or first-consumer revenue against the intended product, buyer and channel before increasing the number of products or markets in scope. That brought clearer accountability to decisions that might otherwise have been made independently across product, sales and distribution.</w:t>
      </w:r>
    </w:p>
    <w:p>
      <w:pPr>
        <w:pStyle w:val="Heading1"/>
      </w:pPr>
      <w:r>
        <w:t>Business Impact Delivered</w:t>
      </w:r>
    </w:p>
    <w:p>
      <w:r>
        <w:t>The revised entry logic improved the relevance of the India proposition and gave the company a clearer route to initial revenue. It reduced channel risk by separating school and consumer buying paths, then testing consumer channels against their different economics.</w:t>
      </w:r>
    </w:p>
    <w:p>
      <w:r>
        <w:t>It also made the next investment decision more disciplined. Instead of equating broad availability with launch success, the company could use an initial paid milestone to judge where adoption was emerging and where further alignment was needed.</w:t>
      </w:r>
    </w:p>
    <w:p>
      <w:r>
        <w:t>These were improvements to launch readiness and commercial clarity. The supplied case inputs do not establish a completed school contract, a revenue figure or a measured reduction in acquisition cost.</w:t>
      </w:r>
    </w:p>
    <w:p>
      <w:pPr>
        <w:pStyle w:val="Heading1"/>
      </w:pPr>
      <w:r>
        <w:t>Key Outcomes</w:t>
      </w:r>
    </w:p>
    <w:p>
      <w:pPr>
        <w:pStyle w:val="ListBullet"/>
      </w:pPr>
      <w:r>
        <w:t>Two priority curriculum frameworks: CBSE and NCERT informed India product positioning.</w:t>
      </w:r>
    </w:p>
    <w:p>
      <w:pPr>
        <w:pStyle w:val="ListBullet"/>
      </w:pPr>
      <w:r>
        <w:t>Two consumer channels: modern trade and e-commerce received distinct commercial roles.</w:t>
      </w:r>
    </w:p>
    <w:p>
      <w:pPr>
        <w:pStyle w:val="ListBullet"/>
      </w:pPr>
      <w:r>
        <w:t>One initial validation gate: a first-school contract or first-consumer revenue before wider expansion.</w:t>
      </w:r>
    </w:p>
    <w:p>
      <w:r>
        <w:t>In education markets, distribution can scale faster than relevance. Curriculum fit and channel sequencing determine whether access to buyers becomes adoption—and whether adoption can become repeatable revenue.</w:t>
      </w:r>
    </w:p>
    <w:sectPr w:rsidR="00FC693F" w:rsidRPr="0006063C" w:rsidSect="00034616">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