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FF600F" w:rsidRDefault="00000000">
      <w:pPr>
        <w:spacing w:before="1440" w:after="80"/>
      </w:pPr>
      <w:r>
        <w:rPr>
          <w:b/>
          <w:bCs/>
          <w:color w:val="1B2A4A"/>
          <w:sz w:val="52"/>
          <w:szCs w:val="52"/>
        </w:rPr>
        <w:t>GREYRADIUS CONSULTING</w:t>
      </w:r>
    </w:p>
    <w:p w:rsidR="00FF600F" w:rsidRDefault="00000000">
      <w:pPr>
        <w:spacing w:after="80"/>
      </w:pPr>
      <w:r>
        <w:rPr>
          <w:color w:val="E8612C"/>
          <w:sz w:val="30"/>
          <w:szCs w:val="30"/>
        </w:rPr>
        <w:t>SEO Build Pack — Batch 3 (Pages 61–80)</w:t>
      </w:r>
    </w:p>
    <w:p w:rsidR="00FF600F" w:rsidRDefault="00000000">
      <w:pPr>
        <w:spacing w:after="600"/>
      </w:pPr>
      <w:r>
        <w:rPr>
          <w:i/>
          <w:iCs/>
          <w:color w:val="666666"/>
        </w:rPr>
        <w:t>20 pages full content · Replit prompt · JSON appendix | May 2026 | Confidential</w:t>
      </w:r>
    </w:p>
    <w:p w:rsidR="00FF600F" w:rsidRDefault="00FF600F">
      <w:pPr>
        <w:pBdr>
          <w:bottom w:val="single" w:sz="8" w:space="1" w:color="1B2A4A"/>
        </w:pBdr>
        <w:spacing w:before="200" w:after="200"/>
      </w:pPr>
    </w:p>
    <w:p w:rsidR="00FF600F" w:rsidRDefault="00000000">
      <w:pPr>
        <w:pStyle w:val="Heading1"/>
      </w:pPr>
      <w:r>
        <w:t>Batch 3 overview — pages 61 to 80</w:t>
      </w:r>
    </w:p>
    <w:p w:rsidR="00FF600F" w:rsidRDefault="00000000">
      <w:pPr>
        <w:spacing w:before="60" w:after="60"/>
      </w:pPr>
      <w:r>
        <w:rPr>
          <w:color w:val="222222"/>
        </w:rPr>
        <w:t>This document delivers the next 20 pages in the GreyRadius SEO architecture. Use the same template and build system as Batches 1, 1B, and 2.</w:t>
      </w:r>
    </w:p>
    <w:p w:rsidR="00FF600F" w:rsidRDefault="00000000">
      <w:pPr>
        <w:spacing w:before="60" w:after="60"/>
      </w:pPr>
      <w:r>
        <w:rPr>
          <w:color w:val="222222"/>
        </w:rPr>
        <w:t>Pages in this batch:</w:t>
      </w:r>
    </w:p>
    <w:p w:rsidR="00FF600F" w:rsidRDefault="00000000">
      <w:pPr>
        <w:pStyle w:val="ListParagraph"/>
        <w:numPr>
          <w:ilvl w:val="0"/>
          <w:numId w:val="2"/>
        </w:numPr>
        <w:spacing w:before="40" w:after="40"/>
      </w:pPr>
      <w:r>
        <w:rPr>
          <w:color w:val="222222"/>
        </w:rPr>
        <w:t>61. [Tier 2] Health supplements and nutraceuticals consulting</w:t>
      </w:r>
    </w:p>
    <w:p w:rsidR="00FF600F" w:rsidRDefault="00000000">
      <w:pPr>
        <w:pStyle w:val="ListParagraph"/>
        <w:numPr>
          <w:ilvl w:val="0"/>
          <w:numId w:val="2"/>
        </w:numPr>
        <w:spacing w:before="40" w:after="40"/>
      </w:pPr>
      <w:r>
        <w:rPr>
          <w:color w:val="222222"/>
        </w:rPr>
        <w:t>62. [Tier 2] Creator economy consulting</w:t>
      </w:r>
    </w:p>
    <w:p w:rsidR="00FF600F" w:rsidRDefault="00000000">
      <w:pPr>
        <w:pStyle w:val="ListParagraph"/>
        <w:numPr>
          <w:ilvl w:val="0"/>
          <w:numId w:val="2"/>
        </w:numPr>
        <w:spacing w:before="40" w:after="40"/>
      </w:pPr>
      <w:r>
        <w:rPr>
          <w:color w:val="222222"/>
        </w:rPr>
        <w:t>63. [Tier 3] Halal beauty and cosmetics market entry strategy</w:t>
      </w:r>
    </w:p>
    <w:p w:rsidR="00FF600F" w:rsidRDefault="00000000">
      <w:pPr>
        <w:pStyle w:val="ListParagraph"/>
        <w:numPr>
          <w:ilvl w:val="0"/>
          <w:numId w:val="2"/>
        </w:numPr>
        <w:spacing w:before="40" w:after="40"/>
      </w:pPr>
      <w:r>
        <w:rPr>
          <w:color w:val="222222"/>
        </w:rPr>
        <w:t>64. [Tier 3] Halal tourism market entry strategy</w:t>
      </w:r>
    </w:p>
    <w:p w:rsidR="00FF600F" w:rsidRDefault="00000000">
      <w:pPr>
        <w:pStyle w:val="ListParagraph"/>
        <w:numPr>
          <w:ilvl w:val="0"/>
          <w:numId w:val="2"/>
        </w:numPr>
        <w:spacing w:before="40" w:after="40"/>
      </w:pPr>
      <w:r>
        <w:rPr>
          <w:color w:val="222222"/>
        </w:rPr>
        <w:t>65. [Tier 3] Modest fashion market entry strategy</w:t>
      </w:r>
    </w:p>
    <w:p w:rsidR="00FF600F" w:rsidRDefault="00000000">
      <w:pPr>
        <w:pStyle w:val="ListParagraph"/>
        <w:numPr>
          <w:ilvl w:val="0"/>
          <w:numId w:val="2"/>
        </w:numPr>
        <w:spacing w:before="40" w:after="40"/>
      </w:pPr>
      <w:r>
        <w:rPr>
          <w:color w:val="222222"/>
        </w:rPr>
        <w:t>66. [Tier 3] Plant-based food market entry strategy</w:t>
      </w:r>
    </w:p>
    <w:p w:rsidR="00FF600F" w:rsidRDefault="00000000">
      <w:pPr>
        <w:pStyle w:val="ListParagraph"/>
        <w:numPr>
          <w:ilvl w:val="0"/>
          <w:numId w:val="2"/>
        </w:numPr>
        <w:spacing w:before="40" w:after="40"/>
      </w:pPr>
      <w:r>
        <w:rPr>
          <w:color w:val="222222"/>
        </w:rPr>
        <w:t>67. [Tier 3] Vertical farming and indoor agriculture market entry strategy</w:t>
      </w:r>
    </w:p>
    <w:p w:rsidR="00FF600F" w:rsidRDefault="00000000">
      <w:pPr>
        <w:pStyle w:val="ListParagraph"/>
        <w:numPr>
          <w:ilvl w:val="0"/>
          <w:numId w:val="2"/>
        </w:numPr>
        <w:spacing w:before="40" w:after="40"/>
      </w:pPr>
      <w:r>
        <w:rPr>
          <w:color w:val="222222"/>
        </w:rPr>
        <w:t>68. [Tier 3] Digital twin market entry strategy</w:t>
      </w:r>
    </w:p>
    <w:p w:rsidR="00FF600F" w:rsidRDefault="00000000">
      <w:pPr>
        <w:pStyle w:val="ListParagraph"/>
        <w:numPr>
          <w:ilvl w:val="0"/>
          <w:numId w:val="2"/>
        </w:numPr>
        <w:spacing w:before="40" w:after="40"/>
      </w:pPr>
      <w:r>
        <w:rPr>
          <w:color w:val="222222"/>
        </w:rPr>
        <w:t>69. [Tier 3] Pet economy and pet care market entry strategy</w:t>
      </w:r>
    </w:p>
    <w:p w:rsidR="00FF600F" w:rsidRDefault="00000000">
      <w:pPr>
        <w:pStyle w:val="ListParagraph"/>
        <w:numPr>
          <w:ilvl w:val="0"/>
          <w:numId w:val="2"/>
        </w:numPr>
        <w:spacing w:before="40" w:after="40"/>
      </w:pPr>
      <w:r>
        <w:rPr>
          <w:color w:val="222222"/>
        </w:rPr>
        <w:t>70. [Tier 3] Luxury goods market entry strategy</w:t>
      </w:r>
    </w:p>
    <w:p w:rsidR="00FF600F" w:rsidRDefault="00000000">
      <w:pPr>
        <w:pStyle w:val="ListParagraph"/>
        <w:numPr>
          <w:ilvl w:val="0"/>
          <w:numId w:val="2"/>
        </w:numPr>
        <w:spacing w:before="40" w:after="40"/>
      </w:pPr>
      <w:r>
        <w:rPr>
          <w:color w:val="222222"/>
        </w:rPr>
        <w:t>71. [Tier 3] Sustainable packaging market entry strategy</w:t>
      </w:r>
    </w:p>
    <w:p w:rsidR="00FF600F" w:rsidRDefault="00000000">
      <w:pPr>
        <w:pStyle w:val="ListParagraph"/>
        <w:numPr>
          <w:ilvl w:val="0"/>
          <w:numId w:val="2"/>
        </w:numPr>
        <w:spacing w:before="40" w:after="40"/>
      </w:pPr>
      <w:r>
        <w:rPr>
          <w:color w:val="222222"/>
        </w:rPr>
        <w:t>72. [Tier 3] Sports and wellness market entry strategy</w:t>
      </w:r>
    </w:p>
    <w:p w:rsidR="00FF600F" w:rsidRDefault="00000000">
      <w:pPr>
        <w:pStyle w:val="ListParagraph"/>
        <w:numPr>
          <w:ilvl w:val="0"/>
          <w:numId w:val="2"/>
        </w:numPr>
        <w:spacing w:before="40" w:after="40"/>
      </w:pPr>
      <w:r>
        <w:rPr>
          <w:color w:val="222222"/>
        </w:rPr>
        <w:t>73. [Tier 3] Gig economy platform market entry strategy</w:t>
      </w:r>
    </w:p>
    <w:p w:rsidR="00FF600F" w:rsidRDefault="00000000">
      <w:pPr>
        <w:pStyle w:val="ListParagraph"/>
        <w:numPr>
          <w:ilvl w:val="0"/>
          <w:numId w:val="2"/>
        </w:numPr>
        <w:spacing w:before="40" w:after="40"/>
      </w:pPr>
      <w:r>
        <w:rPr>
          <w:color w:val="222222"/>
        </w:rPr>
        <w:t>74. [Tier 3] Remittance and cross-border payments market entry strategy</w:t>
      </w:r>
    </w:p>
    <w:p w:rsidR="00FF600F" w:rsidRDefault="00000000">
      <w:pPr>
        <w:pStyle w:val="ListParagraph"/>
        <w:numPr>
          <w:ilvl w:val="0"/>
          <w:numId w:val="2"/>
        </w:numPr>
        <w:spacing w:before="40" w:after="40"/>
      </w:pPr>
      <w:r>
        <w:rPr>
          <w:color w:val="222222"/>
        </w:rPr>
        <w:t>75. [Tier 3] MedTech wearables and remote monitoring market entry strategy</w:t>
      </w:r>
    </w:p>
    <w:p w:rsidR="00FF600F" w:rsidRDefault="00000000">
      <w:pPr>
        <w:pStyle w:val="ListParagraph"/>
        <w:numPr>
          <w:ilvl w:val="0"/>
          <w:numId w:val="2"/>
        </w:numPr>
        <w:spacing w:before="40" w:after="40"/>
      </w:pPr>
      <w:r>
        <w:rPr>
          <w:color w:val="222222"/>
        </w:rPr>
        <w:t>76. [Tier 3] Affordable housing consulting and market entry strategy</w:t>
      </w:r>
    </w:p>
    <w:p w:rsidR="00FF600F" w:rsidRDefault="00000000">
      <w:pPr>
        <w:pStyle w:val="ListParagraph"/>
        <w:numPr>
          <w:ilvl w:val="0"/>
          <w:numId w:val="2"/>
        </w:numPr>
        <w:spacing w:before="40" w:after="40"/>
      </w:pPr>
      <w:r>
        <w:rPr>
          <w:color w:val="222222"/>
        </w:rPr>
        <w:t>77. [Tier 3] REIT and real estate fund consulting</w:t>
      </w:r>
    </w:p>
    <w:p w:rsidR="00FF600F" w:rsidRDefault="00000000">
      <w:pPr>
        <w:pStyle w:val="ListParagraph"/>
        <w:numPr>
          <w:ilvl w:val="0"/>
          <w:numId w:val="2"/>
        </w:numPr>
        <w:spacing w:before="40" w:after="40"/>
      </w:pPr>
      <w:r>
        <w:rPr>
          <w:color w:val="222222"/>
        </w:rPr>
        <w:t>78. [Tier 3] Functional food and beverage market entry strategy</w:t>
      </w:r>
    </w:p>
    <w:p w:rsidR="00FF600F" w:rsidRDefault="00000000">
      <w:pPr>
        <w:pStyle w:val="ListParagraph"/>
        <w:numPr>
          <w:ilvl w:val="0"/>
          <w:numId w:val="2"/>
        </w:numPr>
        <w:spacing w:before="40" w:after="40"/>
      </w:pPr>
      <w:r>
        <w:rPr>
          <w:color w:val="222222"/>
        </w:rPr>
        <w:t>79. [Tier 3] Silver economy and eldercare market entry strategy</w:t>
      </w:r>
    </w:p>
    <w:p w:rsidR="00FF600F" w:rsidRDefault="00000000">
      <w:pPr>
        <w:pStyle w:val="ListParagraph"/>
        <w:numPr>
          <w:ilvl w:val="0"/>
          <w:numId w:val="2"/>
        </w:numPr>
        <w:spacing w:before="40" w:after="40"/>
      </w:pPr>
      <w:r>
        <w:rPr>
          <w:color w:val="222222"/>
        </w:rPr>
        <w:t>80. [Tier 3] 3D printing and additive manufacturing market entry strategy</w:t>
      </w:r>
    </w:p>
    <w:p w:rsidR="00FF600F" w:rsidRDefault="00FF600F">
      <w:pPr>
        <w:pBdr>
          <w:bottom w:val="single" w:sz="8" w:space="1" w:color="1B2A4A"/>
        </w:pBdr>
        <w:spacing w:before="200" w:after="200"/>
      </w:pPr>
    </w:p>
    <w:p w:rsidR="00FF600F" w:rsidRDefault="00000000">
      <w:pPr>
        <w:pStyle w:val="Heading1"/>
      </w:pPr>
      <w:r>
        <w:t>Running total across all batches</w:t>
      </w:r>
    </w:p>
    <w:p w:rsidR="00FF600F" w:rsidRDefault="00000000">
      <w:pPr>
        <w:spacing w:before="60" w:after="60"/>
      </w:pPr>
      <w:r>
        <w:rPr>
          <w:color w:val="222222"/>
        </w:rPr>
        <w:t>Batch 1: pages 1–15 (15 pages)</w:t>
      </w:r>
    </w:p>
    <w:p w:rsidR="00FF600F" w:rsidRDefault="00000000">
      <w:pPr>
        <w:spacing w:before="60" w:after="60"/>
      </w:pPr>
      <w:r>
        <w:rPr>
          <w:color w:val="222222"/>
        </w:rPr>
        <w:t>Batch 1B: pages 16–40 (25 pages)</w:t>
      </w:r>
    </w:p>
    <w:p w:rsidR="00FF600F" w:rsidRDefault="00000000">
      <w:pPr>
        <w:spacing w:before="60" w:after="60"/>
      </w:pPr>
      <w:r>
        <w:rPr>
          <w:color w:val="222222"/>
        </w:rPr>
        <w:t>Batch 2: pages 41–60 (20 pages)</w:t>
      </w:r>
    </w:p>
    <w:p w:rsidR="00FF600F" w:rsidRDefault="00000000">
      <w:pPr>
        <w:spacing w:before="60" w:after="60"/>
      </w:pPr>
      <w:r>
        <w:rPr>
          <w:color w:val="222222"/>
        </w:rPr>
        <w:t>Batch 3: pages 61–80 (20 pages)</w:t>
      </w:r>
    </w:p>
    <w:p w:rsidR="00FF600F" w:rsidRDefault="00000000">
      <w:pPr>
        <w:spacing w:before="60" w:after="60"/>
      </w:pPr>
      <w:r>
        <w:rPr>
          <w:color w:val="222222"/>
        </w:rPr>
        <w:t>Total pages written and ready for Replit: 80 pages</w:t>
      </w:r>
    </w:p>
    <w:p w:rsidR="00FF600F" w:rsidRDefault="00FF600F">
      <w:pPr>
        <w:pBdr>
          <w:bottom w:val="single" w:sz="8" w:space="1" w:color="1B2A4A"/>
        </w:pBdr>
        <w:spacing w:before="200" w:after="200"/>
      </w:pPr>
    </w:p>
    <w:p w:rsidR="00FF600F" w:rsidRDefault="00000000">
      <w:pPr>
        <w:pStyle w:val="Heading1"/>
      </w:pPr>
      <w:r>
        <w:t>Replit prompt — paste to build pages 61-80</w:t>
      </w:r>
    </w:p>
    <w:p w:rsidR="00FF600F" w:rsidRDefault="00000000">
      <w:pPr>
        <w:spacing w:before="60" w:after="60"/>
      </w:pPr>
      <w:r>
        <w:rPr>
          <w:i/>
          <w:iCs/>
          <w:color w:val="666666"/>
          <w:sz w:val="18"/>
          <w:szCs w:val="18"/>
        </w:rPr>
        <w:t>Paste into Replit AI. Template and previous batches already exist — this prompt only builds new pages.</w:t>
      </w:r>
    </w:p>
    <w:p w:rsidR="00FF600F" w:rsidRDefault="00FF600F">
      <w:pPr>
        <w:spacing w:before="80" w:after="80"/>
      </w:pPr>
    </w:p>
    <w:p w:rsidR="00FF600F" w:rsidRDefault="00FF600F">
      <w:pPr>
        <w:shd w:val="clear" w:color="auto" w:fill="F0F0F0"/>
        <w:spacing w:before="14" w:after="14"/>
        <w:ind w:left="360"/>
      </w:pPr>
    </w:p>
    <w:p w:rsidR="00FF600F" w:rsidRDefault="00000000">
      <w:pPr>
        <w:shd w:val="clear" w:color="auto" w:fill="F0F0F0"/>
        <w:spacing w:before="14" w:after="14"/>
        <w:ind w:left="360"/>
      </w:pPr>
      <w:r>
        <w:rPr>
          <w:rFonts w:ascii="Courier New" w:eastAsia="Courier New" w:hAnsi="Courier New" w:cs="Courier New"/>
          <w:color w:val="1B2A4A"/>
          <w:sz w:val="16"/>
          <w:szCs w:val="16"/>
        </w:rPr>
        <w:t>You are adding Batch 3 industry pages to the GreyRadius website.</w:t>
      </w:r>
    </w:p>
    <w:p w:rsidR="00FF600F" w:rsidRDefault="00000000">
      <w:pPr>
        <w:shd w:val="clear" w:color="auto" w:fill="F0F0F0"/>
        <w:spacing w:before="14" w:after="14"/>
        <w:ind w:left="360"/>
      </w:pPr>
      <w:r>
        <w:rPr>
          <w:rFonts w:ascii="Courier New" w:eastAsia="Courier New" w:hAnsi="Courier New" w:cs="Courier New"/>
          <w:color w:val="1B2A4A"/>
          <w:sz w:val="16"/>
          <w:szCs w:val="16"/>
        </w:rPr>
        <w:t>The template already exists at templates/industry-page-template.html</w:t>
      </w:r>
    </w:p>
    <w:p w:rsidR="00FF600F" w:rsidRDefault="00000000">
      <w:pPr>
        <w:shd w:val="clear" w:color="auto" w:fill="F0F0F0"/>
        <w:spacing w:before="14" w:after="14"/>
        <w:ind w:left="360"/>
      </w:pPr>
      <w:r>
        <w:rPr>
          <w:rFonts w:ascii="Courier New" w:eastAsia="Courier New" w:hAnsi="Courier New" w:cs="Courier New"/>
          <w:color w:val="1B2A4A"/>
          <w:sz w:val="16"/>
          <w:szCs w:val="16"/>
        </w:rPr>
        <w:t>Batch 1, Batch 1B, and Batch 2 pages have already been built.</w:t>
      </w:r>
    </w:p>
    <w:p w:rsidR="00FF600F" w:rsidRDefault="00FF600F">
      <w:pPr>
        <w:shd w:val="clear" w:color="auto" w:fill="F0F0F0"/>
        <w:spacing w:before="14" w:after="14"/>
        <w:ind w:left="360"/>
      </w:pPr>
    </w:p>
    <w:p w:rsidR="00FF600F" w:rsidRDefault="00000000">
      <w:pPr>
        <w:shd w:val="clear" w:color="auto" w:fill="F0F0F0"/>
        <w:spacing w:before="14" w:after="14"/>
        <w:ind w:left="360"/>
      </w:pPr>
      <w:r>
        <w:rPr>
          <w:rFonts w:ascii="Courier New" w:eastAsia="Courier New" w:hAnsi="Courier New" w:cs="Courier New"/>
          <w:color w:val="1B2A4A"/>
          <w:sz w:val="16"/>
          <w:szCs w:val="16"/>
        </w:rPr>
        <w:t>STEP 1: Confirm data/industry-pages-batch3.json exists.</w:t>
      </w:r>
    </w:p>
    <w:p w:rsidR="00FF600F" w:rsidRDefault="00000000">
      <w:pPr>
        <w:shd w:val="clear" w:color="auto" w:fill="F0F0F0"/>
        <w:spacing w:before="14" w:after="14"/>
        <w:ind w:left="360"/>
      </w:pPr>
      <w:r>
        <w:rPr>
          <w:rFonts w:ascii="Courier New" w:eastAsia="Courier New" w:hAnsi="Courier New" w:cs="Courier New"/>
          <w:color w:val="1B2A4A"/>
          <w:sz w:val="16"/>
          <w:szCs w:val="16"/>
        </w:rPr>
        <w:t>If it does not exist, stop and tell me.</w:t>
      </w:r>
    </w:p>
    <w:p w:rsidR="00FF600F" w:rsidRDefault="00FF600F">
      <w:pPr>
        <w:shd w:val="clear" w:color="auto" w:fill="F0F0F0"/>
        <w:spacing w:before="14" w:after="14"/>
        <w:ind w:left="360"/>
      </w:pPr>
    </w:p>
    <w:p w:rsidR="00FF600F" w:rsidRDefault="00000000">
      <w:pPr>
        <w:shd w:val="clear" w:color="auto" w:fill="F0F0F0"/>
        <w:spacing w:before="14" w:after="14"/>
        <w:ind w:left="360"/>
      </w:pPr>
      <w:r>
        <w:rPr>
          <w:rFonts w:ascii="Courier New" w:eastAsia="Courier New" w:hAnsi="Courier New" w:cs="Courier New"/>
          <w:color w:val="1B2A4A"/>
          <w:sz w:val="16"/>
          <w:szCs w:val="16"/>
        </w:rPr>
        <w:t>STEP 2: For each entry in data/industry-pages-batch3.json,</w:t>
      </w:r>
    </w:p>
    <w:p w:rsidR="00FF600F" w:rsidRDefault="00000000">
      <w:pPr>
        <w:shd w:val="clear" w:color="auto" w:fill="F0F0F0"/>
        <w:spacing w:before="14" w:after="14"/>
        <w:ind w:left="360"/>
      </w:pPr>
      <w:r>
        <w:rPr>
          <w:rFonts w:ascii="Courier New" w:eastAsia="Courier New" w:hAnsi="Courier New" w:cs="Courier New"/>
          <w:color w:val="1B2A4A"/>
          <w:sz w:val="16"/>
          <w:szCs w:val="16"/>
        </w:rPr>
        <w:t>determine output path:</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tier 2: industries/{{parent}}/{{slug}}.html</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tier 3: industries/{{parent}}/{{slug}}.html</w:t>
      </w:r>
    </w:p>
    <w:p w:rsidR="00FF600F" w:rsidRDefault="00FF600F">
      <w:pPr>
        <w:shd w:val="clear" w:color="auto" w:fill="F0F0F0"/>
        <w:spacing w:before="14" w:after="14"/>
        <w:ind w:left="360"/>
      </w:pPr>
    </w:p>
    <w:p w:rsidR="00FF600F" w:rsidRDefault="00000000">
      <w:pPr>
        <w:shd w:val="clear" w:color="auto" w:fill="F0F0F0"/>
        <w:spacing w:before="14" w:after="14"/>
        <w:ind w:left="360"/>
      </w:pPr>
      <w:r>
        <w:rPr>
          <w:rFonts w:ascii="Courier New" w:eastAsia="Courier New" w:hAnsi="Courier New" w:cs="Courier New"/>
          <w:color w:val="1B2A4A"/>
          <w:sz w:val="16"/>
          <w:szCs w:val="16"/>
        </w:rPr>
        <w:t>Create directory if needed.</w:t>
      </w:r>
    </w:p>
    <w:p w:rsidR="00FF600F" w:rsidRDefault="00FF600F">
      <w:pPr>
        <w:shd w:val="clear" w:color="auto" w:fill="F0F0F0"/>
        <w:spacing w:before="14" w:after="14"/>
        <w:ind w:left="360"/>
      </w:pPr>
    </w:p>
    <w:p w:rsidR="00FF600F" w:rsidRDefault="00000000">
      <w:pPr>
        <w:shd w:val="clear" w:color="auto" w:fill="F0F0F0"/>
        <w:spacing w:before="14" w:after="14"/>
        <w:ind w:left="360"/>
      </w:pPr>
      <w:r>
        <w:rPr>
          <w:rFonts w:ascii="Courier New" w:eastAsia="Courier New" w:hAnsi="Courier New" w:cs="Courier New"/>
          <w:color w:val="1B2A4A"/>
          <w:sz w:val="16"/>
          <w:szCs w:val="16"/>
        </w:rPr>
        <w:t>STEP 3: For each page, read the template fresh,</w:t>
      </w:r>
    </w:p>
    <w:p w:rsidR="00FF600F" w:rsidRDefault="00000000">
      <w:pPr>
        <w:shd w:val="clear" w:color="auto" w:fill="F0F0F0"/>
        <w:spacing w:before="14" w:after="14"/>
        <w:ind w:left="360"/>
      </w:pPr>
      <w:r>
        <w:rPr>
          <w:rFonts w:ascii="Courier New" w:eastAsia="Courier New" w:hAnsi="Courier New" w:cs="Courier New"/>
          <w:color w:val="1B2A4A"/>
          <w:sz w:val="16"/>
          <w:szCs w:val="16"/>
        </w:rPr>
        <w:t>replace ALL tokens using the same logic as previous batches:</w:t>
      </w:r>
    </w:p>
    <w:p w:rsidR="00FF600F" w:rsidRDefault="00FF600F">
      <w:pPr>
        <w:shd w:val="clear" w:color="auto" w:fill="F0F0F0"/>
        <w:spacing w:before="14" w:after="14"/>
        <w:ind w:left="360"/>
      </w:pP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Simple replacements:</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{{PAGE_TITLE}}     → page.title</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{{META_DESC}}      → page.meta</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{{KEYWORDS}}       → page.keywords</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{{SLUG}}           → page.slug</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{{H1}}             → page.h1</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{{TAGLINE}}        → page.tagline</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{{HERO_BODY}}      → page.hero</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{{MARKET_TIMING}}  → page.market_timing</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{{REGIONS}}        → page.regions</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{{STAT1N}}         → page.stat1n</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{{STAT1L}}         → page.stat1l</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{{STAT1B}}         → page.stat1b</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{{STAT2N}}         → page.stat2n</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{{STAT2L}}         → page.stat2l</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{{STAT2B}}         → page.stat2b</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{{STAT3N}}         → page.stat3n</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{{STAT3L}}         → page.stat3l</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{{STAT3B}}         → page.stat3b</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{{INSIGHT_1}}      → page.insights[0]</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{{INSIGHT_2}}      → page.insights[1]</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{{INSIGHT_3}}      → page.insights[2]</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{{INSIGHT_4}}      → page.insights[3]</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{{CHALLENGE_M_1}}  → page.challenges_market[0]</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{{CHALLENGE_M_2}}  → page.challenges_market[1]</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{{CHALLENGE_M_3}}  → page.challenges_market[2]</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{{CHALLENGE_M_4}}  → page.challenges_market[3]</w:t>
      </w:r>
    </w:p>
    <w:p w:rsidR="00FF600F" w:rsidRDefault="00FF600F">
      <w:pPr>
        <w:shd w:val="clear" w:color="auto" w:fill="F0F0F0"/>
        <w:spacing w:before="14" w:after="14"/>
        <w:ind w:left="360"/>
      </w:pP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Challenge cards — split each on "|":</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For i = 1 to 6:</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parts = page.challenges_we_solve[i-1].split("|")</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{{CHALLENGE_i_H}} → parts[0].trim()</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{{CHALLENGE_i_B}} → parts[1].trim()</w:t>
      </w:r>
    </w:p>
    <w:p w:rsidR="00FF600F" w:rsidRDefault="00FF600F">
      <w:pPr>
        <w:shd w:val="clear" w:color="auto" w:fill="F0F0F0"/>
        <w:spacing w:before="14" w:after="14"/>
        <w:ind w:left="360"/>
      </w:pP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Service bodies:</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For i = 1 to 6:</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{{SERVICE_i_BODY}} → page.service_angles[i-1]</w:t>
      </w:r>
    </w:p>
    <w:p w:rsidR="00FF600F" w:rsidRDefault="00FF600F">
      <w:pPr>
        <w:shd w:val="clear" w:color="auto" w:fill="F0F0F0"/>
        <w:spacing w:before="14" w:after="14"/>
        <w:ind w:left="360"/>
      </w:pP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FAQ pairs — split each on "|":</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For i = 1 to 4:</w:t>
      </w:r>
    </w:p>
    <w:p w:rsidR="00FF600F"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parts = page.faq[i-1].split("|")</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{{FAQ_i_Q}} → parts[0].trim()</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{{FAQ_i_A}} → parts[1].trim()</w:t>
      </w:r>
    </w:p>
    <w:p w:rsidR="00FF600F" w:rsidRDefault="00FF600F">
      <w:pPr>
        <w:shd w:val="clear" w:color="auto" w:fill="F0F0F0"/>
        <w:spacing w:before="14" w:after="14"/>
        <w:ind w:left="360"/>
      </w:pP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Build and inject Service JSON-LD schema</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using H1, META_DESC, and REGIONS values.</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Replace {{SCHEMA_SERVICE}}.</w:t>
      </w:r>
    </w:p>
    <w:p w:rsidR="00FF600F" w:rsidRDefault="00FF600F">
      <w:pPr>
        <w:shd w:val="clear" w:color="auto" w:fill="F0F0F0"/>
        <w:spacing w:before="14" w:after="14"/>
        <w:ind w:left="360"/>
      </w:pP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Build and inject FAQPage JSON-LD schema</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using the 4 FAQ pairs.</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Replace {{SCHEMA_FAQ}}.</w:t>
      </w:r>
    </w:p>
    <w:p w:rsidR="00FF600F" w:rsidRDefault="00FF600F">
      <w:pPr>
        <w:shd w:val="clear" w:color="auto" w:fill="F0F0F0"/>
        <w:spacing w:before="14" w:after="14"/>
        <w:ind w:left="360"/>
      </w:pP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After all replacements, scan for any remaining</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 }} tokens. Replace with empty string and</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log a warning for each one found.</w:t>
      </w:r>
    </w:p>
    <w:p w:rsidR="00FF600F" w:rsidRDefault="00FF600F">
      <w:pPr>
        <w:shd w:val="clear" w:color="auto" w:fill="F0F0F0"/>
        <w:spacing w:before="14" w:after="14"/>
        <w:ind w:left="360"/>
      </w:pPr>
    </w:p>
    <w:p w:rsidR="00FF600F" w:rsidRDefault="00000000">
      <w:pPr>
        <w:shd w:val="clear" w:color="auto" w:fill="F0F0F0"/>
        <w:spacing w:before="14" w:after="14"/>
        <w:ind w:left="360"/>
      </w:pPr>
      <w:r>
        <w:rPr>
          <w:rFonts w:ascii="Courier New" w:eastAsia="Courier New" w:hAnsi="Courier New" w:cs="Courier New"/>
          <w:color w:val="1B2A4A"/>
          <w:sz w:val="16"/>
          <w:szCs w:val="16"/>
        </w:rPr>
        <w:t>STEP 4: Write each completed HTML to the output path.</w:t>
      </w:r>
    </w:p>
    <w:p w:rsidR="00FF600F" w:rsidRDefault="00000000">
      <w:pPr>
        <w:shd w:val="clear" w:color="auto" w:fill="F0F0F0"/>
        <w:spacing w:before="14" w:after="14"/>
        <w:ind w:left="360"/>
      </w:pPr>
      <w:r>
        <w:rPr>
          <w:rFonts w:ascii="Courier New" w:eastAsia="Courier New" w:hAnsi="Courier New" w:cs="Courier New"/>
          <w:color w:val="1B2A4A"/>
          <w:sz w:val="16"/>
          <w:szCs w:val="16"/>
        </w:rPr>
        <w:t>Log: "Created: [path]"</w:t>
      </w:r>
    </w:p>
    <w:p w:rsidR="00FF600F" w:rsidRDefault="00FF600F">
      <w:pPr>
        <w:shd w:val="clear" w:color="auto" w:fill="F0F0F0"/>
        <w:spacing w:before="14" w:after="14"/>
        <w:ind w:left="360"/>
      </w:pPr>
    </w:p>
    <w:p w:rsidR="00FF600F" w:rsidRDefault="00000000">
      <w:pPr>
        <w:shd w:val="clear" w:color="auto" w:fill="F0F0F0"/>
        <w:spacing w:before="14" w:after="14"/>
        <w:ind w:left="360"/>
      </w:pPr>
      <w:r>
        <w:rPr>
          <w:rFonts w:ascii="Courier New" w:eastAsia="Courier New" w:hAnsi="Courier New" w:cs="Courier New"/>
          <w:color w:val="1B2A4A"/>
          <w:sz w:val="16"/>
          <w:szCs w:val="16"/>
        </w:rPr>
        <w:t>STEP 5: Add all new page URLs to sitemap.xml.</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Tier 2 pages: priority 0.8</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Tier 3 pages: priority 0.7</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Do not remove existing URLs.</w:t>
      </w:r>
    </w:p>
    <w:p w:rsidR="00FF600F" w:rsidRDefault="00FF600F">
      <w:pPr>
        <w:shd w:val="clear" w:color="auto" w:fill="F0F0F0"/>
        <w:spacing w:before="14" w:after="14"/>
        <w:ind w:left="360"/>
      </w:pPr>
    </w:p>
    <w:p w:rsidR="00FF600F" w:rsidRDefault="00000000">
      <w:pPr>
        <w:shd w:val="clear" w:color="auto" w:fill="F0F0F0"/>
        <w:spacing w:before="14" w:after="14"/>
        <w:ind w:left="360"/>
      </w:pPr>
      <w:r>
        <w:rPr>
          <w:rFonts w:ascii="Courier New" w:eastAsia="Courier New" w:hAnsi="Courier New" w:cs="Courier New"/>
          <w:color w:val="1B2A4A"/>
          <w:sz w:val="16"/>
          <w:szCs w:val="16"/>
        </w:rPr>
        <w:t>STEP 6: Update the industries dropdown navigation</w:t>
      </w:r>
    </w:p>
    <w:p w:rsidR="00FF600F" w:rsidRDefault="00000000">
      <w:pPr>
        <w:shd w:val="clear" w:color="auto" w:fill="F0F0F0"/>
        <w:spacing w:before="14" w:after="14"/>
        <w:ind w:left="360"/>
      </w:pPr>
      <w:r>
        <w:rPr>
          <w:rFonts w:ascii="Courier New" w:eastAsia="Courier New" w:hAnsi="Courier New" w:cs="Courier New"/>
          <w:color w:val="1B2A4A"/>
          <w:sz w:val="16"/>
          <w:szCs w:val="16"/>
        </w:rPr>
        <w:t>to include all new Batch 3 pages under their</w:t>
      </w:r>
    </w:p>
    <w:p w:rsidR="00FF600F" w:rsidRDefault="00000000">
      <w:pPr>
        <w:shd w:val="clear" w:color="auto" w:fill="F0F0F0"/>
        <w:spacing w:before="14" w:after="14"/>
        <w:ind w:left="360"/>
      </w:pPr>
      <w:r>
        <w:rPr>
          <w:rFonts w:ascii="Courier New" w:eastAsia="Courier New" w:hAnsi="Courier New" w:cs="Courier New"/>
          <w:color w:val="1B2A4A"/>
          <w:sz w:val="16"/>
          <w:szCs w:val="16"/>
        </w:rPr>
        <w:t>correct Tier 1 parent groups.</w:t>
      </w:r>
    </w:p>
    <w:p w:rsidR="00FF600F" w:rsidRDefault="00FF600F">
      <w:pPr>
        <w:shd w:val="clear" w:color="auto" w:fill="F0F0F0"/>
        <w:spacing w:before="14" w:after="14"/>
        <w:ind w:left="360"/>
      </w:pPr>
    </w:p>
    <w:p w:rsidR="00FF600F" w:rsidRDefault="00000000">
      <w:pPr>
        <w:shd w:val="clear" w:color="auto" w:fill="F0F0F0"/>
        <w:spacing w:before="14" w:after="14"/>
        <w:ind w:left="360"/>
      </w:pPr>
      <w:r>
        <w:rPr>
          <w:rFonts w:ascii="Courier New" w:eastAsia="Courier New" w:hAnsi="Courier New" w:cs="Courier New"/>
          <w:color w:val="1B2A4A"/>
          <w:sz w:val="16"/>
          <w:szCs w:val="16"/>
        </w:rPr>
        <w:t>STEP 7: Output a summary:</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 Total pages created in this batch</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 List of all file paths created</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 Count of any token warnings</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 Confirmation sitemap was updated</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 Confirmation navigation was updated</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 Any failures with explanation</w:t>
      </w:r>
    </w:p>
    <w:p w:rsidR="00FF600F" w:rsidRDefault="00FF600F">
      <w:pPr>
        <w:shd w:val="clear" w:color="auto" w:fill="F0F0F0"/>
        <w:spacing w:before="14" w:after="14"/>
        <w:ind w:left="360"/>
      </w:pPr>
    </w:p>
    <w:p w:rsidR="00FF600F" w:rsidRDefault="00000000">
      <w:pPr>
        <w:shd w:val="clear" w:color="auto" w:fill="F0F0F0"/>
        <w:spacing w:before="14" w:after="14"/>
        <w:ind w:left="360"/>
      </w:pPr>
      <w:r>
        <w:rPr>
          <w:rFonts w:ascii="Courier New" w:eastAsia="Courier New" w:hAnsi="Courier New" w:cs="Courier New"/>
          <w:color w:val="1B2A4A"/>
          <w:sz w:val="16"/>
          <w:szCs w:val="16"/>
        </w:rPr>
        <w:t>DO NOT rebuild any existing pages.</w:t>
      </w:r>
    </w:p>
    <w:p w:rsidR="00FF600F" w:rsidRDefault="00000000">
      <w:pPr>
        <w:shd w:val="clear" w:color="auto" w:fill="F0F0F0"/>
        <w:spacing w:before="14" w:after="14"/>
        <w:ind w:left="360"/>
      </w:pPr>
      <w:r>
        <w:rPr>
          <w:rFonts w:ascii="Courier New" w:eastAsia="Courier New" w:hAnsi="Courier New" w:cs="Courier New"/>
          <w:color w:val="1B2A4A"/>
          <w:sz w:val="16"/>
          <w:szCs w:val="16"/>
        </w:rPr>
        <w:t>DO NOT write any generation scripts.</w:t>
      </w:r>
    </w:p>
    <w:p w:rsidR="00FF600F" w:rsidRDefault="00000000">
      <w:pPr>
        <w:shd w:val="clear" w:color="auto" w:fill="F0F0F0"/>
        <w:spacing w:before="14" w:after="14"/>
        <w:ind w:left="360"/>
      </w:pPr>
      <w:r>
        <w:rPr>
          <w:rFonts w:ascii="Courier New" w:eastAsia="Courier New" w:hAnsi="Courier New" w:cs="Courier New"/>
          <w:color w:val="1B2A4A"/>
          <w:sz w:val="16"/>
          <w:szCs w:val="16"/>
        </w:rPr>
        <w:t>Read the JSON. Write each file directly.</w:t>
      </w:r>
    </w:p>
    <w:p w:rsidR="00FF600F" w:rsidRDefault="00FF600F">
      <w:pPr>
        <w:shd w:val="clear" w:color="auto" w:fill="F0F0F0"/>
        <w:spacing w:before="14" w:after="14"/>
        <w:ind w:left="360"/>
      </w:pPr>
    </w:p>
    <w:p w:rsidR="00FF600F" w:rsidRDefault="00FF600F">
      <w:pPr>
        <w:pBdr>
          <w:bottom w:val="single" w:sz="8" w:space="1" w:color="1B2A4A"/>
        </w:pBdr>
        <w:spacing w:before="200" w:after="200"/>
      </w:pPr>
    </w:p>
    <w:p w:rsidR="00FF600F" w:rsidRDefault="00000000">
      <w:pPr>
        <w:pStyle w:val="Heading1"/>
      </w:pPr>
      <w:r>
        <w:t>JSON appendix — copy into data/industry-pages-batch3.json</w:t>
      </w:r>
    </w:p>
    <w:p w:rsidR="00FF600F" w:rsidRDefault="00000000">
      <w:pPr>
        <w:spacing w:before="60" w:after="60"/>
      </w:pPr>
      <w:r>
        <w:rPr>
          <w:i/>
          <w:iCs/>
          <w:color w:val="666666"/>
          <w:sz w:val="18"/>
          <w:szCs w:val="18"/>
        </w:rPr>
        <w:t>Copy the complete JSON array and save as data/industry-pages-batch3.json</w:t>
      </w:r>
    </w:p>
    <w:p w:rsidR="00FF600F" w:rsidRDefault="00FF600F">
      <w:pPr>
        <w:spacing w:before="80" w:after="40"/>
      </w:pPr>
    </w:p>
    <w:p w:rsidR="00FF600F" w:rsidRDefault="00000000">
      <w:pPr>
        <w:shd w:val="clear" w:color="auto" w:fill="F0F0F0"/>
        <w:spacing w:before="14" w:after="14"/>
        <w:ind w:left="360"/>
      </w:pPr>
      <w:r>
        <w:rPr>
          <w:rFonts w:ascii="Courier New" w:eastAsia="Courier New" w:hAnsi="Courier New" w:cs="Courier New"/>
          <w:color w:val="1B2A4A"/>
          <w:sz w:val="16"/>
          <w:szCs w:val="16"/>
        </w:rPr>
        <w:t>[</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"slug": "health-supplements",</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"tier": 2,</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"parent": "cpg-fmcg-retail",</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"title": "Health Supplements &amp; Nutraceuticals Consulting | Market Entry | GreyRadius",</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helps health supplement brands, nutraceutical companies, and functional food businesses with market entry strategy, GTM execution, feasibility studies, and fundraising.",</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"h1": "Health supplements and nutraceuticals consulting",</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"tagline": "From formulation to pharmacy shelf — strategy for supplement brands entering new markets.",</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"hero": "The global health supplements and nutraceuticals market is one of the fastest-growing consumer sectors — driven by rising health awareness, preventive healthcare adoption, sports nutrition growth, and the post-pandemic surge in immunity and wellness product demand. International supplement brands, contract manufacturers, and functional food companies are all evaluating new market entry opportunities across Southeast Asia, South Asia, the Gulf, and Africa. GreyRadius helps supplement businesses validate consumer demand, navigate regulatory requirements, execute GTM plans, and raise capital.",</w:t>
      </w:r>
    </w:p>
    <w:p w:rsidR="00FF600F"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"market_timing": "Southeast Asia and South Asia are entering a premium health supplement adoption phase — rising middle-class incomes are creating first-time buyers of vitamins, protein supplements, and functional foods. The Gulf's health-conscious urban consumer base and the region's import dependency create significant opportunities for international supplement brands establishing distribution now.",</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"Global health supplements market is projected to reach $350B by 2027 growing at 8% annually — with Southeast Asia and South Asia growing at 12%+ driven by young health-aware populations and rising fitness culture.",</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"Sports nutrition is the fastest-growing supplement segment in Southeast Asia and South Asia — gym culture, fitness influencer communities, and e-commerce distribution are all accelerating protein supplement and pre-workout adoption.",</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"Halal certification is becoming a standard requirement for supplements sold in Muslim-majority markets — brands without halal certification are losing distribution access in Indonesia, Malaysia, and the Gulf.",</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"Functional food and beverages are blurring the line between food and supplements — products positioned as everyday food items with added health benefits are achieving higher consumer adoption than traditional supplement pills and capsules."</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"challenges_market": [</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"Regulatory classification of supplements varies dramatically across markets — some countries classify supplements as food, others as pharmaceuticals, with dramatically different registration requirements and timelines.",</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"Consumer education on supplement efficacy is inconsistent — markets with lower supplement awareness require significant marketing investment to explain product benefits before purchase conversion.",</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"Counterfeit and low-quality supplement products are prevalent in many markets — established supplement brands face significant brand protection challenges in markets with weak IP enforcement.",</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"E-commerce is disrupting traditional supplement distribution — direct-to-consumer brands selling online are capturing market share from traditional pharmacy and health store distribution channels."</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"challenges_we_solve": [</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"Entering a new supplements market|You need consumer demand research, regulatory classification mapping, distribution channel assessment, and an entry roadmap before committing to market investment.",</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"Supplement product-market fit validation|You need to validate that consumers in your target market want your supplement category and what formulation, format, and price point they will accept.",</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"GTM for a supplement brand|You have a health supplement product and need a go-to-market strategy covering pharmacy, health store, gym, and e-commerce channel development.",</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"Halal certification pathway|You need to understand halal supplement certification requirements across your target Muslim-majority markets and how to achieve certification efficiently.",</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"Raising capital for a supplement venture|You are raising investment for a supplement brand or contract manufacturer and need a pitch book grounded in consumer demand data and market sizing.",</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"Competitive intelligence|You need to understand how competing supplement brands are positioned, priced, and distributed in your target market."</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"service_angles": [</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"Validate consumer demand for your supplement product in a new market. Covers consumer surveys, pharmacy and retailer interviews, regulatory classification mapping, and a Go/Defer/Kill recommendation.",</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"Full financial and operational feasibility for supplement brand launches and manufacturing investments. Covers demand modelling, distribution cost structure, regulatory compliance cost, and investor-ready projections.",</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"End-to-end market entry for supplement brands. Regulatory registration pathway, distributor identification, retail and e-commerce channel development, and first-distribution milestone.",</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"Embedded GTM team for supplement brands. Retailer and distributor outreach, influencer partnership pipeline, and first-revenue milestone tracking.",</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"Investor-ready pitch books for supplement ventures. Consumer-demand-validated market sizing, distribution economics, and investor identification across FMCG and health-focused PE.",</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"AI use-case prioritisation in supplements — from personalised nutrition recommendation and demand forecasting to supply chain traceability and automated regulatory compliance monitoring."</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"faq": [</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"Does GreyRadius work with international supplement brands or also with contract manufacturers?|Both. We work with international brands on market entry and distribution strategy, and with contract manufacturers on market development and fundraising.",</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"What supplement markets does GreyRadius cover?|Southeast Asia, South Asia, the Gulf, and Africa — markets with the fastest-growing health supplement consumer bases.",</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"How long does a supplement market entry engagement take?|Typically 6–10 weeks for consumer research, regulatory mapping, and distribution strategy.",</w:t>
      </w:r>
    </w:p>
    <w:p w:rsidR="00FF600F"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"Can GreyRadius support halal supplement certification pathway planning?|Yes. Halal supplement certification pathway mapping and Muslim consumer research are part of our supplement market entry methodology."</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"keywords": "health supplements market entry, nutraceuticals GTM strategy, supplement consulting, functional food advisory, supplement brand market entry, nutraceuticals market strategy",</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"regions": "Southeast Asia, South Asia, Gulf, Africa"</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"slug": "creator-economy",</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"tier": 2,</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"parent": "media-entertainment",</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"title": "Creator Economy Consulting | Market Entry &amp; GTM | GreyRadius",</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helps creator economy platforms, influencer marketing companies, and creator monetisation businesses with market entry strategy, GTM execution, and fundraising.",</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"h1": "Creator economy consulting",</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"tagline": "From first follower to sustainable revenue — strategy for creator economy businesses.",</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"hero": "The creator economy has grown from a niche content phenomenon to a $250B+ global industry — with platforms, tools, and infrastructure companies all serving the millions of content creators who are building businesses around their audiences. Creator monetisation platforms, influencer marketing agencies, creator fund operators, and creator tooling companies are all evaluating new market entry opportunities as the creator economy matures across Southeast Asia, South Asia, the Gulf, and Africa. GreyRadius helps creator economy businesses validate demand, execute GTM plans, and raise capital.",</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"market_timing": "Southeast Asia has the highest social media engagement rates in the world — Indonesia, Philippines, Thailand, and Vietnam all have creator economies at inflection points where professional creator infrastructure is needed but not yet established. The Gulf's creator economy is growing at 40%+ annually driven by premium brand spend and high-income audience demographics. Companies building creator infrastructure in these markets in 2024–2027 are defining the ecosystem.",</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"Global creator economy market is projected to reach $480B by 2027 — with Southeast Asia and South Asia growing at 25%+ annually as smartphone penetration, cheap data, and social platform growth accelerate creator adoption.",</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"Micro and nano-influencer marketing is outperforming macro-influencer campaigns — brands are shifting budget from celebrity influencers to creators with 10,000–100,000 followers who deliver 3–5x higher engagement and conversion rates.",</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"Creator-to-consumer commerce is the fastest-growing revenue model — creators selling their own products directly to audiences through social commerce, Shopify stores, and branded merchandise are building more sustainable businesses than pure advertising revenue.",</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"Islamic and modest content creators are an underserved but fast-growing segment — halal lifestyle, modest fashion, and Islamic finance content creators are reaching 500M+ Muslim consumers globally with limited dedicated platform support."</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"challenges_market": [</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"Creator monetisation infrastructure is underdeveloped in many emerging markets — payment systems, tax compliance tools, and brand partnership marketplaces that exist in the US and Europe are absent in Southeast Asia and South Asia.",</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"Platform algorithm changes create income volatility for creators — dependence on a single platform creates existential risk for creators and the platforms and agencies serving them.",</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"Brand safety concerns are limiting enterprise marketing spend through creators — brands require rigorous creator vetting, content approval processes, and performance measurement that most creator platforms cannot yet provide at scale.",</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"Creator burnout and content sustainability are growing challenges — the volume of content required to maintain algorithm visibility is creating mental health and productivity challenges that create churn for creator platforms."</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"challenges_we_solve": [</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"Creator platform market entry|You are a creator monetisation, brand marketplace, or creator tooling company entering a new market and need consumer and creator demand validation.",</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"Brand advertiser demand validation|You need to validate that brands in your target market are willing to allocate marketing budget to creator channels and what performance metrics they require.",</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"GTM for a creator economy platform|You have a creator fund, brand marketplace, or creator monetisation tool and need a go-to-market strategy covering creator and brand acquisition.",</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"Raising capital for a creator economy venture|You are raising investment and need a pitch book grounded in creator demand data, brand advertiser market sizing, and monetisation benchmarks.",</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"Islamic creator economy opportunity|You are evaluating the halal and Islamic lifestyle creator market and need demand validation, brand advertiser research, and platform strategy.",</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"Competitive landscape mapping|You need to understand how competing creator platforms and influencer marketing companies are positioned in your target market."</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"service_angles": [</w:t>
      </w:r>
    </w:p>
    <w:p w:rsidR="00FF600F"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"Validate creator and brand advertiser demand for your creator economy platform in a new market. Covers creator surveys, brand advertiser interviews, competitive mapping, and a Go/Defer/Kill recommendation.",</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"Full financial and operational feasibility for creator economy platform launches. Covers creator supply modelling, brand advertiser demand, revenue per creator, and investor-ready financial projections.",</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"End-to-end market entry for creator economy companies. Creator ICP definition, brand advertiser channel development, platform partner identification, and first-creator or first-brand milestone.",</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"Embedded GTM team for creator platforms. Creator acquisition execution, brand advertiser pipeline, and first-revenue milestone tracking.",</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"Investor-ready pitch books for creator economy ventures. Creator-demand-validated market sizing, monetisation benchmarks, and investor identification across media and consumer tech VC.",</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"AI use-case prioritisation in the creator economy — from content performance prediction and brand-creator matching to automated rights management and creator analytics."</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"faq": [</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"Does GreyRadius work with creator platforms or also with influencer marketing agencies and creator tools?|All three. We work with creator platforms on market entry and GTM, influencer marketing agencies on market entry, and creator tooling companies on GTM and fundraising.",</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"What creator economy markets does GreyRadius cover?|Southeast Asia, South Asia, the Gulf, and Africa — markets with the highest social media engagement and fastest creator economy growth.",</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"How long does a creator economy market entry engagement take?|Typically 6–10 weeks for creator and brand demand research and market entry strategy.",</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"Can GreyRadius identify creator networks and brand advertiser partners for creator platforms?|Yes. Creator network and brand advertiser identification are part of our market entry execution service."</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"keywords": "creator economy market entry, influencer platform GTM, creator monetisation consulting, creator economy advisory, influencer marketing market entry, creator platform strategy",</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"regions": "Southeast Asia, South Asia, Gulf, Africa"</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"slug": "halal-cosmetics",</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"tier": 3,</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"parent": "beauty-personal-care",</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"title": "Halal Beauty &amp; Cosmetics Market Entry Strategy | GreyRadius",</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helps halal cosmetics brands, halal personal care companies, and certified beauty businesses with market entry strategy, GTM execution, and fundraising.",</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"h1": "Halal beauty and cosmetics market entry strategy",</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"tagline": "From halal certification to beauty shelf — strategy for halal cosmetics brands.",</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"hero": "Halal beauty and cosmetics is one of the fastest-growing segments within the global beauty industry — driven by 1.9 billion Muslim consumers seeking beauty products that meet Shariah compliance standards, combined with growing non-Muslim consumer interest in clean, cruelty-free formulations that align with halal certification principles. Halal cosmetics brands, personal care manufacturers, and beauty companies seeking halal certification are all evaluating new market entry opportunities across Southeast Asia, South Asia, the Gulf, and European Muslim communities. GreyRadius helps halal beauty businesses validate consumer demand, navigate certification requirements, execute GTM plans, and raise capital.",</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"market_timing": "Indonesia and Malaysia are the world's two largest halal cosmetics markets and are growing at 12%+ annually. The Gulf's premium halal beauty segment is expanding rapidly as consumers upgrade from mass-market to premium certified halal products. European Muslim beauty consumers — particularly in the UK, France, and Germany — represent an underserved market that established halal brands have not yet fully addressed.",</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"Global halal cosmetics market is projected to reach $130B by 2028 growing at 12% annually — with Southeast Asia, South Asia, and the Gulf representing 70% of global halal beauty consumer spending.",</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"Male grooming halal products are a significant underserved opportunity — Muslim men represent a growing personal care consumer segment with limited certified halal product options in skincare and grooming.",</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"Social commerce is the primary discovery channel for halal beauty — Muslim beauty influencers on TikTok, Instagram, and YouTube are the most effective marketing channel for halal cosmetics brands reaching young Muslim consumers.",</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"Private label halal manufacturing is growing in Malaysia and Turkey — brands can now access certified halal contract manufacturing with short minimum order quantities, reducing the barriers to halal beauty brand creation."</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"challenges_market": [</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"Halal certification complexity varies by market — JAKIM in Malaysia, MUI in Indonesia, ESMA in UAE, and national certification bodies in other markets each have different standards and audit requirements.",</w:t>
      </w:r>
    </w:p>
    <w:p w:rsidR="00FF600F"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"Ingredient sourcing for halal formulations is more complex — avoiding alcohol, animal-derived ingredients, and cross-contamination requires supply chain changes that increase formulation and manufacturing cost.",</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"Consumer skepticism about certification authenticity is growing — a proliferation of self-declared halal products without credible certification is creating consumer trust challenges for genuinely certified brands.",</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"Distribution fragmentation across Muslim consumer markets — from Indonesian minimarkets to Gulf pharmacies to European supermarkets — requires different distribution strategies in each geography."</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"challenges_we_solve": [</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"Halal market entry strategy|You are a beauty brand seeking to enter halal markets and need consumer demand validation, certification pathway mapping, distribution assessment, and an entry roadmap.",</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"Halal certification pathway|You need to identify the right certifying body, understand the audit requirements, and plan the certification timeline for your beauty products across target markets.",</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"GTM for a halal cosmetics brand|You have a halal-certified beauty product and need a go-to-market strategy covering retail, pharmacy, e-commerce, and social commerce channels.",</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"Raising capital for a halal beauty venture|You are raising investment for a halal cosmetics brand or manufacturer and need a pitch book grounded in Muslim consumer demand data.",</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"Muslim consumer demand research|You need to understand Muslim consumer beauty preferences, certification importance, price sensitivity, and brand loyalty drivers in your target market.",</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"Competitive intelligence in halal beauty|You need to understand how competing halal cosmetics brands are positioned, certified, priced, and distributed in your target market."</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"service_angles": [</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"Validate Muslim consumer demand for halal cosmetics in a new market. Covers consumer surveys, retail buyer interviews, certification landscape mapping, and a Go/Defer/Kill recommendation.",</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"Full financial and operational feasibility for halal cosmetics brand launches. Covers demand modelling, certification cost, distribution economics, and investor-ready financial projections.",</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"End-to-end market entry for halal beauty brands. Certification pathway planning, distributor identification, retail and e-commerce channel development, and first-distribution milestone.",</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"Embedded GTM team for halal cosmetics brands. Retailer and e-commerce outreach, Muslim influencer partnership pipeline, and first-revenue milestone tracking.",</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"Investor-ready pitch books for halal beauty ventures. Consumer-demand-validated market sizing, certification narrative, and investor identification.",</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"AI use-case prioritisation in halal beauty — from ingredient compliance screening and personalised product recommendation to supply chain traceability and certification monitoring."</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"faq": [</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"Does GreyRadius work with international beauty brands seeking halal certification or also with dedicated halal cosmetics brands?|Both. We work with international brands adding halal certification to their existing product lines, and with dedicated halal cosmetics brands developing market entry strategies.",</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"What halal beauty markets does GreyRadius cover?|Southeast Asia, South Asia, the Gulf, and Europe — the world's largest Muslim beauty consumer markets.",</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"How long does a halal cosmetics market entry engagement take?|Typically 6–10 weeks for consumer research, certification pathway mapping, and distribution strategy.",</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"Can GreyRadius identify halal contract manufacturers for beauty brands?|Yes. Certified halal manufacturing partner identification is part of our market entry service for beauty companies."</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"keywords": "halal cosmetics market entry, halal beauty GTM strategy, halal personal care consulting, Muslim beauty advisory, halal certification beauty, halal cosmetics strategy",</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"regions": "Southeast Asia, South Asia, Gulf, Europe"</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"slug": "halal-tourism",</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"tier": 3,</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"parent": "hospitality-tourism",</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"title": "Halal Tourism Market Entry Strategy | GreyRadius Consulting",</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helps halal tourism operators, Muslim-friendly hotels, and Islamic travel platforms with market entry strategy, GTM execution, and fundraising.",</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"h1": "Halal tourism market entry strategy",</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"tagline": "From Muslim-friendly concept to first booking — strategy for halal tourism businesses.",</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"hero": "Halal tourism — travel experiences that meet the needs and values of Muslim travellers — is one of the fastest-growing segments in the global tourism industry. Muslim-friendly hotels, halal food tour operators, Islamic heritage travel companies, and digital Muslim travel platforms are all evaluating new market entry opportunities as outbound Muslim travel from Southeast Asia, South Asia, the Gulf, and Central Asia continues to grow. GreyRadius helps halal tourism businesses validate </w:t>
      </w:r>
      <w:r>
        <w:rPr>
          <w:rFonts w:ascii="Courier New" w:eastAsia="Courier New" w:hAnsi="Courier New" w:cs="Courier New"/>
          <w:color w:val="1B2A4A"/>
          <w:sz w:val="16"/>
          <w:szCs w:val="16"/>
        </w:rPr>
        <w:lastRenderedPageBreak/>
        <w:t>traveller demand, navigate certification requirements, build distribution partnerships, and raise capital.",</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"market_timing": "Muslim traveller outbound spend exceeded $220B in 2023 and is projected to reach $300B by 2028. Japan, South Korea, and Eastern European destinations are aggressively pursuing halal tourism certification and Muslim-friendly infrastructure investment. The destination operators and travel platforms that establish Muslim traveller infrastructure in these emerging halal tourism destinations in 2024–2027 will capture first-mover market share.",</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"Muslim traveller market is growing at 8% annually — with Southeast Asian Muslim travellers from Indonesia and Malaysia representing the largest and most travelled segment, followed by Gulf Arab travellers.",</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"Muslim Gen Z and millennial travellers have different priorities than previous generations — they seek authentic local experiences with halal food access and prayer facilities rather than segregated Islamic tourism packages.",</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"Japan has emerged as the top aspirational destination for Southeast Asian Muslim travellers — driven by cultural interest, safety reputation, and Japan's rapidly improving halal food infrastructure.",</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"Halal tourism certification programmes are proliferating globally — government tourism authorities in Thailand, Taiwan, Japan, and several European countries are investing in halal certification for hotels, restaurants, and attractions."</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"challenges_market": [</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"Halal food availability remains the primary pain point for Muslim travellers in non-Muslim majority destinations — the inability to find certified halal food outside major tourist areas limits destination confidence.",</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"Prayer facility access is inconsistent — Muslim travellers rate prayer room availability as a top booking decision factor but most hotels and attractions in non-Muslim destinations do not provide dedicated prayer spaces.",</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"Halal certification standards for travel are not internationally standardised — different certification bodies in different countries create confusion for Muslim travellers about the reliability of halal claims.",</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"Piggybacking on existing tourism infrastructure is challenging — most travel booking platforms do not have robust halal filtering functionality, forcing Muslim travellers to rely on community forums for destination research."</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"challenges_we_solve": [</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"Halal tourism demand validation|You need to validate Muslim traveller demand for your destination or travel product including preferences, pain points, and booking decision factors.",</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"Halal certification pathway for tourism businesses|You need to understand which halal certification is most credible with your target Muslim traveller segment and what the certification requirements are.",</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"GTM for a halal tourism platform or operator|You have a Muslim travel platform, halal tour operator, or Muslim-friendly hotel product and need a go-to-market strategy.",</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"Raising capital for a halal tourism venture|You are raising investment for a halal tourism company and need a pitch book grounded in Muslim traveller demand data and market sizing.",</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"Muslim travel distribution partner identification|You need to identify travel agencies, OTAs, and Muslim community organisations in source markets as distribution partners.",</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"Competitive landscape in halal tourism|You need to understand how competing halal tourism operators and platforms are positioned in your target market."</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"service_angles": [</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"Validate Muslim traveller demand for your halal tourism product in a new market. Covers traveller surveys, travel agent interviews, certification landscape mapping, and a Go/Defer/Kill recommendation.",</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"Full financial and operational feasibility for halal tourism investments. Covers traveller demand modelling, certification cost, distribution economics, and investor-ready projections.",</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"End-to-end market entry for halal tourism operators and platforms. Certification pathway planning, distribution partner identification, and first-booking or first-traveller milestone.",</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"Embedded GTM team for halal tourism businesses. Travel agent and OTA outreach, Muslim community partnership pipeline, and first-revenue milestone tracking.",</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"Investor-ready pitch books for halal tourism ventures. Traveller-demand-validated market sizing, certification narrative, and investor identification.",</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"AI use-case prioritisation in halal tourism — from personalised halal itinerary generation and prayer time integration to halal restaurant discovery and real-time booking assistance."</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"faq": [</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"Does GreyRadius work with halal hotel operators or also with Muslim travel platforms and tour operators?|All three. We work with hotel operators on market entry and certification, travel platforms on GTM and market entry, and tour operators on market entry and fundraising.",</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"What halal tourism markets does GreyRadius cover?|Southeast Asia, South Asia, the Gulf, and emerging halal tourism destination markets in Asia Pacific and Europe.",</w:t>
      </w:r>
    </w:p>
    <w:p w:rsidR="00FF600F"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"How long does a halal tourism market entry engagement take?|Typically 6–10 weeks for Muslim traveller demand research, certification mapping, and distribution strategy.",</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"Can GreyRadius conduct primary research with Muslim travellers across different source markets?|Yes. Muslim traveller surveys and travel agent interviews are a core part of our halal tourism market entry methodology."</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"keywords": "halal tourism market entry, Muslim travel GTM strategy, halal hospitality consulting, Islamic tourism advisory, halal travel market entry, Muslim friendly tourism strategy",</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"regions": "Southeast Asia, South Asia, Gulf, Europe"</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"slug": "modest-fashion",</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"tier": 3,</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"parent": "cpg-fmcg-retail",</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"title": "Modest Fashion Market Entry Strategy | GreyRadius Consulting",</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helps modest fashion brands, Islamic clothing companies, and Muslim apparel businesses with market entry strategy, GTM execution, and fundraising.",</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"h1": "Modest fashion market entry strategy",</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"tagline": "From design to global Muslim wardrobe — strategy for modest fashion brands.",</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"hero": "Modest fashion — clothing that meets the coverage and style preferences of Muslim women and men while delivering contemporary design — has grown from a niche category to a mainstream fashion segment. Modest fashion brands, hijab companies, Islamic apparel manufacturers, and Muslim-focused fashion platforms are all evaluating new market entry opportunities as the global modest fashion market approaches $500B. GreyRadius helps modest fashion businesses validate consumer demand, navigate distribution channels, execute GTM plans, and raise capital.",</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"market_timing": "Indonesia's modest fashion market is growing at 15% annually — driven by young Muslim women seeking contemporary modest styles rather than traditional conservative clothing. The Gulf's luxury modest fashion segment is growing at 20%+ as Gulf consumers upgrade from mass-market to premium modest brands. Western markets including the UK, France, and Germany have underserved Muslim fashion consumer populations actively seeking quality modest brands.",</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"Global modest fashion market is projected to reach $500B by 2025 — with Southeast Asia, South Asia, and the Gulf representing the largest markets and the fastest growth rates.",</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"Social media has transformed modest fashion — Muslim fashion influencers with millions of followers are the primary discovery and purchase influence channel, creating direct-to-consumer brand opportunities that bypass traditional retail.",</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"Sportswear and activewear modest fashion is growing fastest — Muslim women seeking athletic wear that meets modesty requirements represent an underserved market segment growing at 20%+ annually.",</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"Sustainable modest fashion is gaining traction — Muslim consumers, particularly Gen Z, are increasingly interested in ethically produced modest clothing, creating premium positioning opportunities for sustainable modest brands."</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"challenges_market": [</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"Mass market retail distribution is challenging for modest fashion brands — mainstream retailers have limited modest fashion sections, and specialty modest retailers have limited geographic reach.",</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"Sizing and fit standardisation is a challenge — modest fashion requires different fit standards and size ranges than conventional fashion, requiring either market-specific production or accepting fit compromise.",</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"Consumer price sensitivity varies dramatically — mass-market modest consumers in South Asia are highly price-sensitive while Gulf and European Muslim consumers are willing to pay significant premiums for quality and design.",</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"Counterfeit modest fashion products are prevalent in several markets — established modest brands face brand protection challenges particularly in Southeast Asian markets with weak IP enforcement."</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"challenges_we_solve": [</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"Modest fashion market entry|You are a fashion brand seeking to enter modest fashion markets and need consumer demand validation, distribution assessment, and an entry roadmap.",</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"Muslim consumer demand research|You need to understand Muslim fashion consumer preferences, style priorities, price sensitivity, and brand loyalty in your target market.",</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"GTM for a modest fashion brand|You have a modest fashion product and need a go-to-market strategy covering retail, e-commerce, and social commerce channels.",</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"Raising capital for a modest fashion venture|You are raising investment for a modest fashion brand or platform and need a pitch book grounded in Muslim consumer demand data.",</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"Modest fashion platform opportunity|You are evaluating a modest fashion marketplace or discovery platform and need demand validation and GTM strategy.",</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"Competitive intelligence|You need to understand how competing modest fashion brands are positioned, priced, and distributed in your target market."</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"service_angles": [</w:t>
      </w:r>
    </w:p>
    <w:p w:rsidR="00FF600F"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"Validate Muslim consumer demand for modest fashion in a new market. Covers consumer surveys, retailer interviews, social media landscape mapping, and a Go/Defer/Kill recommendation.",</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"Full financial and operational feasibility for modest fashion brand launches. Covers demand modelling, production cost structure, distribution economics, and investor-ready projections.",</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"End-to-end market entry for modest fashion brands. Distribution partner identification, retail and e-commerce channel development, influencer partnership strategy, and first-sales milestone.",</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"Embedded GTM team for modest fashion brands. Retailer outreach, Muslim influencer pipeline, and first-revenue milestone tracking.",</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"Investor-ready pitch books for modest fashion ventures. Consumer-demand-validated market sizing, brand economics, and investor identification.",</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"AI use-case prioritisation in modest fashion — from personalised style recommendation and virtual try-on to demand forecasting and size optimisation."</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"faq": [</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"Does GreyRadius work with modest fashion brands targeting Muslim women or also men's Islamic fashion?|Both. We work across women's modest fashion, men's Islamic clothing, and Islamic sportswear and activewear market entry.",</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"What modest fashion markets does GreyRadius cover?|Southeast Asia, South Asia, the Gulf, and Europe — the world's largest Muslim fashion consumer markets.",</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"How long does a modest fashion market entry engagement take?|Typically 6–10 weeks for consumer research, distribution mapping, and market entry strategy.",</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"Can GreyRadius identify Muslim fashion influencers and social commerce partners?|Yes. Influencer network and social commerce partner identification are part of our GTM service for fashion brands."</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"keywords": "modest fashion market entry, Islamic fashion GTM strategy, Muslim clothing consulting, modest wear advisory, modest fashion brand strategy, Islamic apparel market entry",</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"regions": "Southeast Asia, South Asia, Gulf, Europe"</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"slug": "plant-based-food",</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"tier": 3,</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"parent": "food-beverage",</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"title": "Plant-Based Food Market Entry Strategy | GreyRadius Consulting",</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helps plant-based food brands, alternative protein companies, and vegan food businesses with market entry strategy, GTM execution, and fundraising.",</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"h1": "Plant-based food market entry strategy",</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"tagline": "From alternative protein to mainstream shelf — strategy for plant-based food brands.",</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"hero": "Plant-based food is transitioning from a niche health food category to a mainstream consumer option across global markets — driven by health consciousness, environmental sustainability, and improving product quality that is closing the taste gap with conventional animal protein. Plant-based meat brands, dairy alternatives, egg substitutes, and alternative protein platforms are all evaluating new market entry opportunities as flexitarian and vegan consumer segments grow across Southeast Asia, South Asia, and the Gulf. GreyRadius helps plant-based food businesses validate consumer demand, navigate regulatory requirements, execute distribution strategies, and raise capital.",</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"market_timing": "Asia Pacific is the world's largest plant-based protein consumer market by population — but per-capita consumption of branded plant-based products is still very low, representing a significant market entry opportunity. The Gulf's health-conscious consumer base and the region's reliance on food imports create significant opportunity for plant-based brands establishing distribution now.",</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"Global plant-based food market is projected to reach $162B by 2030 — with Asia Pacific growing at 12% annually as health awareness, environmental consciousness, and product quality improvements drive mainstream adoption.",</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"Flexitarians — consumers who reduce but do not eliminate meat consumption — represent a far larger addressable market than vegans or vegetarians and are the primary growth driver for plant-based meat adoption.",</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"Halal-certified plant-based products are growing — Muslim consumers who cannot eat conventional plant-based products that contain alcohol or non-halal processing aids represent a significant incremental market opportunity.",</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"Foodservice is outperforming retail for plant-based adoption — restaurants and food service operators introducing plant-based menu items are reaching mainstream consumers who would not proactively seek plant-based products at retail."</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"challenges_market": [</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"Price premium over conventional animal protein is the primary adoption barrier — plant-based products typically cost 2–3x more than conventional equivalents, limiting mainstream adoption in price-sensitive markets.",</w:t>
      </w:r>
    </w:p>
    <w:p w:rsidR="00FF600F"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"Taste and texture gap remains for some product categories — plant-based seafood, plant-based dairy, and plant-based egg products have not yet achieved taste parity with conventional products in most consumer evaluations.",</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"Regulatory classification varies — some markets classify plant-based meat as a novel food requiring specific approval, while others treat it as standard food, creating market-specific compliance complexity.",</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"Cold chain and refrigerated retail infrastructure is required for most fresh plant-based products — markets without developed cold chain grocery infrastructure limit the distribution potential of fresh plant-based products."</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"challenges_we_solve": [</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"Plant-based market demand validation|You need to validate consumer acceptance, willingness to pay, and purchase frequency for plant-based food products in a new market.",</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"Regulatory classification and approval pathway|You need to understand how your plant-based product is classified and what approvals are required in your target market.",</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"GTM for a plant-based food brand|You have a plant-based product and need a go-to-market strategy covering retail, foodservice, and e-commerce channel development.",</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"Raising capital for a plant-based food venture|You are raising investment and need a pitch book grounded in consumer demand data and market sizing.",</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"Halal plant-based market entry|You are evaluating the halal plant-based food opportunity and need Muslim consumer research, halal certification mapping, and distribution strategy.",</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"Competitive intelligence|You need to understand how competing plant-based brands are positioned and distributed in your target market."</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"service_angles": [</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"Validate consumer demand for plant-based food in a new market. Covers consumer taste surveys, retailer interviews, regulatory mapping, and a Go/Defer/Kill recommendation.",</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"Full financial and operational feasibility for plant-based food brand launches. Covers demand modelling, production cost structure, distribution economics, and investor-ready projections.",</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"End-to-end market entry for plant-based food brands. Regulatory pathway, distributor identification, retail and foodservice channel development, and first-distribution milestone.",</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"Embedded GTM team for plant-based brands. Retailer and foodservice outreach, influencer pipeline, and first-revenue milestone tracking.",</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"Investor-ready pitch books for plant-based food ventures. Consumer-demand-validated market sizing, competitive landscape, and investor identification.",</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"AI use-case prioritisation in plant-based food — from product formulation optimisation and consumer preference prediction to demand forecasting and supply chain management."</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"faq": [</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"Does GreyRadius work with plant-based meat companies or also with dairy alternatives and egg substitutes?|All segments. We work with plant-based meat, dairy alternatives, seafood alternatives, and egg substitute companies across market entry, GTM, and fundraising.",</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"What plant-based food markets does GreyRadius cover?|Southeast Asia, South Asia, the Gulf, and Africa — markets with growing flexitarian and health-conscious consumer segments.",</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"How long does a plant-based food market entry engagement take?|Typically 6–10 weeks for consumer demand research, regulatory mapping, and distribution strategy.",</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"Can GreyRadius support halal plant-based market entry specifically?|Yes. Halal certification for plant-based products and Muslim consumer research are part of our plant-based food market entry methodology."</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"keywords": "plant based food market entry, alternative protein GTM strategy, vegan food consulting, plant based brand advisory, alternative protein market entry, plant food strategy",</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"regions": "Southeast Asia, South Asia, Gulf, Africa"</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"slug": "vertical-farming",</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"tier": 3,</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"parent": "agritech",</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"title": "Vertical Farming &amp; Indoor Agriculture Market Entry | GreyRadius",</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helps vertical farming companies, indoor agriculture businesses, and controlled environment agriculture providers with market entry strategy, feasibility studies, and fundraising.",</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"h1": "Vertical farming and indoor agriculture market entry strategy",</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"tagline": "From grow room to grocery shelf — strategy for vertical farming businesses entering new markets.",</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"hero": "Vertical farming and controlled environment agriculture are transitioning from technology demonstrations to commercial food production — driven by food security concerns, climate change impact on outdoor agriculture, and consumer demand for locally produced fresh produce. Vertical farm operators, indoor agriculture technology companies, and agri-tech equipment suppliers are all evaluating new market entry opportunities across the Gulf, Southeast Asia, and markets with food import dependency. GreyRadius helps vertical farming businesses validate commercial demand, assess site and operational feasibility, identify off-take partners, and raise capital.",</w:t>
      </w:r>
    </w:p>
    <w:p w:rsidR="00FF600F"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"market_timing": "The Gulf's food security imperative is driving significant vertical farming investment — Saudi Arabia and UAE are investing heavily in domestic food production technology to reduce import dependency. Singapore's 30 by 30 food security goal is creating government-supported demand for local indoor agriculture. Food security investment timelines are compressing — companies entering these markets in 2024–2027 have access to government funding and guaranteed offtake that will not persist indefinitely.",</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"Global vertical farming market is projected to reach $26B by 2030 — with the Gulf, Singapore, and Japan driving disproportionate investment driven by food security programmes and government subsidies.",</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"Leafy greens and herbs represent 90% of current commercial vertical farming production — but strawberries, tomatoes, and high-value produce categories are entering commercial viability as lighting and nutrient delivery technology improves.",</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"Energy cost remains the primary operational challenge — vertical farms consume 10–20x more energy per kilogram of produce than outdoor farming, making low-cost renewable electricity a critical location factor.",</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"Supermarket and food service offtake agreements are critical for financial viability — vertical farms without secured distribution channels face revenue uncertainty that makes project financing extremely difficult."</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"challenges_market": [</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"Capital cost for vertical farm construction is high — commercial scale vertical farms require $10–30M per facility, with payback periods of 5–10 years depending on crop mix, energy cost, and offtake pricing.",</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"Energy cost economics are challenging in markets with expensive grid electricity — vertical farming is only commercially viable in markets where renewable electricity is cheap, available, and reliable.",</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"Skilled agronomy and operations talent is scarce — running a high-technology indoor farm requires expertise in plant science, hydroponic systems, and automation that is not widely available in most markets.",</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"Consumer price premiums for locally grown produce are limited — most consumers will pay a modest premium for local and fresh, but not the 3–5x premium that vertical farm economics often require."</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"challenges_we_solve": [</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"Vertical farm feasibility assessment|You are evaluating a vertical farming investment and need a full feasibility study covering crop selection, energy cost, site requirements, offtake demand, and financial projections.",</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"Retail and foodservice offtake identification|You need to identify and approach supermarket chains, restaurants, and food manufacturers as anchor offtake partners before committing to facility construction.",</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"Government programme and grant access|You need to understand which government food security programmes, subsidies, and grants are available to support vertical farm investment in your target market.",</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"GTM for vertical farming technology|You have vertical farming equipment, lighting systems, or growing medium technology and need a go-to-market strategy covering farm operator acquisition.",</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"Raising capital for a vertical farming venture|You are raising investment and need a pitch book grounded in offtake demand data and project economics.",</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"Competitive landscape|You need to understand how competing vertical farms are positioned, what crops they grow, and how they are winning retail and food service contracts."</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"service_angles": [</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"Validate offtake demand and market opportunity for vertical farming in a new market. Covers retail and food service buyer interviews, government programme mapping, competitive analysis, and a Go/Defer/Kill recommendation.",</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"Full financial and operational feasibility for vertical farm investments. Covers crop yield modelling, energy cost assessment, capital cost, offtake pricing, and bankable financial projections.",</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"End-to-end market entry for vertical farming companies. Government programme engagement, retail offtake identification, site selection support, and first-offtake-agreement milestone.",</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"GTM for vertical farming technology and equipment companies. Farm operator outreach, government programme pipeline, and first-equipment-sale milestone.",</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"Investor-ready pitch books for vertical farming ventures. Offtake-validated demand data, farm economics, energy cost analysis, and investor identification.",</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"AI use-case prioritisation in vertical farming — from crop growth optimisation and automated nutrient management to predictive yield forecasting and energy consumption optimisation."</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"faq": [</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"Does GreyRadius work with vertical farm operators or also with vertical farming technology and equipment companies?|Both. We work with operators on feasibility and market entry, and with technology and equipment companies on GTM and market entry.",</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"What vertical farming markets does GreyRadius cover?|Gulf, Southeast Asia, and South Asia — markets with food security imperatives and government-supported vertical farming investment.",</w:t>
      </w:r>
    </w:p>
    <w:p w:rsidR="00FF600F"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"How long does a vertical farming feasibility study take?|Typically 6–10 weeks for offtake demand research, energy and site assessment, and financial modelling.",</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"Can GreyRadius identify retail and foodservice offtake partners for vertical farms?|Yes. Retail and food service offtake identification and initial commercial discussions are part of our market entry execution service."</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"keywords": "vertical farming market entry, indoor agriculture GTM strategy, controlled environment agriculture consulting, CEA advisory, vertical farm market entry, indoor farming strategy",</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"regions": "Gulf, Southeast Asia, South Asia"</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"slug": "digital-twin",</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"tier": 3,</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"parent": "ai-ml-platforms",</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"title": "Digital Twin Market Entry Strategy | GreyRadius Consulting",</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helps digital twin platform companies, simulation technology providers, and industrial AI companies with market entry strategy, GTM execution, and fundraising.",</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"h1": "Digital twin market entry strategy",</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"tagline": "From virtual model to operational insight — strategy for digital twin companies entering new markets.",</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"hero": "Digital twins — virtual representations of physical assets, processes, and systems that are synchronised with real-world data — are being deployed across manufacturing, infrastructure, smart cities, energy, and healthcare to optimise operations, predict failures, and test scenarios before physical implementation. Digital twin platform developers, simulation technology companies, and industrial AI providers are all evaluating new market entry opportunities as enterprise and government buyers increase investment in digital twin technology. GreyRadius helps digital twin businesses validate buyer demand, navigate procurement processes, execute GTM plans, and raise capital.",</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"market_timing": "Industrial digitalisation investment is accelerating globally — manufacturers, utilities, and government infrastructure operators are all investing in digital twin technology as a core component of Industry 4.0 programmes. Gulf infrastructure mega-projects, India's smart manufacturing push, and Southeast Asian government digital transformation are all creating significant digital twin procurement opportunities in 2024–2028.",</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"Global digital twin market is projected to reach $110B by 2028 — growing at 40%+ annually as manufacturing, infrastructure, and smart city applications move from pilot to production deployment.",</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"Manufacturing is the largest digital twin market — predictive maintenance, production optimisation, and quality control are the primary use cases driving enterprise digital twin adoption in industrial environments.",</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"Smart city digital twins are receiving significant government investment — city planning authorities in Singapore, UAE, and South Korea are using city-scale digital twins for traffic management, urban planning, and emergency response simulation.",</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"AI integration is transforming digital twin capability — machine learning models trained on digital twin data are enabling predictive capabilities that go beyond the original simulation purpose of digital twins."</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"challenges_market": [</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"Data integration complexity is the primary implementation challenge — digital twins require real-time data feeds from IoT sensors, ERP systems, and operational databases that are fragmented and in incompatible formats.",</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"Long implementation timelines and high customisation requirements make enterprise sales cycles 12–24 months — significant proof of concept investment is required before contract award.",</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"Return on investment quantification is difficult — enterprises struggle to calculate the ROI of digital twin investment before deployment, slowing budget approval.",</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"Talent scarcity for digital twin implementation is severe — the combination of domain expertise, data engineering, and 3D modelling skills required is rare and expensive."</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"challenges_we_solve": [</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"Enterprise buyer demand validation|You need to identify which enterprise segments are actively investing in digital twin technology and what use cases and ROI they are seeking.",</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"Government programme and smart city opportunity mapping|You need to understand which government digital transformation and smart infrastructure programmes are actively procuring digital twin technology.",</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"GTM for a digital twin platform|You have a digital twin platform or simulation technology and need a go-to-market strategy covering industrial and government buyer acquisition.",</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"Raising capital for a digital twin venture|You are raising investment and need a pitch book that clearly explains the use case, ROI narrative, and market sizing.",</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"Systems integrator partnership strategy|You need to identify and engage industrial automation companies and IT system integrators as implementation partners.",</w:t>
      </w:r>
    </w:p>
    <w:p w:rsidR="00FF600F"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"Competitive landscape|You need to understand how competing digital twin platforms are positioned and winning enterprise contracts in your target market."</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"service_angles": [</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"Validate enterprise and government buyer demand for digital twin technology in a new market. Covers operations and IT buyer interviews, government programme mapping, competitive analysis, and a Go/Defer/Kill recommendation.",</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"Full financial and operational feasibility for digital twin platform investments. Covers enterprise adoption modelling, implementation cost structure, revenue per deployment, and investor-ready projections.",</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"End-to-end market entry for digital twin companies. Government programme engagement, enterprise ICP definition, systems integrator partner identification, and first-deployment milestone.",</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"Embedded GTM team for digital twin platforms. Enterprise and government outreach, SI partnership development, and first-contract milestone tracking.",</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"Investor-ready pitch books for digital twin ventures. Enterprise-demand-validated market sizing, use case ROI narrative, and investor identification.",</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"AI strategy and use-case prioritisation — identifying which digital twin applications combined with AI deliver the highest ROI and fastest adoption in each target industry."</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"faq": [</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"Does GreyRadius work with generic digital twin platforms or also with industry-specific digital twin companies?|Both. We work with horizontal digital twin platforms on market entry and GTM, and with industry-specific digital twin companies in manufacturing, energy, and infrastructure on market entry and fundraising.",</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"What digital twin markets does GreyRadius cover?|Gulf, Southeast Asia, South Asia, and Europe — markets with active government digital transformation and industrial digitalisation investment.",</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"How long does a digital twin market entry engagement take?|Typically 6–10 weeks for enterprise buyer research, government programme mapping, and market entry strategy.",</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"Can GreyRadius identify industrial automation and systems integrator partners for digital twin companies?|Yes. SI partner identification and initial commercial conversations are part of our market entry execution service."</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"keywords": "digital twin market entry, digital twin GTM strategy, simulation consulting, digital twin advisory, virtual model market entry, industrial AI consulting",</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"regions": "Gulf, Southeast Asia, South Asia, Europe"</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"slug": "pet-economy",</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"tier": 3,</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"parent": "cpg-fmcg-retail",</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"title": "Pet Economy &amp; Pet Care Market Entry Strategy | GreyRadius",</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helps pet food brands, pet care companies, and pet tech businesses with market entry strategy, GTM execution, feasibility studies, and fundraising.",</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"h1": "Pet economy and pet care market entry strategy",</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"tagline": "From pet food to premium care — strategy for pet economy businesses entering new markets.",</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"hero": "The pet economy is one of the fastest-growing consumer segments globally — driven by the humanisation of pets, rising pet ownership, and the premiumisation of pet care spending. Pet food brands, veterinary service operators, pet insurance companies, and pet technology businesses are all evaluating new market entry opportunities across Southeast Asia, South Asia, and the Gulf as pet ownership growth accelerates in urban markets. GreyRadius helps pet economy businesses validate consumer demand, navigate regulatory requirements, execute GTM plans, and raise capital.",</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"market_timing": "Pet ownership in Southeast Asia and South Asia is growing at 10%+ annually — driven by urbanisation, smaller family sizes, and rising incomes creating the conditions for pet humanisation that drove the US and European pet market expansion. Thailand, Vietnam, and India are entering the phase of rapid pet ownership growth that characterises the early pet economy expansion, creating significant first-mover opportunities.",</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"Global pet care market is projected to reach $350B by 2027 — with Asia Pacific growing at 12% annually as pet ownership rates in urban Southeast Asia and South Asia approach Western levels.",</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"Premium and natural pet food is growing at 20%+ annually — pet owners are increasingly treating pets as family members and demanding human-grade ingredient standards in pet food.",</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"Pet health and wellness is a fast-growing segment — veterinary teleconsultation, pet insurance, and preventive care products are all growing rapidly as pet owners invest more in animal health.",</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"Pet technology is emerging as a significant market — GPS trackers, automated feeders, pet cameras, and pet health monitoring wearables are all achieving rapid adoption among premium pet owner segments."</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"challenges_market": [</w:t>
      </w:r>
    </w:p>
    <w:p w:rsidR="00FF600F"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"Regulatory approval for pet food and supplements varies by market — ingredient approvals, labelling requirements, and import regulations differ significantly across Southeast Asian and Gulf markets.",</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"Distribution infrastructure for premium pet products is limited in many markets — specialty pet stores and online pet platforms are less developed than in Western markets, requiring investment in distribution network development.",</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"Consumer education on premium pet care is at an early stage in many markets — pet owners in emerging markets are transitioning from commodity pet food to premium products and require significant brand education investment.",</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"Competition from local pet food manufacturers is intensifying — domestic pet food companies in Southeast Asia are upgrading quality and packaging to compete with international premium brands."</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"challenges_we_solve": [</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"Pet market demand validation|You need to validate consumer demand and willingness to pay for premium pet products in a new market, including pet ownership rates and spending patterns.",</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"Regulatory and import approval pathway|You need to understand pet food registration, ingredient approval, and import licensing requirements in your target market.",</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"GTM for a pet food or pet care brand|You have a pet product and need a go-to-market strategy covering pet specialty retail, e-commerce, and veterinary clinic channel development.",</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"Raising capital for a pet economy venture|You are raising investment and need a pitch book grounded in pet ownership growth data and premium pet spending trends.",</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"Veterinary and pet care service market entry|You have a veterinary service, pet insurance, or pet technology product and need a market entry strategy.",</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"Competitive intelligence|You need to understand how competing pet brands are positioned and distributed in your target market."</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"service_angles": [</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"Validate consumer demand for pet products and services in a new market. Covers pet owner surveys, retailer interviews, veterinarian research, and a Go/Defer/Kill recommendation.",</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"Full financial and operational feasibility for pet brand launches and pet care service investments. Covers demand modelling, distribution economics, regulatory cost, and investor-ready projections.",</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"End-to-end market entry for pet food brands and pet care companies. Regulatory pathway, distributor identification, retail and e-commerce channel development, and first-distribution milestone.",</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"Embedded GTM team for pet brands. Retailer and e-commerce outreach, veterinary clinic network, and first-revenue milestone tracking.",</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"Investor-ready pitch books for pet economy ventures. Consumer-demand-validated market sizing, premium pet spending narrative, and investor identification.",</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"AI use-case prioritisation in pet care — from personalised pet nutrition recommendation and health monitoring to demand forecasting and supply chain optimisation."</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"faq": [</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"Does GreyRadius work with pet food companies or also with veterinary services and pet technology?|All three. We work with pet food brands on market entry and distribution, veterinary service operators on feasibility and market entry, and pet technology companies on GTM and fundraising.",</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"What pet economy markets does GreyRadius cover?|Southeast Asia, South Asia, and the Gulf — markets where pet ownership is growing fastest and premium pet spending is emerging.",</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"How long does a pet economy market entry engagement take?|Typically 6–10 weeks for consumer demand research, regulatory mapping, and distribution strategy.",</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"Can GreyRadius identify pet specialty retailers and e-commerce platforms for pet brands?|Yes. Pet retail partner identification and initial commercial conversations are part of our market entry execution service."</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"keywords": "pet economy market entry, pet care GTM strategy, pet food consulting, pet economy advisory, pet brand market entry, pet care market strategy",</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"regions": "Southeast Asia, South Asia, Gulf"</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"slug": "luxury-goods",</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"tier": 3,</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"parent": "cpg-fmcg-retail",</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"title": "Luxury Goods Market Entry Strategy | GreyRadius Consulting",</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helps luxury brands, premium goods companies, and high-end retail businesses with market entry strategy, GTM execution, feasibility studies, and fundraising.",</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"h1": "Luxury goods market entry strategy",</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"tagline": "From flagship concept to first high-net-worth customer — strategy for luxury brands.",</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"hero": "The global luxury goods market is resilient and growing — driven by wealth creation in Asia, the Gulf, and Africa, the growing aspirational middle class, and the enduring desire for quality craftsmanship and brand heritage. Luxury fashion brands, premium watches, high-end jewellery, </w:t>
      </w:r>
      <w:r>
        <w:rPr>
          <w:rFonts w:ascii="Courier New" w:eastAsia="Courier New" w:hAnsi="Courier New" w:cs="Courier New"/>
          <w:color w:val="1B2A4A"/>
          <w:sz w:val="16"/>
          <w:szCs w:val="16"/>
        </w:rPr>
        <w:lastRenderedPageBreak/>
        <w:t>luxury automobiles, and luxury hospitality companies are all evaluating new market entry opportunities as wealth concentration creates significant high-net-worth consumer segments in emerging markets. GreyRadius helps luxury businesses validate ultra-high-net-worth and high-net-worth consumer demand, identify the right market entry approach, and raise capital.",</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"market_timing": "Gulf luxury spending is growing at 8% annually — Saudi Arabia's Vision 2030 programmes are creating new wealth and aspirational luxury consumers. Southeast Asia's UHNW and HNW population is growing at 10%+ annually as technology and financial sector wealth creation accelerates. The luxury brands establishing authentic presence in these markets in 2024–2027 will hold durable brand equity positions.",</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"Global luxury goods market is projected to reach $590B by 2025 — with Asia Pacific and the Gulf accounting for over 50% of global luxury spending growth driven by new wealth creation.",</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"Digital luxury is growing at 20%+ annually — luxury brands that have successfully implemented digital sales and digital brand communication are growing 3–4x faster than those relying purely on physical retail.",</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"Experiential luxury is outgrowing product luxury — HNW consumers are increasingly allocating luxury spending to travel, dining, and curated experiences rather than products, creating new luxury market entry opportunities.",</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"Sustainability and ethical production are becoming luxury purchase criteria — UHNW consumers in developed markets increasingly require evidence of ethical sourcing and environmental responsibility before luxury purchase."</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"challenges_market": [</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"Brand authenticity and heritage are critical luxury purchase drivers — new luxury brands without established heritage must invest significantly in storytelling and provenance to justify premium pricing.",</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"Counterfeit and grey market products damage brand equity in many markets — luxury brands must invest in distribution control and anti-counterfeiting measures before entering markets with weak IP enforcement.",</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"Retail real estate for luxury flagship stores is expensive and constrained — premium locations in malls and high streets have long waiting lists and high occupancy costs in luxury-relevant markets.",</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"Luxury sales are relationship-driven — personal client advisor relationships, private client programmes, and high-touch service models require significant human capital investment before revenue is established."</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"challenges_we_solve": [</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"Luxury market demand validation|You need to validate the size and purchasing behaviour of the ultra-high-net-worth and high-net-worth consumer segment in your target market.",</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"Market entry approach strategy|You need to determine the right market entry approach — flagship store, wholesale through multi-brand retailers, digital launch, or pop-up — given your brand positioning and investment capacity.",</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"Retail partner and distribution strategy|You need to identify luxury multi-brand retailers, department stores, and exclusive concept stores as distribution partners in new markets.",</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"Raising capital for a luxury venture|You are raising investment for a luxury brand or luxury retail business and need a pitch book grounded in luxury consumer demand data.",</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"Luxury digital and e-commerce strategy|You need a strategy for reaching luxury consumers in new markets through digital channels while maintaining brand positioning.",</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"Competitive intelligence|You need to understand how competing luxury brands are positioned, distributed, and communicating in your target market."</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"service_angles": [</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"Validate UHNW and HNW consumer demand for your luxury product in a new market. Covers luxury consumer research, wealth data analysis, competitive mapping, and a Go/Defer/Kill recommendation.",</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"Full financial and operational feasibility for luxury retail investments. Covers consumer demand modelling, flagship store economics, wholesale distribution margins, and investor-ready projections.",</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"End-to-end market entry for luxury brands. Retail partner identification, flagship location assessment, brand positioning strategy, and first-client acquisition.",</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"Embedded GTM team for luxury brands. High-net-worth client outreach, retail partner pipeline, and first-revenue milestone tracking.",</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"Investor-ready pitch books for luxury ventures. Wealth-data-validated market sizing, brand economics, and investor identification.",</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"AI use-case prioritisation in luxury — from personalised client experience and purchase prediction to supply chain authentication and anti-counterfeiting technology."</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"faq": [</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"Does GreyRadius work with established luxury brands entering new markets or also with emerging luxury brands?|Both. We work with established luxury brands on new geography market entry, and with emerging luxury brands on market entry strategy, distribution development, and fundraising.",</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"What luxury markets does GreyRadius cover?|Gulf, Southeast Asia, South Asia, and Africa — markets with the fastest-growing UHNW and HNW populations and luxury spending growth.",</w:t>
      </w:r>
    </w:p>
    <w:p w:rsidR="00FF600F"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"How long does a luxury market entry engagement take?|Typically 6–10 weeks for consumer demand research, retail partner mapping, and market entry strategy.",</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"Can GreyRadius identify luxury retail partners and flagship locations in new markets?|Yes. Luxury retail partner identification and initial commercial conversations are part of our market entry execution service."</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"keywords": "luxury goods market entry, luxury brand GTM strategy, premium brand consulting, luxury retail advisory, luxury market entry, premium goods strategy",</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"regions": "Gulf, Southeast Asia, South Asia, Africa"</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"slug": "sustainable-packaging",</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"tier": 3,</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"parent": "manufacturing-industrials",</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"title": "Sustainable Packaging Market Entry Strategy | GreyRadius",</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helps sustainable packaging companies, eco-packaging brands, and biodegradable material businesses with market entry strategy, GTM execution, and fundraising.",</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"h1": "Sustainable packaging market entry strategy",</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"tagline": "From biodegradable material to brand shelf — strategy for sustainable packaging businesses.",</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"hero": "Sustainable packaging is moving from a corporate responsibility initiative to a commercial imperative — driven by extended producer responsibility regulation, retailer sustainability commitments, and consumer preference for environmentally responsible packaging. Biodegradable packaging manufacturers, recycled material suppliers, reusable packaging platform operators, and packaging innovation companies are all evaluating new market entry opportunities as sustainability regulation expands globally. GreyRadius helps sustainable packaging businesses validate commercial demand, navigate regulatory requirements, execute GTM plans, and raise capital.",</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"market_timing": "EPR regulation for packaging is expanding rapidly — the EU Packaging and Packaging Waste Regulation, India's Plastic Waste Management Rules, and Southeast Asian single-use plastic bans are all creating compliance-driven demand for sustainable packaging alternatives. The regulation timeline is creating a defined market entry window — companies that establish supply relationships before compliance deadlines will have entrenched market positions.",</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"Global sustainable packaging market is projected to reach $440B by 2027 — growing at 9% annually as EPR regulation, retailer sustainability commitments, and consumer preference all accelerate adoption.",</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"Fibre-based packaging alternatives to plastic are growing fastest — paper, cardboard, and moulded fibre alternatives to plastic containers are achieving highest adoption rates as they meet most performance requirements.",</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"Reusable packaging systems are growing for B2B applications — returnable packaging for industrial, logistics, and food manufacturing applications are achieving strong ROI for corporate buyers.",</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"Bio-based and compostable packaging is growing but faces end-of-life infrastructure challenges — compostable packaging requires industrial composting facilities that are not yet widely available in most emerging markets."</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"challenges_market": [</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"Performance parity with conventional plastic packaging is not yet achieved for all applications — moisture barrier, sealing, and shelf-life performance gaps limit sustainable packaging adoption in food applications.",</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"Price premium over conventional packaging remains significant — sustainable packaging typically costs 20–100% more than conventional alternatives, limiting adoption to brands and consumers willing to pay the premium.",</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"End-of-life infrastructure for compostable and recycled materials is underdeveloped in many markets — even when sustainable packaging is sold, it may not be composted or recycled effectively.",</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"Greenwashing concerns create consumer skepticism — misleading sustainability claims by some packaging companies have created consumer distrust that credible sustainable packaging companies must overcome."</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"challenges_we_solve": [</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"Commercial demand validation|You need to validate which FMCG brands, retailers, and manufacturers are actively procuring sustainable packaging and what performance and price requirements they have.",</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"Regulatory compliance opportunity mapping|You need to understand EPR obligations, plastic ban timelines, and sustainable packaging incentives that create compliance-driven demand in your target market.",</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"GTM for a sustainable packaging company|You have a biodegradable, recycled, or reusable packaging product and need a go-to-market strategy covering brand and retailer acquisition.",</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"Raising capital for a sustainable packaging venture|You are raising investment and need a pitch book grounded in regulatory demand data and commercial buyer research.",</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"FMCG brand and retailer partnership strategy|You need to identify anchor customers among FMCG brands and retailers who have made public packaging sustainability commitments.",</w:t>
      </w:r>
    </w:p>
    <w:p w:rsidR="00FF600F"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"Competitive landscape|You need to understand how competing sustainable packaging companies are positioned and winning commercial contracts in your target market."</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"service_angles": [</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"Validate commercial demand for sustainable packaging in a new market. Covers FMCG and retailer buyer interviews, regulatory compliance mapping, competitive analysis, and a Go/Defer/Kill recommendation.",</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"Full financial and operational feasibility for sustainable packaging investments. Covers demand modelling, production cost structure, regulatory compliance timeline, and investor-ready projections.",</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"End-to-end market entry for sustainable packaging companies. Regulatory mapping, FMCG brand and retailer ICP, and first-commercial-contract acquisition.",</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"Embedded GTM team for sustainable packaging companies. Brand and retailer outreach, EPR compliance pipeline, and first-revenue milestone tracking.",</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"Investor-ready pitch books for sustainable packaging ventures. Regulatory-demand-validated market sizing, commercial economics, and investor identification.",</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"AI use-case prioritisation in sustainable packaging — from material performance optimisation and recyclability prediction to supply chain traceability and compliance monitoring."</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"faq": [</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"Does GreyRadius work with packaging manufacturers or also with recycled material suppliers and reusable packaging platforms?|All three. We work with manufacturers on market entry and feasibility, material suppliers on market entry and GTM, and reusable packaging platforms on GTM and fundraising.",</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"What sustainable packaging markets does GreyRadius cover?|Southeast Asia, South Asia, the Gulf, and Europe — markets with active EPR regulation and growing FMCG sustainability commitments.",</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"How long does a sustainable packaging market entry engagement take?|Typically 6–10 weeks for commercial demand research, regulatory mapping, and market entry strategy.",</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"Can GreyRadius identify FMCG brand customers with packaging sustainability commitments?|Yes. Brand and retailer identification based on sustainability commitment mapping is part of our market entry service."</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"keywords": "sustainable packaging market entry, eco packaging GTM strategy, biodegradable packaging consulting, green packaging advisory, sustainable packaging strategy, recycled packaging market entry",</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"regions": "Southeast Asia, South Asia, Gulf, Europe"</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"slug": "sports-wellness",</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"tier": 3,</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"parent": "hospitality-tourism",</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"title": "Sports &amp; Wellness Market Entry Strategy | GreyRadius Consulting",</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helps sports technology companies, wellness businesses, and fitness platform operators with market entry strategy, GTM execution, and fundraising.",</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"h1": "Sports and wellness market entry strategy",</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"tagline": "From fitness concept to first member — strategy for sports and wellness businesses.",</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"hero": "Sports technology and wellness is one of the most dynamic and personalised consumer sectors globally — with fitness apps, wearable health devices, corporate wellness programmes, sports nutrition, and premium gym and wellness facility concepts all creating significant market opportunities. GreyRadius helps sports and wellness businesses validate consumer and corporate demand, navigate regulatory requirements, execute GTM plans, and raise capital across Southeast Asia, South Asia, the Gulf, and emerging markets.",</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"market_timing": "Post-pandemic health consciousness has permanently elevated consumer investment in wellness across all markets. The Gulf's Vision programmes are explicitly investing in physical activity infrastructure and wellness sectors. Southeast Asia's young urban professional demographic represents a growing premium wellness consumer segment. The sports and wellness businesses establishing brand positions in these markets in 2024–2027 are entering at the inflection point.",</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"Global wellness market is projected to reach $7T by 2025 — with sports technology, mental wellness, and personalised health representing the fastest-growing sub-segments globally.",</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"Corporate wellness is growing at 12% annually — employers in Singapore, the Gulf, and India are investing in employee wellness programmes as a talent retention and productivity tool.",</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"Fitness technology adoption is accelerating in Southeast Asia — smartwatches, fitness trackers, and health monitoring apps are achieving mainstream adoption among urban professionals.",</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"Athleisure and sports fashion is growing at 10%+ in Southeast Asia and South Asia — sports brands are benefiting from casualisation of professional dress codes and the health lifestyle positioning of their products."</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"challenges_market": [</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"Consumer willingness to pay for premium wellness varies significantly — price-sensitive markets in South Asia and parts of Southeast Asia require different pricing strategies than premium Gulf and Singapore markets.",</w:t>
      </w:r>
    </w:p>
    <w:p w:rsidR="00FF600F"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"Fitness facility real estate is expensive in prime urban locations — gym and wellness centre economics require high utilisation rates to cover rent costs in competitive retail locations.",</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"Digital fitness adoption post-pandemic has moderated — the surge in digital fitness app subscriptions during lockdowns has partially reversed as gyms reopened, creating uncertainty in digital fitness business models.",</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"Wellness tourism regulations vary — medical wellness and health tourism facilities face regulatory requirements that differ between spa, medical clinic, and hospital classifications."</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"challenges_we_solve": [</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"Consumer wellness demand validation|You need to validate consumer interest, willingness to pay, and service preference for wellness products and services in a new market.",</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"Corporate wellness buyer strategy|You need to identify HR directors and employee benefits managers in corporations that are actively investing in workplace wellness programmes.",</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"GTM for a fitness technology or wellness platform|You have a fitness app, wearable health product, or wellness platform and need a go-to-market strategy.",</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"Raising capital for a wellness venture|You are raising investment for a sports or wellness business and need a pitch book grounded in consumer demand data.",</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"Sports nutrition and supplement market entry|You have a sports nutrition product and need market entry strategy covering retail and sports channel distribution.",</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"Competitive intelligence|You need to understand how competing wellness brands and fitness platforms are positioned in your target market."</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"service_angles": [</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"Validate consumer and corporate demand for sports and wellness products in a new market. Covers consumer surveys, corporate HR buyer interviews, competitive mapping, and a Go/Defer/Kill recommendation.",</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"Full financial and operational feasibility for wellness facility and technology investments. Covers demand modelling, facility economics, membership pricing, and investor-ready projections.",</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"End-to-end market entry for sports and wellness companies. Regulatory pathway, corporate buyer ICP, retail and gym channel development, and first-member or first-client acquisition.",</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"Embedded GTM team for wellness brands and fitness platforms. Corporate wellness outreach, consumer acquisition channels, and first-revenue milestone tracking.",</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"Investor-ready pitch books for sports and wellness ventures. Consumer-demand-validated market sizing, facility or platform economics, and investor identification.",</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"AI use-case prioritisation in sports and wellness — from personalised training recommendation and health outcome prediction to member retention analytics and automated wellness coaching."</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"faq": [</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"Does GreyRadius work with fitness technology companies or also with wellness facilities and sports nutrition brands?|All three. We work with fitness technology companies on market entry and GTM, wellness facility operators on feasibility and market entry, and sports nutrition brands on market entry and fundraising.",</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"What sports and wellness markets does GreyRadius cover?|Gulf, Southeast Asia, South Asia, and Africa — markets with growing health-conscious consumer segments and corporate wellness investment.",</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"How long does a sports and wellness market entry engagement take?|Typically 6–10 weeks for consumer demand research, regulatory mapping, and market entry strategy.",</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"Can GreyRadius identify corporate wellness buyers for fitness and wellness companies?|Yes. Corporate wellness buyer identification and initial commercial conversations are part of our GTM Execution-as-a-Service."</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"keywords": "sports wellness market entry, fitness platform GTM strategy, wellness consulting, sports tech advisory, wellness market entry, fitness brand strategy",</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"regions": "Gulf, Southeast Asia, South Asia, Africa"</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"slug": "gig-economy-platforms",</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"tier": 3,</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"parent": "hrtech",</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"title": "Gig Economy Platform Market Entry Strategy | GreyRadius",</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helps gig economy platforms, freelance marketplaces, and on-demand workforce companies with market entry strategy, GTM execution, and fundraising.",</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"h1": "Gig economy platform market entry strategy",</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"tagline": "From first freelancer to marketplace scale — strategy for gig economy businesses entering new markets.",</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"hero": "The gig economy is reshaping work globally — with freelance platforms, on-demand service marketplaces, contractor management systems, and gig worker infrastructure companies all creating significant market entry opportunities. Gig economy platforms are expanding across Southeast Asia, South Asia, and the Gulf as worker preferences for flexible employment and business demand for flexible talent converge. GreyRadius helps gig economy businesses validate supply and demand dynamics, navigate regulatory requirements, execute GTM plans, and raise capital.",</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"market_timing": "Southeast Asia and South Asia have the world's largest freelance workforces — India alone has over 15 million freelancers and is growing at 20%+ annually. The Gulf's labour market </w:t>
      </w:r>
      <w:r>
        <w:rPr>
          <w:rFonts w:ascii="Courier New" w:eastAsia="Courier New" w:hAnsi="Courier New" w:cs="Courier New"/>
          <w:color w:val="1B2A4A"/>
          <w:sz w:val="16"/>
          <w:szCs w:val="16"/>
        </w:rPr>
        <w:lastRenderedPageBreak/>
        <w:t>reform programmes are creating new flexibility in how businesses can engage contract and gig workers. The platforms that establish worker supply and buyer demand in these markets in 2024–2027 will hold structural network effects that are difficult to displace.",</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"Global gig economy market is projected to reach $455B by 2027 — with Southeast Asia and South Asia growing fastest driven by large young workforces, rising smartphone penetration, and business demand for flexible talent.",</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"B2B gig economy platforms are growing faster than B2C — platforms connecting businesses with verified skilled contractors for IT, marketing, design, and professional services are achieving higher revenue per transaction than consumer gig platforms.",</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"Gig worker protection regulation is intensifying globally — minimum earnings guarantees, social protection requirements, and gig worker classification rules are increasing compliance costs and changing business model economics.",</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"Sector-specific gig platforms are outperforming horizontal platforms — specialised platforms for healthcare professionals, tech contractors, construction workers, and logistics drivers are achieving better supply-demand matching and higher take rates."</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"challenges_market": [</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"Supply and demand bootstrapping is the classic marketplace challenge — a new gig platform needs both workers and buyers simultaneously, requiring significant upfront investment in both sides of the marketplace.",</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"Trust and quality verification is critical — buyers will not post jobs on a platform without confidence in worker quality, and workers will not join without confidence in payment reliability.",</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"Gig worker tax and compliance requirements are complex — withholding tax, GST/VAT on services, and gig worker income reporting requirements vary by market and create compliance complexity.",</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"Competition from global platforms like Upwork, Fiverr, and local incumbents is intense — new entrants must offer clear differentiation in either worker supply quality, buyer demand quality, or market specialisation."</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"challenges_we_solve": [</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"Supply and demand market validation|You need to validate that sufficient freelancer supply and business buyer demand exist in your target market to support marketplace economics.",</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"Regulatory and labour law pathway|You need to understand gig worker classification rules, platform liability, tax withholding requirements, and worker protection obligations in your target market.",</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"GTM for a gig economy platform|You have a freelance marketplace or on-demand workforce platform and need a go-to-market strategy covering both worker acquisition and buyer acquisition.",</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"Raising capital for a gig economy venture|You are raising investment and need a pitch book grounded in supply-demand dynamics, take rate modelling, and market sizing.",</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"Sector specialisation strategy|You are evaluating which gig economy sector to focus on and need a demand assessment across healthcare, technology, logistics, and professional services segments.",</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"Competitive intelligence|You need to understand how competing gig platforms are positioned and achieving supply-demand balance in your target market."</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"service_angles": [</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"Validate supply and demand dynamics for a gig economy platform in a new market. Covers worker supply surveys, business buyer interviews, competitive mapping, and a Go/Defer/Kill recommendation.",</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"Full financial and operational feasibility for gig platform launches. Covers supply-demand modelling, take rate analysis, customer acquisition cost, and investor-ready financial projections.",</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"End-to-end market entry for gig economy platforms. Regulatory pathway, worker and buyer ICP, supply-side acquisition strategy, and first-transaction milestone.",</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"Embedded GTM team for gig platforms. Worker acquisition execution, business buyer outreach, and first-GMV milestone tracking.",</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"Investor-ready pitch books for gig economy ventures. Supply-demand-validated market sizing, take rate modelling, and investor identification.",</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"AI use-case prioritisation in gig platforms — from worker-job matching algorithms and quality scoring to fraud detection and automated compliance management."</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"faq": [</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"Does GreyRadius work with general freelance platforms or also with sector-specific gig economy companies?|Both. We work with horizontal gig platforms on market entry and GTM, and with sector-specific gig platforms in healthcare, technology, and logistics on market entry and fundraising.",</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"What gig economy markets does GreyRadius cover?|Southeast Asia, South Asia, and the Gulf — markets with large freelance workforces and growing business demand for flexible talent.",</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"How long does a gig economy market entry engagement take?|Typically 6–10 weeks for supply-demand research, regulatory mapping, and market entry strategy.",</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"Can GreyRadius identify anchor buyer and worker communities for gig platforms?|Yes. Anchor buyer and worker community identification are part of our market entry execution service for gig economy companies."</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FF600F"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"keywords": "gig economy market entry, freelance platform GTM strategy, on demand workforce consulting, gig platform advisory, freelance marketplace strategy, gig economy platform consulting",</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"regions": "Southeast Asia, South Asia, Gulf"</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"slug": "remittance-cross-border",</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"tier": 3,</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"parent": "fintech-payments",</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"title": "Remittance &amp; Cross-Border Payments Market Entry | GreyRadius",</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helps remittance companies, cross-border payment platforms, and money transfer businesses with market entry strategy, GTM execution, regulatory mapping, and fundraising.",</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"h1": "Remittance and cross-border payments market entry strategy",</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"tagline": "From regulatory approval to first transfer — strategy for remittance businesses entering new markets.",</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"hero": "Remittance and cross-border payments is a $800B+ annual market — and digital disruption is creating significant market entry opportunities for new payment platforms that can deliver faster, cheaper, and more transparent international money transfers than traditional operators. Digital remittance companies, cross-border B2B payment platforms, and FX technology providers are all evaluating new market entry opportunities as migrant worker populations, e-commerce growth, and B2B trade finance create sustained demand for efficient cross-border payment infrastructure. GreyRadius helps remittance and cross-border payment businesses validate demand, navigate regulatory requirements, execute GTM plans, and raise capital.",</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"market_timing": "The Gulf's migrant worker population of 20M+ sends over $60B in annual remittances — creating one of the world's most concentrated remittance market opportunities. Southeast Asia and South Asia are both major remittance receiving markets with underserved rural populations. Digital remittance platforms that offer mobile-first, low-cost transfers are still capturing market share from traditional money transfer operators.",</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"Global remittance market exceeded $800B in 2023 and is growing at 5% annually — with digital remittances growing at 20%+ as smartphone adoption enables mobile-first money transfer applications.",</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"The Gulf-to-South Asia remittance corridor is the world's largest — with Indian, Pakistani, Bangladeshi, and Nepalese migrant workers sending over $120B annually, representing a massive digitisation opportunity.",</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"B2B cross-border payments is growing at 10%+ annually — SMEs conducting international trade are seeking cheaper, faster alternatives to bank wire transfers for supplier payments and international invoicing.",</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"Regulatory sandboxes for remittance innovation are expanding — central banks in Singapore, UAE, UK, and several Southeast Asian countries have established regulatory frameworks that enable new remittance models to operate and scale."</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"challenges_market": [</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"Money transfer operator licensing requirements are complex and capital-intensive — remittance companies require MTL licences in each market, with capital requirements and compliance obligations that vary significantly.",</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"AML and KYC compliance is expensive and operationally intensive — remittance companies must implement robust anti-money laundering programmes that satisfy regulatory requirements in both send and receive markets.",</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"Establishing banking partnerships for remittance settlement is challenging — banks are increasingly reluctant to provide correspondent banking services to new remittance operators due to regulatory risk.",</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"Last-mile cash distribution for remittance receivers in rural markets requires agent networks that are expensive and slow to build."</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"challenges_we_solve": [</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"Remittance market demand validation|You need to validate the size and characteristics of migrant worker and SME cross-border payment demand in your target corridor.",</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"Regulatory licensing pathway|You need to understand money transfer licence requirements, AML/KYC standards, and regulatory approval timelines across your target send and receive markets.",</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"Banking partnership strategy|You need to identify correspondent banking partners and payment infrastructure providers that can support cross-border settlement in your target corridor.",</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"GTM for a remittance or cross-border payment platform|You have a money transfer or cross-border payment product and need a go-to-market strategy covering sender and receiver acquisition.",</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"Raising capital for a remittance venture|You are raising investment and need a pitch book grounded in corridor transaction volume data and unit economics.",</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"Competitive intelligence|You need to understand how competing remittance operators are positioned, priced, and acquiring senders in your target corridor."</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"service_angles": [</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"Validate sender and receiver demand in a new remittance corridor. Covers migrant worker and SME surveys, corridor volume analysis, competitive mapping, and a Go/Defer/Kill recommendation.",</w:t>
      </w:r>
    </w:p>
    <w:p w:rsidR="00FF600F"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"Full financial and operational feasibility for remittance platform launches. Covers corridor transaction volume modelling, take rate analysis, compliance cost structure, and investor-ready projections.",</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"End-to-end market entry for remittance and cross-border payment companies. Regulatory licence pathway, banking partner identification, sender ICP, and first-transaction milestone.",</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"Embedded GTM team for remittance platforms. Sender community outreach, agent network development, and first-volume milestone tracking.",</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"Investor-ready pitch books for remittance ventures. Corridor-validated transaction volumes, unit economics, and investor identification.",</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"AI use-case prioritisation in remittance — from AML transaction monitoring and fraud detection to dynamic FX pricing and personalised transfer recommendations."</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"faq": [</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"Does GreyRadius work with consumer remittance companies or also with B2B cross-border payment platforms?|Both. We work with consumer remittance companies on market entry and GTM, and with B2B cross-border payment platforms on market entry and fundraising.",</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"What remittance markets does GreyRadius cover?|Gulf, Southeast Asia, and South Asia — the world's most active remittance send and receive markets.",</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"How long does a remittance market entry engagement take?|Typically 6–10 weeks for corridor demand research, regulatory mapping, and banking partnership strategy.",</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"Can GreyRadius identify banking partners for remittance companies?|We map the correspondent banking landscape and identify potential partners — formal banking relationship negotiations are conducted by the company."</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"keywords": "remittance market entry, cross border payments GTM strategy, money transfer consulting, remittance advisory, cross border payment strategy, remittance market strategy",</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"regions": "Gulf, Southeast Asia, South Asia, Africa"</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"slug": "medtech-wearables",</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"tier": 3,</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"parent": "medical-devices",</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"title": "MedTech Wearables &amp; Remote Monitoring Market Entry | GreyRadius",</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helps medical wearable companies, remote patient monitoring businesses, and health wearable providers with market entry strategy, GTM execution, and fundraising.",</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"h1": "MedTech wearables and remote monitoring market entry strategy",</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"tagline": "From clinical validation to first patient monitoring contract — strategy for health wearable companies.",</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"hero": "Medical wearables and remote patient monitoring are transforming healthcare delivery — enabling continuous health monitoring outside clinical settings and creating data streams that support earlier intervention and chronic disease management. Cardiac monitoring wearables, continuous glucose monitors, remote vital signs monitors, and hospital-at-home technology companies are all evaluating new market entry opportunities as healthcare systems seek to reduce hospital bed dependency and improve chronic disease management. GreyRadius helps MedTech wearable businesses validate clinical demand, navigate regulatory requirements, execute GTM plans, and raise capital.",</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"market_timing": "Chronic disease burden is growing rapidly across Southeast Asia, South Asia, and the Gulf — diabetes, cardiovascular disease, and respiratory conditions are all increasing in prevalence and driving demand for remote monitoring solutions that reduce hospital visits and improve disease management. National digital health strategies are creating funded procurement pathways for remote monitoring technology.",</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"Medical wearable market is projected to reach $95B by 2030 — growing at 22% annually as continuous glucose monitoring, cardiac monitoring, and hospital-at-home technology achieve mainstream clinical adoption.",</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"Continuous glucose monitoring is the fastest-growing medical wearable segment — the growing diabetes epidemic across Southeast Asia, South Asia, and the Gulf is creating significant demand for affordable CGM devices.",</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"Hospital-at-home programmes are being implemented by government health systems — patients recovering from surgery or managing chronic conditions can be monitored remotely, reducing hospital bed usage and patient cost.",</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"AI-powered clinical decision support integrated with wearable data is creating new value propositions — wearables that not only collect data but generate clinical alerts and recommendations are achieving faster hospital system adoption."</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"challenges_market": [</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"Medical device regulatory approval is required in most markets — wearables classified as medical devices require clinical performance studies, safety data, and national device registration before commercial launch.",</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"Clinician acceptance and prescription behaviour change is challenging — remote monitoring requires clinicians to change their practice model and take responsibility for data generated outside their direct supervision.",</w:t>
      </w:r>
    </w:p>
    <w:p w:rsidR="00FF600F"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"Insurance reimbursement for medical wearables is limited — most remote monitoring devices are not on government insurance formularies, limiting addressable market to out-of-pocket payers or enterprise corporate wellness buyers.",</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"Data integration with hospital EMR and health information systems is technically complex — creating clinical value requires integrating wearable data with existing patient records systems."</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"challenges_we_solve": [</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"Clinical demand and hospital system validation|You need to validate that clinicians and hospital systems in your target market are willing to integrate remote monitoring into clinical workflows.",</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"Regulatory SaMD pathway|You need to understand medical device classification, clinical evidence requirements, and registration processes for health wearables in your target market.",</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"Hospital and payer partnership identification|You need to identify hospital groups, insurance companies, and government health programmes as commercial partners and reimbursement channels.",</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"GTM for a medical wearable or remote monitoring product|You have a health wearable and need a go-to-market strategy covering hospital, physician, and corporate wellness channels.",</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"Raising capital for a MedTech wearables venture|You are raising investment and need a pitch book grounded in clinical validation data and market sizing.",</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"Competitive intelligence|You need to understand how competing medical wearable companies are positioned and winning hospital contracts in your target market."</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"service_angles": [</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"Validate clinical demand for medical wearables in a new market. Covers physician and hospital administrator interviews, regulatory pathway mapping, competitive analysis, and a Go/Defer/Kill recommendation.",</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"Full financial and operational feasibility for medical wearable launches. Covers clinical demand modelling, regulatory pathway cost, revenue model, and investor-ready projections.",</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"End-to-end market entry for MedTech wearable companies. Regulatory pathway, hospital partner identification, physician ICP, and first-hospital or first-clinical-programme acquisition.",</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"Embedded GTM team for medical wearable companies. Hospital outreach, physician champion development, and first-revenue milestone tracking.",</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"Investor-ready pitch books for MedTech wearable ventures. Clinical-demand-validated market sizing, regulatory timeline, and investor identification.",</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"AI use-case prioritisation in medical wearables — from clinical alert generation and anomaly detection to personalised health intervention recommendations and predictive deterioration modelling."</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"faq": [</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"Does GreyRadius work with prescription medical wearables or also with consumer health wearables that seek clinical partnerships?|Both. We work with regulated medical wearables on regulatory pathway and market entry, and with consumer health wearables seeking clinical partnerships on GTM and market entry.",</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"What medical wearable markets does GreyRadius cover?|Southeast Asia, South Asia, and the Gulf — markets with significant chronic disease burden and growing digital health infrastructure investment.",</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"How long does a medical wearables market entry engagement take?|Typically 8–12 weeks given the complexity of regulatory pathway mapping and clinical stakeholder research.",</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"Can GreyRadius identify hospital and insurance reimbursement partners for medical wearable companies?|Yes. Hospital and payer identification and initial commercial conversations are part of our market entry execution service."</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"keywords": "medical wearable market entry, remote monitoring GTM strategy, health wearable consulting, remote patient monitoring advisory, MedTech wearable strategy, connected health market entry",</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"regions": "Southeast Asia, South Asia, Gulf"</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"slug": "affordable-housing",</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"tier": 3,</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"parent": "residential-development",</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"title": "Affordable Housing Market Entry &amp; Consulting | GreyRadius",</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helps affordable housing developers, social housing companies, and workforce housing investors with market entry strategy, feasibility studies, and fundraising.",</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"h1": "Affordable housing consulting and market entry strategy",</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"tagline": "From site to first occupant — strategy for affordable housing businesses entering new markets.",</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"hero": "Affordable housing is both a significant social need and a commercial opportunity — with large housing deficits across Southeast Asia, South Asia, and the Gulf creating demand for construction, development, and financing solutions that serve middle and lower-middle income households. Affordable housing developers, modular construction companies, social housing programme operators, and housing microfinance providers are all evaluating new market entry opportunities as government housing programmes create funded demand. GreyRadius helps affordable housing businesses </w:t>
      </w:r>
      <w:r>
        <w:rPr>
          <w:rFonts w:ascii="Courier New" w:eastAsia="Courier New" w:hAnsi="Courier New" w:cs="Courier New"/>
          <w:color w:val="1B2A4A"/>
          <w:sz w:val="16"/>
          <w:szCs w:val="16"/>
        </w:rPr>
        <w:lastRenderedPageBreak/>
        <w:t>validate demand, assess site and financial feasibility, navigate government programme access, and raise capital.",</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"market_timing": "Government affordable housing programmes are at an all-time investment high across South Asia and Southeast Asia — India's PMAY programme has a $25B+ annual budget, Indonesia's One Million Houses programme continues at scale, and Gulf nationalisation programmes are creating housing demand from emerging middle-class citizen households. The developers and construction technology companies that establish government programme relationships in 2024–2027 will capture decade-long contract value.",</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"Global affordable housing deficit exceeds 1.6 billion people — with South Asia, Southeast Asia, and Sub-Saharan Africa representing the largest housing shortfalls, driven by urbanisation faster than housing supply.",</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"Modular and prefabricated construction is gaining adoption in affordable housing — factory-produced components reduce construction time by 30–50% and cost by 20–30% versus conventional construction, making affordable housing economics viable.",</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"Housing microfinance is creating new demand channels — mobile-first home loan platforms and microfinance institutions are extending housing finance to households previously excluded from formal mortgage markets.",</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"Government land allocation programmes are critical enablers — affordable housing developers that secure government land at subsidised cost achieve the financial economics needed to deliver truly affordable pricing."</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"challenges_market": [</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"Land cost is the primary affordable housing challenge — even with low construction cost, land prices in urban areas make affordable housing financially unviable without government land allocation or subsidised land programmes.",</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"Government procurement and programme participation requirements are complex — qualifying for government affordable housing programmes requires local incorporation, financial capacity requirements, and social impact metrics.",</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"Construction financing for affordable housing is constrained — commercial banks are reluctant to provide construction finance for affordable housing due to limited profit margins and buyer financing risk.",</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"Quality and maintenance requirements for affordable housing are demanding — residents expect durable construction, reliable utilities, and maintained common areas that increase operating complexity."</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"challenges_we_solve": [</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"Government housing programme access|You need to identify and qualify for government affordable housing programmes, land allocation schemes, and construction subsidies in your target market.",</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"Affordable housing feasibility study|You are evaluating an affordable housing investment and need a full feasibility study covering demand, land cost, construction economics, buyer financing, and financial projections.",</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"Modular construction market entry|You have a modular or prefabricated construction technology and need a market entry strategy covering affordable housing developer acquisition.",</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"Raising capital for an affordable housing venture|You are raising investment for an affordable housing developer or housing technology company and need a pitch book grounded in housing demand data.",</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"Housing microfinance market entry|You are evaluating the housing microfinance opportunity and need demand validation, regulatory mapping, and market entry strategy.",</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"Competitive landscape|You need to understand how competing affordable housing developers are positioned and winning government programme contracts in your target market."</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"service_angles": [</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"Validate housing demand and affordability in a new market. Covers household income surveys, government programme mapping, land cost analysis, and a Go/Defer/Kill recommendation.",</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"Full financial and operational feasibility for affordable housing investments. Covers demand modelling, land and construction economics, buyer financing assessment, and bankable financial projections.",</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"End-to-end market entry for affordable housing developers. Government programme qualification, land access strategy, construction partner identification, and first-project-approval milestone.",</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"GTM for housing technology and modular construction companies. Affordable housing developer outreach, government programme pipeline, and first-supply-contract milestone.",</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"Investor-ready pitch books for affordable housing ventures. Demand-validated market sizing, government programme narrative, financial model, and investor identification.",</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"AI use-case prioritisation in affordable housing — from construction progress monitoring and quality assessment to housing demand forecasting and buyer creditworthiness scoring."</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"faq": [</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"Does GreyRadius work with affordable housing developers or also with housing technology and modular construction companies?|Both. We work with developers on market entry and feasibility, and with housing technology and modular construction companies on GTM and market entry.",</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"What affordable housing markets does GreyRadius cover?|South Asia, Southeast Asia, the Gulf, and Africa — markets with significant housing deficits and active government housing programmes.",</w:t>
      </w:r>
    </w:p>
    <w:p w:rsidR="00FF600F"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"How long does an affordable housing market entry engagement take?|Typically 6–10 weeks for demand assessment, government programme mapping, and feasibility analysis.",</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"Can GreyRadius support government housing programme applications?|We map the programme requirements and prepare the market analysis components — formal applications are submitted by the company."</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"keywords": "affordable housing market entry, social housing GTM strategy, affordable housing consulting, workforce housing advisory, housing market entry, affordable housing strategy",</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"regions": "South Asia, Southeast Asia, Gulf, Africa"</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"slug": "reit-consulting",</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"tier": 3,</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"parent": "real-estate-infrastructure",</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"title": "REIT &amp; Real Estate Fund Consulting | Market Entry | GreyRadius",</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helps REIT managers, real estate fund operators, and property investment companies with market entry strategy, feasibility studies, regulatory pathway mapping, and fundraising.",</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"h1": "REIT and real estate fund consulting",</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"tagline": "From property portfolio to listed investment vehicle — strategy for REITs and real estate funds.",</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"hero": "Real estate investment trusts and private real estate funds are creating new capital market access for property investment across Asia, the Gulf, and Africa — enabling retail and institutional investors to access diversified real estate portfolios through listed and unlisted fund vehicles. REIT managers, real estate private equity firms, and property investment platform operators are all evaluating new market entry opportunities as REIT frameworks mature and investor demand for real estate investment products grows. GreyRadius helps real estate investment businesses validate market opportunity, navigate regulatory frameworks, structure investment products, and raise capital.",</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"market_timing": "REIT frameworks are being established or maturing across Southeast Asia, South Asia, and the Gulf — Malaysia has an established REIT market, Singapore has a globally significant REIT ecosystem, India's REIT and InvIT market is growing rapidly, and Saudi Arabia is developing its REIT framework under Vision 2030. The fund managers and structuring advisors that establish capabilities in these emerging REIT markets early will capture decade-long fee streams.",</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"Asia Pacific REIT market assets under management exceeded $400B in 2023 and is growing at 10% annually — with Singapore, Japan, and Australia as the most mature markets and India, Malaysia, and emerging Gulf markets growing fastest.",</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"Industrial and logistics REITs are outperforming retail and office REITs — e-commerce growth is creating significant demand for well-located logistics and distribution assets that generate stable REIT income.",</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"Retail REITs are being repositioned — traditional mall-based retail REITs are converting to mixed-use and experiential retail concepts to maintain occupancy and income stability.",</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"ESG requirements are becoming standard for institutional REIT investment — green building certification, energy efficiency reporting, and social impact measurement are increasingly required by institutional investors."</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"challenges_market": [</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"REIT regulatory frameworks vary significantly across markets — formation requirements, distribution obligations, leverage limits, and eligible asset classes differ and require market-specific legal and tax structuring.",</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"Investor distribution infrastructure is critical — REIT success requires retail and institutional investor distribution channels that vary by market including stock exchange listing, private placement, and digital investment platforms.",</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"Asset quality and management track record are required for investor confidence — new REIT managers without established track records face significant investor acquisition challenges.",</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"Liquidity provision for listed REITs in small markets is challenging — thin trading volumes in smaller REIT markets create price volatility that reduces institutional investor appetite."</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"challenges_we_solve": [</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"REIT market opportunity assessment|You need to assess the investor demand, regulatory framework, and eligible asset landscape for a REIT or real estate fund in your target market.",</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"Regulatory formation pathway|You need to understand REIT formation requirements, eligible asset classes, distribution obligations, and regulatory approval processes in your target market.",</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"Asset acquisition and portfolio strategy|You need to identify and evaluate investment-grade real estate assets that can form the basis of a REIT portfolio meeting yield and growth requirements.",</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"Raising capital for a REIT or real estate fund|You are raising capital and need a pitch book grounded in market demand data, asset quality analysis, and yield projections.",</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"Investor distribution strategy|You need to identify and engage institutional investors, family offices, and retail investor platforms as distribution channels.",</w:t>
      </w:r>
    </w:p>
    <w:p w:rsidR="00FF600F"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"Competitive landscape|You need to understand how competing REITs and real estate funds are positioned and raising capital in your target market."</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"service_angles": [</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"Validate investor demand and market opportunity for a REIT or real estate fund in a new market. Covers institutional investor interviews, regulatory framework analysis, asset landscape mapping, and a Go/Defer/Kill recommendation.",</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"Full financial and operational feasibility for REIT and real estate fund formation. Covers asset yield modelling, distribution obligation economics, formation cost, and investor-ready financial projections.",</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"End-to-end market entry for REIT managers. Regulatory formation pathway, asset identification strategy, investor distribution channel development, and first-asset-acquisition milestone.",</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"GTM for real estate fund platform and technology companies. Fund manager outreach, institutional investor pipeline, and first-AUM milestone.",</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"Investor-ready pitch books for REIT and real estate fund capital raises. Asset-yield-validated return projections, regulatory structure narrative, and investor identification.",</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"AI use-case prioritisation in real estate investment — from automated valuation and yield optimisation to portfolio performance monitoring and ESG compliance reporting."</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"faq": [</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"Does GreyRadius work with listed REIT managers or also with private real estate fund operators?|Both. We work with listed REITs on market entry and investor strategy, and with private real estate funds on market entry, capital raising, and investor distribution.",</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"What REIT markets does GreyRadius cover?|Southeast Asia, South Asia, and the Gulf — markets with active or emerging REIT frameworks and growing institutional real estate investment.",</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"How long does a REIT market entry engagement take?|Typically 8–12 weeks given the complexity of regulatory framework mapping and investor demand research.",</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"Can GreyRadius identify institutional investors for real estate funds?|Yes. Institutional investor identification and initial capital raising conversations are part of our fundraising service for real estate investment companies."</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"keywords": "REIT market entry, real estate fund consulting, REIT advisory, property fund market entry, real estate investment trust consulting, REIT strategy",</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"regions": "Southeast Asia, South Asia, Gulf"</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"slug": "functional-food",</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"tier": 3,</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"parent": "health-supplements",</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"title": "Functional Food &amp; Beverage Market Entry Strategy | GreyRadius",</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helps functional food brands, fortified beverage companies, and health food businesses with market entry strategy, GTM execution, and fundraising.",</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"h1": "Functional food and beverage market entry strategy",</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"tagline": "From fortified formula to mainstream shelf — strategy for functional food brands entering new markets.",</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"hero": "Functional food and beverages — products that deliver health benefits beyond basic nutrition — represent one of the fastest-growing segments in the global food and beverage industry. Functional drink brands, fortified food companies, protein-enriched snack businesses, and probiotic food companies are all evaluating new market entry opportunities as health-conscious consumers across Southeast Asia, South Asia, and the Gulf increase spending on food products with demonstrated health benefits. GreyRadius helps functional food businesses validate consumer demand, navigate regulatory classification, execute distribution strategies, and raise capital.",</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"market_timing": "Health awareness among urban consumers in Southeast Asia and South Asia is reaching an inflection point — driven by post-pandemic health consciousness, rising chronic disease awareness, and growing fitness culture. Functional food and beverages that position clearly around specific health benefits — immunity, gut health, energy, or weight management — are achieving rapid adoption among this emerging health-aware consumer segment.",</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"Global functional food and beverage market is projected to reach $450B by 2027 — growing at 8% annually as consumer interest in food as medicine accelerates across all income levels and geographies.",</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"Gut health and probiotics is the fastest-growing functional food segment — consumer awareness of the microbiome and its connection to immune health, mental wellbeing, and digestion is driving probiotic food and beverage adoption.",</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"Energy and sports nutrition functional beverages are growing at 15%+ in Southeast Asia — young urban consumers seeking performance enhancement through food are driving RTD protein, energy, and recovery beverage adoption.",</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"Clean label functional foods are capturing premium positioning — consumers are increasingly skeptical of heavily processed health claims and prefer functional foods with recognisable natural ingredients."</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"challenges_market": [</w:t>
      </w:r>
    </w:p>
    <w:p w:rsidR="00FF600F"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"Regulatory classification of functional foods varies significantly — health claim regulations differ dramatically across markets, with some requiring clinical evidence for specific health claims and others permitting general wellness claims.",</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"Consumer education on specific health benefits is required — functional food brands must invest in consumer education to explain the health mechanism of their products before purchase conversion.",</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"Distribution access for premium functional food is challenging in many markets — specialty health food retailers have limited reach, and mainstream supermarkets require significant shelf fee investment.",</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"Price premium justification is difficult in price-sensitive markets — consumers in South Asia and parts of Southeast Asia are reluctant to pay premium prices for health benefits they cannot directly observe."</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"challenges_we_solve": [</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"Consumer demand and health benefit validation|You need to validate that consumers in your target market want your functional food category and understand the health benefit you are communicating.",</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"Regulatory health claims pathway|You need to understand what health claims you can make on your functional food product in each target market and what evidence is required.",</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"GTM for a functional food brand|You have a functional food or beverage product and need a go-to-market strategy covering health food retail, mainstream supermarket, gym, and e-commerce channels.",</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"Raising capital for a functional food venture|You are raising investment and need a pitch book grounded in consumer demand data and functional food market sizing.",</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"Halal functional food market entry|You are evaluating the halal functional food opportunity and need Muslim consumer research, halal certification mapping, and distribution strategy.",</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"Competitive intelligence|You need to understand how competing functional food brands are positioned, priced, and distributed in your target market."</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"service_angles": [</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"Validate consumer demand for functional food in a new market. Covers consumer health behaviour surveys, retailer interviews, regulatory claims mapping, and a Go/Defer/Kill recommendation.",</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"Full financial and operational feasibility for functional food brand launches. Covers demand modelling, distribution cost structure, regulatory compliance cost, and investor-ready projections.",</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"End-to-end market entry for functional food brands. Regulatory pathway, health food retailer and supermarket distribution development, and first-distribution milestone.",</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"Embedded GTM team for functional food brands. Retailer outreach, health influencer partnership pipeline, and first-revenue milestone tracking.",</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"Investor-ready pitch books for functional food ventures. Consumer-demand-validated market sizing, distribution economics, and investor identification.",</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"AI use-case prioritisation in functional food — from personalised nutrition recommendation and health outcome prediction to demand forecasting and supply chain optimisation."</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"faq": [</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"Does GreyRadius work with functional beverage companies or also with functional food and fortified snack brands?|All segments. We work with functional drinks, fortified foods, probiotic products, and protein-enriched snack companies across market entry, GTM, and fundraising.",</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"What functional food markets does GreyRadius cover?|Southeast Asia, South Asia, the Gulf, and Africa — markets with growing health-conscious consumer segments.",</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"How long does a functional food market entry engagement take?|Typically 6–10 weeks for consumer research, regulatory claims mapping, and distribution strategy.",</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"Can GreyRadius support halal functional food certification and market entry?|Yes. Halal certification for functional food products and Muslim consumer health research are part of our methodology."</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"keywords": "functional food market entry, health food GTM strategy, fortified food consulting, functional beverage advisory, health food brand strategy, nutraceutical food market entry",</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"regions": "Southeast Asia, South Asia, Gulf, Africa"</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"slug": "silver-economy",</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"tier": 3,</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"parent": "healthcare-life-sciences",</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"title": "Silver Economy &amp; Eldercare Market Entry Strategy | GreyRadius",</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helps eldercare companies, senior living operators, and ageing population technology providers with market entry strategy, feasibility studies, and fundraising.",</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"h1": "Silver economy and eldercare market entry strategy",</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"tagline": "From care concept to first resident — strategy for eldercare and silver economy businesses.",</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"hero": "The silver economy — the full range of economic activity serving ageing populations — represents one of the most significant long-term market opportunities globally. Senior living operators, eldercare technology companies, home care service providers, and geriatric healthcare </w:t>
      </w:r>
      <w:r>
        <w:rPr>
          <w:rFonts w:ascii="Courier New" w:eastAsia="Courier New" w:hAnsi="Courier New" w:cs="Courier New"/>
          <w:color w:val="1B2A4A"/>
          <w:sz w:val="16"/>
          <w:szCs w:val="16"/>
        </w:rPr>
        <w:lastRenderedPageBreak/>
        <w:t>specialists are all evaluating new market entry opportunities as populations age across Southeast Asia, South Asia, and the Gulf. GreyRadius helps silver economy businesses validate demand, assess facility and service feasibility, navigate regulatory requirements, and raise capital.",</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"market_timing": "Asia Pacific's population is ageing rapidly — China, Japan, South Korea, Singapore, and Thailand all have or are approaching aged societies where over 20% of the population is over 65. India and Southeast Asia are 10–15 years behind this curve but moving fast. The eldercare infrastructure being built today will serve these populations for decades, and the companies establishing market positions now will hold structural advantages.",</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"Global silver economy market is projected to reach $27T by 2025 — with healthcare, housing, consumer goods, and financial services all representing significant market segments serving ageing populations.",</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"Senior living real estate is growing at 8% annually in Asia Pacific — purpose-built retirement communities, assisted living facilities, and memory care centres are all in significant undersupply relative to demand.",</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"Eldercare technology is growing at 25%+ annually — remote health monitoring, fall detection, cognitive assessment apps, and AI-powered care assistance tools are all achieving rapid adoption in markets with caregiver shortages.",</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"Ageing-in-place services are the preferred care model — the majority of older adults prefer to remain in their homes with support services rather than moving to institutional care facilities."</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"challenges_market": [</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"Cultural attitudes to eldercare vary significantly — in Confucian cultures across East and Southeast Asia, adult children are expected to provide direct care, limiting demand for outsourced professional eldercare services.",</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"Regulatory frameworks for senior living and eldercare are still developing in many markets — licensing requirements for care homes, home care agencies, and eldercare technology vary significantly.",</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"Workforce availability for eldercare is severely constrained — geriatric care requires trained, empathetic staff that is in short supply in most markets, creating staffing cost and quality challenges.",</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"Affordability is a significant challenge — private pay eldercare is affordable for only a small percentage of older adults in most Southeast Asian and South Asian markets, requiring either government subsidisation or premium market positioning."</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"challenges_we_solve": [</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"Eldercare market demand validation|You need to validate demand for specific eldercare services — senior living, home care, memory care — including family decision-making patterns and willingness to pay.",</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"Senior living feasibility study|You are evaluating a senior living development and need a full feasibility study covering demand, competitor landscape, construction economics, and financial projections.",</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"Eldercare technology market entry|You have a remote monitoring, fall detection, or eldercare AI product and need a market entry strategy covering hospital and home care buyer acquisition.",</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"Raising capital for an eldercare venture|You are raising investment for a senior living developer or eldercare technology company and need a pitch book grounded in demographic data and demand analysis.",</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"Government programme and subsidy access|You need to understand government eldercare subsidies, senior care public funding, and regulatory licensing requirements in your target market.",</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"Competitive landscape|You need to understand how competing senior living operators and eldercare service providers are positioned in your target market."</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"service_angles": [</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"Validate eldercare demand and market opportunity in a new market. Covers family and senior consumer surveys, government programme mapping, competitive analysis, and a Go/Defer/Kill recommendation.",</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"Full financial and operational feasibility for senior living and eldercare service investments. Covers demand modelling, facility economics, staffing cost, and bankable financial projections.",</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"End-to-end market entry for eldercare companies. Regulatory licensing pathway, government subsidy access, customer ICP, and first-resident or first-client acquisition.",</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"GTM for eldercare technology companies. Home care agency and hospital outreach, family buyer acquisition, and first-deployment milestone.",</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"Investor-ready pitch books for eldercare ventures. Demographic-demand-validated market sizing, financial model, and investor identification.",</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"AI use-case prioritisation in eldercare — from fall detection and cognitive decline monitoring to personalised care plan generation and automated care documentation."</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"faq": [</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"Does GreyRadius work with senior living developers or also with home care service operators and eldercare technology companies?|All three. We work with developers on feasibility and market entry, home care operators on GTM and market entry, and eldercare technology companies on market entry and fundraising.",</w:t>
      </w:r>
    </w:p>
    <w:p w:rsidR="00FF600F"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"What eldercare markets does GreyRadius cover?|Southeast Asia, South Asia, the Gulf, and Africa — markets with rapidly ageing populations and significant eldercare infrastructure gaps.",</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"How long does a senior living feasibility study take?|Typically 6–10 weeks for demand research, competitor analysis, and financial modelling.",</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"Can GreyRadius identify government eldercare programme partnerships?|Yes. Government eldercare programme mapping and partnership identification are part of our market entry service."</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"keywords": "silver economy market entry, eldercare GTM strategy, senior living consulting, ageing population advisory, eldercare market entry, senior care strategy",</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"regions": "Southeast Asia, South Asia, Gulf, Africa"</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"slug": "3d-printing-manufacturing",</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"tier": 3,</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"parent": "manufacturing-industrials",</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"title": "3D Printing &amp; Additive Manufacturing Market Entry | GreyRadius",</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helps 3D printing companies, additive manufacturing businesses, and advanced manufacturing technology providers with market entry strategy, GTM execution, and fundraising.",</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"h1": "3D printing and additive manufacturing market entry strategy",</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"tagline": "From prototype to production part — strategy for additive manufacturing businesses entering new markets.",</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"hero": "Additive manufacturing and 3D printing are transitioning from prototyping tools to production manufacturing technology — with aerospace components, medical devices, industrial spare parts, consumer products, and construction elements all being produced at commercial scale using additive methods. 3D printing technology companies, additive manufacturing service bureaus, AM materials suppliers, and additive software providers are all evaluating new market entry opportunities as industrial adoption accelerates. GreyRadius helps additive manufacturing businesses validate industrial and enterprise demand, execute GTM plans, and raise capital.",</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"market_timing": "Spare parts manufacturing disruption is creating immediate additive manufacturing demand — aerospace, defence, oil and gas, and industrial equipment operators are all seeking on-demand additive manufacturing of spare parts to reduce inventory cost and supply chain risk. The Gulf's industrial diversification programmes and India's manufacturing expansion are both creating specific demand for advanced manufacturing technology in 2024–2027.",</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"Global additive manufacturing market is projected to reach $115B by 2030 — growing at 25% annually as aerospace, healthcare, and industrial segments move from prototyping to production part manufacturing.",</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"Metal additive manufacturing is growing fastest — aerospace, automotive, and oil and gas applications requiring high-performance metal components are driving metal AM adoption at rates exceeding polymer AM.",</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"Dental and medical additive manufacturing is growing at 20%+ annually — custom dental prosthetics, surgical guides, and medical device components are among the highest-value additive manufacturing applications per part.",</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"On-demand spare parts manufacturing networks are emerging — distributed networks of additive manufacturing facilities that can produce certified spare parts on demand are disrupting traditional spare parts inventory management."</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"challenges_market": [</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"Part certification for aerospace, defence, and medical applications is complex and expensive — additive manufacturing parts in regulated industries require material qualification, process validation, and regulatory approval that takes years.",</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"Quality consistency at production scale is still challenging — additive manufacturing process control for high-volume production requires significant engineering investment and quality management systems.",</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"Skilled operator and materials engineering talent is scarce globally — running production-scale additive manufacturing requires specialised expertise that limits deployment speed.",</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"Cost competitiveness with conventional manufacturing is not universal — additive manufacturing is cost-competitive only for low-volume, complex geometry, or highly customised parts, limiting the addressable application space."</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"challenges_we_solve": [</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"Industrial buyer demand validation|You need to identify which industrial segments and enterprise buyers are actively investing in additive manufacturing for production applications in your target market.",</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"GTM for a 3D printing technology or service company|You have additive manufacturing equipment, materials, software, or services and need a go-to-market strategy covering industrial and medical buyer acquisition.",</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"Additive manufacturing market feasibility|You are evaluating an additive manufacturing service bureau or materials business and need a full feasibility study covering demand, cost economics, and financial projections.",</w:t>
      </w:r>
    </w:p>
    <w:p w:rsidR="00FF600F"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"Government programme and industrial policy access|You need to understand which government advanced manufacturing programmes, R&amp;D grants, and industrial incentives support additive manufacturing investment in your target market.",</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"Raising capital for an additive manufacturing venture|You are raising investment for a 3D printing company and need a pitch book grounded in industrial demand data and market sizing.",</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"Competitive landscape|You need to understand how competing additive manufacturing companies are positioned and winning industrial contracts in your target market."</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"service_angles": [</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"Validate industrial and enterprise demand for additive manufacturing in a new market. Covers manufacturing buyer interviews, government programme mapping, competitive analysis, and a Go/Defer/Kill recommendation.",</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"Full financial and operational feasibility for additive manufacturing investments. Covers demand modelling, equipment economics, material cost, and bankable financial projections.",</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"End-to-end market entry for additive manufacturing companies. Regulatory certification pathway for regulated industries, industrial buyer ICP, and first-production-contract acquisition.",</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"Embedded GTM team for AM technology and services companies. Industrial buyer outreach, systems integrator pipeline, and first-revenue milestone tracking.",</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"Investor-ready pitch books for additive manufacturing ventures. Industrial-demand-validated market sizing, technology narrative, and investor identification.",</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"AI use-case prioritisation in additive manufacturing — from generative design optimisation and process parameter tuning to quality monitoring and predictive maintenance."</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"faq": [</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"Does GreyRadius work with 3D printer manufacturers or also with AM service bureaus and materials companies?|All three. We work with printer manufacturers on market entry and GTM, service bureaus on market entry and feasibility, and materials companies on GTM and market entry.",</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"What additive manufacturing markets does GreyRadius cover?|Gulf, Southeast Asia, South Asia, and Europe — markets with active aerospace, medical, and industrial manufacturing sectors.",</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"How long does an additive manufacturing market entry engagement take?|Typically 6–10 weeks for industrial buyer research, regulatory mapping, and market entry strategy.",</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"Can GreyRadius identify aerospace and defence procurement contacts for additive manufacturing companies?|Yes. Industrial buyer identification and initial commercial conversations are part of our market entry execution service."</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"keywords": "3D printing market entry, additive manufacturing GTM strategy, AM consulting, additive manufacturing advisory, 3D printing market strategy, advanced manufacturing consulting",</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"regions": "Gulf, Southeast Asia, South Asia, Europe"</w:t>
      </w:r>
    </w:p>
    <w:p w:rsidR="00FF600F"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FF600F" w:rsidRDefault="00000000">
      <w:pPr>
        <w:shd w:val="clear" w:color="auto" w:fill="F0F0F0"/>
        <w:spacing w:before="14" w:after="14"/>
        <w:ind w:left="360"/>
      </w:pPr>
      <w:r>
        <w:rPr>
          <w:rFonts w:ascii="Courier New" w:eastAsia="Courier New" w:hAnsi="Courier New" w:cs="Courier New"/>
          <w:color w:val="1B2A4A"/>
          <w:sz w:val="16"/>
          <w:szCs w:val="16"/>
        </w:rPr>
        <w:t>]</w:t>
      </w:r>
    </w:p>
    <w:p w:rsidR="00FF600F" w:rsidRDefault="00FF600F">
      <w:pPr>
        <w:pBdr>
          <w:bottom w:val="single" w:sz="8" w:space="1" w:color="1B2A4A"/>
        </w:pBdr>
        <w:spacing w:before="200" w:after="200"/>
      </w:pPr>
    </w:p>
    <w:p w:rsidR="00FF600F" w:rsidRDefault="00000000">
      <w:pPr>
        <w:pStyle w:val="Heading1"/>
      </w:pPr>
      <w:r>
        <w:t>Next: Batch 4 (pages 81-100)</w:t>
      </w:r>
    </w:p>
    <w:p w:rsidR="00FF600F" w:rsidRDefault="00000000">
      <w:pPr>
        <w:spacing w:before="60" w:after="60"/>
      </w:pPr>
      <w:r>
        <w:rPr>
          <w:color w:val="222222"/>
        </w:rPr>
        <w:t>Batch 4 will cover the next 20 pages including:</w:t>
      </w:r>
    </w:p>
    <w:p w:rsidR="00FF600F" w:rsidRDefault="00000000">
      <w:pPr>
        <w:pStyle w:val="ListParagraph"/>
        <w:numPr>
          <w:ilvl w:val="0"/>
          <w:numId w:val="2"/>
        </w:numPr>
        <w:spacing w:before="40" w:after="40"/>
      </w:pPr>
      <w:r>
        <w:rPr>
          <w:color w:val="222222"/>
        </w:rPr>
        <w:t>Tier 3: Hydrogen Fuel Cell, Advanced Materials, Synthetic Biology, Neurotechnology, Longevity Biotech, Ed-Fintech, Regtech, Legaltech, Real Estate Tokenisation, Port and Maritime, EV Two and Three Wheeler, Franchise Market Entry, B2B Marketplace, Climate Fintech, Precision Fermentation, Online Gaming, Digital Health Insurance, Nano Satellite, Personalised Nutrition, Insurance Agriculture</w:t>
      </w:r>
    </w:p>
    <w:p w:rsidR="00FF600F" w:rsidRDefault="00000000">
      <w:pPr>
        <w:spacing w:before="400"/>
      </w:pPr>
      <w:r>
        <w:rPr>
          <w:i/>
          <w:iCs/>
          <w:color w:val="666666"/>
          <w:sz w:val="16"/>
          <w:szCs w:val="16"/>
        </w:rPr>
        <w:t>GreyRadius Consulting | SEO Build Pack Batch 3 | May 2026 | Confidential</w:t>
      </w:r>
    </w:p>
    <w:sectPr w:rsidR="00FF600F">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BC7691"/>
    <w:multiLevelType w:val="hybridMultilevel"/>
    <w:tmpl w:val="DEAC0FB2"/>
    <w:lvl w:ilvl="0" w:tplc="91C4A32C">
      <w:start w:val="1"/>
      <w:numFmt w:val="bullet"/>
      <w:lvlText w:val="•"/>
      <w:lvlJc w:val="left"/>
      <w:pPr>
        <w:ind w:left="720" w:hanging="360"/>
      </w:pPr>
    </w:lvl>
    <w:lvl w:ilvl="1" w:tplc="7B34E6D2">
      <w:numFmt w:val="decimal"/>
      <w:lvlText w:val=""/>
      <w:lvlJc w:val="left"/>
    </w:lvl>
    <w:lvl w:ilvl="2" w:tplc="B3C6370E">
      <w:numFmt w:val="decimal"/>
      <w:lvlText w:val=""/>
      <w:lvlJc w:val="left"/>
    </w:lvl>
    <w:lvl w:ilvl="3" w:tplc="A43620D0">
      <w:numFmt w:val="decimal"/>
      <w:lvlText w:val=""/>
      <w:lvlJc w:val="left"/>
    </w:lvl>
    <w:lvl w:ilvl="4" w:tplc="4896F5AE">
      <w:numFmt w:val="decimal"/>
      <w:lvlText w:val=""/>
      <w:lvlJc w:val="left"/>
    </w:lvl>
    <w:lvl w:ilvl="5" w:tplc="BD3AFB5A">
      <w:numFmt w:val="decimal"/>
      <w:lvlText w:val=""/>
      <w:lvlJc w:val="left"/>
    </w:lvl>
    <w:lvl w:ilvl="6" w:tplc="4E1637C2">
      <w:numFmt w:val="decimal"/>
      <w:lvlText w:val=""/>
      <w:lvlJc w:val="left"/>
    </w:lvl>
    <w:lvl w:ilvl="7" w:tplc="954271C2">
      <w:numFmt w:val="decimal"/>
      <w:lvlText w:val=""/>
      <w:lvlJc w:val="left"/>
    </w:lvl>
    <w:lvl w:ilvl="8" w:tplc="7A268A60">
      <w:numFmt w:val="decimal"/>
      <w:lvlText w:val=""/>
      <w:lvlJc w:val="left"/>
    </w:lvl>
  </w:abstractNum>
  <w:abstractNum w:abstractNumId="1" w15:restartNumberingAfterBreak="0">
    <w:nsid w:val="6AAC16A2"/>
    <w:multiLevelType w:val="hybridMultilevel"/>
    <w:tmpl w:val="F22E505E"/>
    <w:lvl w:ilvl="0" w:tplc="88001356">
      <w:start w:val="1"/>
      <w:numFmt w:val="bullet"/>
      <w:lvlText w:val="●"/>
      <w:lvlJc w:val="left"/>
      <w:pPr>
        <w:ind w:left="720" w:hanging="360"/>
      </w:pPr>
    </w:lvl>
    <w:lvl w:ilvl="1" w:tplc="4586A082">
      <w:start w:val="1"/>
      <w:numFmt w:val="bullet"/>
      <w:lvlText w:val="○"/>
      <w:lvlJc w:val="left"/>
      <w:pPr>
        <w:ind w:left="1440" w:hanging="360"/>
      </w:pPr>
    </w:lvl>
    <w:lvl w:ilvl="2" w:tplc="0186E6E6">
      <w:start w:val="1"/>
      <w:numFmt w:val="bullet"/>
      <w:lvlText w:val="■"/>
      <w:lvlJc w:val="left"/>
      <w:pPr>
        <w:ind w:left="2160" w:hanging="360"/>
      </w:pPr>
    </w:lvl>
    <w:lvl w:ilvl="3" w:tplc="B0DC809C">
      <w:start w:val="1"/>
      <w:numFmt w:val="bullet"/>
      <w:lvlText w:val="●"/>
      <w:lvlJc w:val="left"/>
      <w:pPr>
        <w:ind w:left="2880" w:hanging="360"/>
      </w:pPr>
    </w:lvl>
    <w:lvl w:ilvl="4" w:tplc="54C47040">
      <w:start w:val="1"/>
      <w:numFmt w:val="bullet"/>
      <w:lvlText w:val="○"/>
      <w:lvlJc w:val="left"/>
      <w:pPr>
        <w:ind w:left="3600" w:hanging="360"/>
      </w:pPr>
    </w:lvl>
    <w:lvl w:ilvl="5" w:tplc="B794615E">
      <w:start w:val="1"/>
      <w:numFmt w:val="bullet"/>
      <w:lvlText w:val="■"/>
      <w:lvlJc w:val="left"/>
      <w:pPr>
        <w:ind w:left="4320" w:hanging="360"/>
      </w:pPr>
    </w:lvl>
    <w:lvl w:ilvl="6" w:tplc="AC76D77C">
      <w:start w:val="1"/>
      <w:numFmt w:val="bullet"/>
      <w:lvlText w:val="●"/>
      <w:lvlJc w:val="left"/>
      <w:pPr>
        <w:ind w:left="5040" w:hanging="360"/>
      </w:pPr>
    </w:lvl>
    <w:lvl w:ilvl="7" w:tplc="46E06294">
      <w:start w:val="1"/>
      <w:numFmt w:val="bullet"/>
      <w:lvlText w:val="●"/>
      <w:lvlJc w:val="left"/>
      <w:pPr>
        <w:ind w:left="5760" w:hanging="360"/>
      </w:pPr>
    </w:lvl>
    <w:lvl w:ilvl="8" w:tplc="58064734">
      <w:start w:val="1"/>
      <w:numFmt w:val="bullet"/>
      <w:lvlText w:val="●"/>
      <w:lvlJc w:val="left"/>
      <w:pPr>
        <w:ind w:left="6480" w:hanging="360"/>
      </w:pPr>
    </w:lvl>
  </w:abstractNum>
  <w:num w:numId="1" w16cid:durableId="1923177739">
    <w:abstractNumId w:val="1"/>
    <w:lvlOverride w:ilvl="0">
      <w:startOverride w:val="1"/>
    </w:lvlOverride>
  </w:num>
  <w:num w:numId="2" w16cid:durableId="20252768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600F"/>
    <w:rsid w:val="00CF78C3"/>
    <w:rsid w:val="00FF600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docId w15:val="{F3D74D8F-C1CD-2142-BD43-E8993E4935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1B2A4A"/>
      <w:sz w:val="32"/>
      <w:szCs w:val="32"/>
    </w:rPr>
  </w:style>
  <w:style w:type="paragraph" w:styleId="Heading2">
    <w:name w:val="heading 2"/>
    <w:uiPriority w:val="9"/>
    <w:semiHidden/>
    <w:unhideWhenUsed/>
    <w:qFormat/>
    <w:pPr>
      <w:spacing w:before="280" w:after="120"/>
      <w:outlineLvl w:val="1"/>
    </w:pPr>
    <w:rPr>
      <w:b/>
      <w:bCs/>
      <w:color w:val="1B2A4A"/>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30</Pages>
  <Words>21293</Words>
  <Characters>121375</Characters>
  <Application>Microsoft Office Word</Application>
  <DocSecurity>0</DocSecurity>
  <Lines>1011</Lines>
  <Paragraphs>284</Paragraphs>
  <ScaleCrop>false</ScaleCrop>
  <Company/>
  <LinksUpToDate>false</LinksUpToDate>
  <CharactersWithSpaces>142384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CB</cp:lastModifiedBy>
  <cp:revision>2</cp:revision>
  <dcterms:created xsi:type="dcterms:W3CDTF">2026-06-02T05:38:00Z</dcterms:created>
  <dcterms:modified xsi:type="dcterms:W3CDTF">2026-06-02T05:38:00Z</dcterms:modified>
</cp:coreProperties>
</file>