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F5965" w:rsidRDefault="00000000">
      <w:pPr>
        <w:spacing w:before="1440" w:after="80"/>
      </w:pPr>
      <w:r>
        <w:rPr>
          <w:b/>
          <w:bCs/>
          <w:color w:val="1B2A4A"/>
          <w:sz w:val="52"/>
          <w:szCs w:val="52"/>
        </w:rPr>
        <w:t>GREYRADIUS CONSULTING</w:t>
      </w:r>
    </w:p>
    <w:p w:rsidR="004F5965" w:rsidRDefault="00000000">
      <w:pPr>
        <w:spacing w:after="80"/>
      </w:pPr>
      <w:r>
        <w:rPr>
          <w:color w:val="E8612C"/>
          <w:sz w:val="30"/>
          <w:szCs w:val="30"/>
        </w:rPr>
        <w:t>SEO Build Pack — Batches 9, 10 &amp; 11 Combined</w:t>
      </w:r>
    </w:p>
    <w:p w:rsidR="004F5965" w:rsidRDefault="00000000">
      <w:pPr>
        <w:spacing w:after="80"/>
      </w:pPr>
      <w:r>
        <w:rPr>
          <w:b/>
          <w:bCs/>
          <w:color w:val="2E7D32"/>
          <w:sz w:val="22"/>
          <w:szCs w:val="22"/>
        </w:rPr>
        <w:t>VERIFIED: 20 pages in JSON | 20 pages in document | Match confirmed</w:t>
      </w:r>
    </w:p>
    <w:p w:rsidR="004F5965" w:rsidRDefault="00000000">
      <w:pPr>
        <w:spacing w:after="600"/>
      </w:pPr>
      <w:r>
        <w:rPr>
          <w:i/>
          <w:iCs/>
          <w:color w:val="666666"/>
        </w:rPr>
        <w:t>Save JSON as: data/industry-pages-batch91011.json | May 2026 | Confidential</w:t>
      </w:r>
    </w:p>
    <w:p w:rsidR="004F5965" w:rsidRDefault="004F5965">
      <w:pPr>
        <w:pBdr>
          <w:bottom w:val="single" w:sz="8" w:space="1" w:color="1B2A4A"/>
        </w:pBdr>
        <w:spacing w:before="200" w:after="200"/>
      </w:pPr>
    </w:p>
    <w:p w:rsidR="004F5965" w:rsidRDefault="00000000">
      <w:pPr>
        <w:pStyle w:val="Heading1"/>
      </w:pPr>
      <w:r>
        <w:t>How to use this document</w:t>
      </w:r>
    </w:p>
    <w:p w:rsidR="004F5965" w:rsidRDefault="00000000">
      <w:pPr>
        <w:spacing w:before="60" w:after="60"/>
      </w:pPr>
      <w:r>
        <w:rPr>
          <w:color w:val="222222"/>
        </w:rPr>
        <w:t>Three sections in order:</w:t>
      </w:r>
    </w:p>
    <w:p w:rsidR="004F5965" w:rsidRDefault="00000000">
      <w:pPr>
        <w:pStyle w:val="ListParagraph"/>
        <w:numPr>
          <w:ilvl w:val="0"/>
          <w:numId w:val="2"/>
        </w:numPr>
        <w:spacing w:before="40" w:after="40"/>
      </w:pPr>
      <w:r>
        <w:rPr>
          <w:color w:val="222222"/>
        </w:rPr>
        <w:t>Section 1: Verified page index — all 20 pages listed with output paths</w:t>
      </w:r>
    </w:p>
    <w:p w:rsidR="004F5965" w:rsidRDefault="00000000">
      <w:pPr>
        <w:pStyle w:val="ListParagraph"/>
        <w:numPr>
          <w:ilvl w:val="0"/>
          <w:numId w:val="2"/>
        </w:numPr>
        <w:spacing w:before="40" w:after="40"/>
      </w:pPr>
      <w:r>
        <w:rPr>
          <w:color w:val="222222"/>
        </w:rPr>
        <w:t>Section 2: Replit prompt — self-contained, copy and paste directly into Replit AI</w:t>
      </w:r>
    </w:p>
    <w:p w:rsidR="004F5965" w:rsidRDefault="00000000">
      <w:pPr>
        <w:pStyle w:val="ListParagraph"/>
        <w:numPr>
          <w:ilvl w:val="0"/>
          <w:numId w:val="2"/>
        </w:numPr>
        <w:spacing w:before="40" w:after="40"/>
      </w:pPr>
      <w:r>
        <w:rPr>
          <w:color w:val="222222"/>
        </w:rPr>
        <w:t>Section 3: JSON appendix — save as data/industry-pages-batch91011.json in Replit</w:t>
      </w:r>
    </w:p>
    <w:p w:rsidR="004F5965" w:rsidRDefault="00000000">
      <w:pPr>
        <w:spacing w:before="60" w:after="60"/>
      </w:pPr>
      <w:r>
        <w:rPr>
          <w:color w:val="222222"/>
        </w:rPr>
        <w:t>Sequence: (1) Save JSON in Replit data folder. (2) Paste Replit prompt. (3) Confirm 20 pages created.</w:t>
      </w:r>
    </w:p>
    <w:p w:rsidR="004F5965" w:rsidRDefault="004F5965">
      <w:pPr>
        <w:pBdr>
          <w:bottom w:val="single" w:sz="8" w:space="1" w:color="1B2A4A"/>
        </w:pBdr>
        <w:spacing w:before="200" w:after="200"/>
      </w:pPr>
    </w:p>
    <w:p w:rsidR="004F5965" w:rsidRDefault="00000000">
      <w:pPr>
        <w:pStyle w:val="Heading1"/>
      </w:pPr>
      <w:r>
        <w:t>Section 1: Verified page index — all 20 pages</w:t>
      </w:r>
    </w:p>
    <w:p w:rsidR="004F5965" w:rsidRDefault="00000000">
      <w:pPr>
        <w:spacing w:before="60" w:after="60"/>
      </w:pPr>
      <w:r>
        <w:rPr>
          <w:i/>
          <w:iCs/>
          <w:color w:val="666666"/>
          <w:sz w:val="18"/>
          <w:szCs w:val="18"/>
        </w:rPr>
        <w:t>Verified: 20 unique slugs. No duplicates. JSON count matches document count.</w:t>
      </w:r>
    </w:p>
    <w:p w:rsidR="004F5965" w:rsidRDefault="00000000">
      <w:pPr>
        <w:pStyle w:val="Heading2"/>
      </w:pPr>
      <w:r>
        <w:t>Batch 9 — India and Gulf sector-specific entry guides</w:t>
      </w:r>
    </w:p>
    <w:p w:rsidR="004F5965" w:rsidRDefault="00000000">
      <w:pPr>
        <w:pStyle w:val="ListParagraph"/>
        <w:numPr>
          <w:ilvl w:val="0"/>
          <w:numId w:val="2"/>
        </w:numPr>
        <w:spacing w:before="40" w:after="40"/>
      </w:pPr>
      <w:r>
        <w:rPr>
          <w:color w:val="222222"/>
        </w:rPr>
        <w:t>1. India Fintech Market Entry → industries/fintech-payments/india-fintech-market-entry.html</w:t>
      </w:r>
    </w:p>
    <w:p w:rsidR="004F5965" w:rsidRDefault="00000000">
      <w:pPr>
        <w:pStyle w:val="ListParagraph"/>
        <w:numPr>
          <w:ilvl w:val="0"/>
          <w:numId w:val="2"/>
        </w:numPr>
        <w:spacing w:before="40" w:after="40"/>
      </w:pPr>
      <w:r>
        <w:rPr>
          <w:color w:val="222222"/>
        </w:rPr>
        <w:t>2. India Healthtech Market Entry → industries/healthtech/india-healthtech-market-entry.html</w:t>
      </w:r>
    </w:p>
    <w:p w:rsidR="004F5965" w:rsidRDefault="00000000">
      <w:pPr>
        <w:pStyle w:val="ListParagraph"/>
        <w:numPr>
          <w:ilvl w:val="0"/>
          <w:numId w:val="2"/>
        </w:numPr>
        <w:spacing w:before="40" w:after="40"/>
      </w:pPr>
      <w:r>
        <w:rPr>
          <w:color w:val="222222"/>
        </w:rPr>
        <w:t>3. Gulf FMCG Market Entry → industries/cpg-fmcg-retail/gulf-fmcg-market-entry.html</w:t>
      </w:r>
    </w:p>
    <w:p w:rsidR="004F5965" w:rsidRDefault="00000000">
      <w:pPr>
        <w:pStyle w:val="ListParagraph"/>
        <w:numPr>
          <w:ilvl w:val="0"/>
          <w:numId w:val="2"/>
        </w:numPr>
        <w:spacing w:before="40" w:after="40"/>
      </w:pPr>
      <w:r>
        <w:rPr>
          <w:color w:val="222222"/>
        </w:rPr>
        <w:t>4. Southeast Asia FMCG Market Entry → industries/cpg-fmcg-retail/southeast-asia-fmcg-entry.html</w:t>
      </w:r>
    </w:p>
    <w:p w:rsidR="004F5965" w:rsidRDefault="00000000">
      <w:pPr>
        <w:pStyle w:val="ListParagraph"/>
        <w:numPr>
          <w:ilvl w:val="0"/>
          <w:numId w:val="2"/>
        </w:numPr>
        <w:spacing w:before="40" w:after="40"/>
      </w:pPr>
      <w:r>
        <w:rPr>
          <w:color w:val="222222"/>
        </w:rPr>
        <w:t>5. Gulf Technology Market Entry → industries/technology/gulf-technology-market-entry.html</w:t>
      </w:r>
    </w:p>
    <w:p w:rsidR="004F5965" w:rsidRDefault="00000000">
      <w:pPr>
        <w:pStyle w:val="ListParagraph"/>
        <w:numPr>
          <w:ilvl w:val="0"/>
          <w:numId w:val="2"/>
        </w:numPr>
        <w:spacing w:before="40" w:after="40"/>
      </w:pPr>
      <w:r>
        <w:rPr>
          <w:color w:val="222222"/>
        </w:rPr>
        <w:t>6. Africa Fintech Market Entry → industries/fintech-payments/africa-fintech-market-entry.html</w:t>
      </w:r>
    </w:p>
    <w:p w:rsidR="004F5965" w:rsidRDefault="00000000">
      <w:pPr>
        <w:pStyle w:val="ListParagraph"/>
        <w:numPr>
          <w:ilvl w:val="0"/>
          <w:numId w:val="2"/>
        </w:numPr>
        <w:spacing w:before="40" w:after="40"/>
      </w:pPr>
      <w:r>
        <w:rPr>
          <w:color w:val="222222"/>
        </w:rPr>
        <w:t>7. Southeast Asia Healthtech Entry → industries/healthtech/southeast-asia-healthtech-entry.html</w:t>
      </w:r>
    </w:p>
    <w:p w:rsidR="004F5965" w:rsidRDefault="00000000">
      <w:pPr>
        <w:pStyle w:val="Heading2"/>
      </w:pPr>
      <w:r>
        <w:t>Batch 10 — India and Africa sector guides</w:t>
      </w:r>
    </w:p>
    <w:p w:rsidR="004F5965" w:rsidRDefault="00000000">
      <w:pPr>
        <w:pStyle w:val="ListParagraph"/>
        <w:numPr>
          <w:ilvl w:val="0"/>
          <w:numId w:val="2"/>
        </w:numPr>
        <w:spacing w:before="40" w:after="40"/>
      </w:pPr>
      <w:r>
        <w:rPr>
          <w:color w:val="222222"/>
        </w:rPr>
        <w:t>8. India EdTech Market Entry → industries/education-edtech/india-edtech-market-entry.html</w:t>
      </w:r>
    </w:p>
    <w:p w:rsidR="004F5965" w:rsidRDefault="00000000">
      <w:pPr>
        <w:pStyle w:val="ListParagraph"/>
        <w:numPr>
          <w:ilvl w:val="0"/>
          <w:numId w:val="2"/>
        </w:numPr>
        <w:spacing w:before="40" w:after="40"/>
      </w:pPr>
      <w:r>
        <w:rPr>
          <w:color w:val="222222"/>
        </w:rPr>
        <w:t>9. Africa Agritech Market Entry → industries/agritech/africa-agritech-market-entry.html</w:t>
      </w:r>
    </w:p>
    <w:p w:rsidR="004F5965" w:rsidRDefault="00000000">
      <w:pPr>
        <w:pStyle w:val="ListParagraph"/>
        <w:numPr>
          <w:ilvl w:val="0"/>
          <w:numId w:val="2"/>
        </w:numPr>
        <w:spacing w:before="40" w:after="40"/>
      </w:pPr>
      <w:r>
        <w:rPr>
          <w:color w:val="222222"/>
        </w:rPr>
        <w:t>10. India Manufacturing Market Entry → industries/manufacturing-industrials/india-manufacturing-market-entry.html</w:t>
      </w:r>
    </w:p>
    <w:p w:rsidR="004F5965" w:rsidRDefault="00000000">
      <w:pPr>
        <w:pStyle w:val="ListParagraph"/>
        <w:numPr>
          <w:ilvl w:val="0"/>
          <w:numId w:val="2"/>
        </w:numPr>
        <w:spacing w:before="40" w:after="40"/>
      </w:pPr>
      <w:r>
        <w:rPr>
          <w:color w:val="222222"/>
        </w:rPr>
        <w:t>11. Gulf Healthcare Market Entry → industries/healthcare-life-sciences/gulf-healthcare-market-entry.html</w:t>
      </w:r>
    </w:p>
    <w:p w:rsidR="004F5965" w:rsidRDefault="00000000">
      <w:pPr>
        <w:pStyle w:val="ListParagraph"/>
        <w:numPr>
          <w:ilvl w:val="0"/>
          <w:numId w:val="2"/>
        </w:numPr>
        <w:spacing w:before="40" w:after="40"/>
      </w:pPr>
      <w:r>
        <w:rPr>
          <w:color w:val="222222"/>
        </w:rPr>
        <w:t>12. Africa Healthcare Market Entry → industries/healthcare-life-sciences/africa-healthcare-market-entry.html</w:t>
      </w:r>
    </w:p>
    <w:p w:rsidR="004F5965" w:rsidRDefault="00000000">
      <w:pPr>
        <w:pStyle w:val="Heading2"/>
      </w:pPr>
      <w:r>
        <w:t>Batch 11 — Country market entry guides</w:t>
      </w:r>
    </w:p>
    <w:p w:rsidR="004F5965" w:rsidRDefault="00000000">
      <w:pPr>
        <w:pStyle w:val="ListParagraph"/>
        <w:numPr>
          <w:ilvl w:val="0"/>
          <w:numId w:val="2"/>
        </w:numPr>
        <w:spacing w:before="40" w:after="40"/>
      </w:pPr>
      <w:r>
        <w:rPr>
          <w:color w:val="222222"/>
        </w:rPr>
        <w:lastRenderedPageBreak/>
        <w:t>13. Vietnam Market Entry → industries/manufacturing-industrials/vietnam-market-entry.html</w:t>
      </w:r>
    </w:p>
    <w:p w:rsidR="004F5965" w:rsidRDefault="00000000">
      <w:pPr>
        <w:pStyle w:val="ListParagraph"/>
        <w:numPr>
          <w:ilvl w:val="0"/>
          <w:numId w:val="2"/>
        </w:numPr>
        <w:spacing w:before="40" w:after="40"/>
      </w:pPr>
      <w:r>
        <w:rPr>
          <w:color w:val="222222"/>
        </w:rPr>
        <w:t>14. Indonesia Market Entry → industries/cpg-fmcg-retail/indonesia-market-entry.html</w:t>
      </w:r>
    </w:p>
    <w:p w:rsidR="004F5965" w:rsidRDefault="00000000">
      <w:pPr>
        <w:pStyle w:val="ListParagraph"/>
        <w:numPr>
          <w:ilvl w:val="0"/>
          <w:numId w:val="2"/>
        </w:numPr>
        <w:spacing w:before="40" w:after="40"/>
      </w:pPr>
      <w:r>
        <w:rPr>
          <w:color w:val="222222"/>
        </w:rPr>
        <w:t>15. Nigeria Market Entry → industries/cpg-fmcg-retail/nigeria-market-entry.html</w:t>
      </w:r>
    </w:p>
    <w:p w:rsidR="004F5965" w:rsidRDefault="00000000">
      <w:pPr>
        <w:pStyle w:val="ListParagraph"/>
        <w:numPr>
          <w:ilvl w:val="0"/>
          <w:numId w:val="2"/>
        </w:numPr>
        <w:spacing w:before="40" w:after="40"/>
      </w:pPr>
      <w:r>
        <w:rPr>
          <w:color w:val="222222"/>
        </w:rPr>
        <w:t>16. Kenya Market Entry → industries/fintech-payments/kenya-market-entry.html</w:t>
      </w:r>
    </w:p>
    <w:p w:rsidR="004F5965" w:rsidRDefault="00000000">
      <w:pPr>
        <w:pStyle w:val="ListParagraph"/>
        <w:numPr>
          <w:ilvl w:val="0"/>
          <w:numId w:val="2"/>
        </w:numPr>
        <w:spacing w:before="40" w:after="40"/>
      </w:pPr>
      <w:r>
        <w:rPr>
          <w:color w:val="222222"/>
        </w:rPr>
        <w:t>17. Saudi Arabia Market Entry → industries/hospitality-tourism/saudi-arabia-market-entry.html</w:t>
      </w:r>
    </w:p>
    <w:p w:rsidR="004F5965" w:rsidRDefault="00000000">
      <w:pPr>
        <w:pStyle w:val="ListParagraph"/>
        <w:numPr>
          <w:ilvl w:val="0"/>
          <w:numId w:val="2"/>
        </w:numPr>
        <w:spacing w:before="40" w:after="40"/>
      </w:pPr>
      <w:r>
        <w:rPr>
          <w:color w:val="222222"/>
        </w:rPr>
        <w:t>18. UAE Market Entry → industries/hospitality-tourism/uae-market-entry.html</w:t>
      </w:r>
    </w:p>
    <w:p w:rsidR="004F5965" w:rsidRDefault="00000000">
      <w:pPr>
        <w:pStyle w:val="ListParagraph"/>
        <w:numPr>
          <w:ilvl w:val="0"/>
          <w:numId w:val="2"/>
        </w:numPr>
        <w:spacing w:before="40" w:after="40"/>
      </w:pPr>
      <w:r>
        <w:rPr>
          <w:color w:val="222222"/>
        </w:rPr>
        <w:t>19. Singapore Market Entry → industries/technology/singapore-market-entry.html</w:t>
      </w:r>
    </w:p>
    <w:p w:rsidR="004F5965" w:rsidRDefault="00000000">
      <w:pPr>
        <w:pStyle w:val="ListParagraph"/>
        <w:numPr>
          <w:ilvl w:val="0"/>
          <w:numId w:val="2"/>
        </w:numPr>
        <w:spacing w:before="40" w:after="40"/>
      </w:pPr>
      <w:r>
        <w:rPr>
          <w:color w:val="222222"/>
        </w:rPr>
        <w:t>20. Thailand Market Entry → industries/hospitality-tourism/thailand-market-entry.html</w:t>
      </w:r>
    </w:p>
    <w:p w:rsidR="004F5965" w:rsidRDefault="004F5965">
      <w:pPr>
        <w:pBdr>
          <w:bottom w:val="single" w:sz="8" w:space="1" w:color="1B2A4A"/>
        </w:pBdr>
        <w:spacing w:before="200" w:after="200"/>
      </w:pPr>
    </w:p>
    <w:p w:rsidR="004F5965" w:rsidRDefault="00000000">
      <w:pPr>
        <w:pStyle w:val="Heading1"/>
      </w:pPr>
      <w:r>
        <w:t>Section 2: Replit prompt</w:t>
      </w:r>
    </w:p>
    <w:p w:rsidR="004F5965" w:rsidRDefault="00000000">
      <w:pPr>
        <w:spacing w:before="60" w:after="60"/>
      </w:pPr>
      <w:r>
        <w:rPr>
          <w:i/>
          <w:iCs/>
          <w:color w:val="666666"/>
          <w:sz w:val="18"/>
          <w:szCs w:val="18"/>
        </w:rPr>
        <w:t>Copy everything between the === lines and paste into Replit AI. Do not modify.</w:t>
      </w:r>
    </w:p>
    <w:p w:rsidR="004F5965" w:rsidRDefault="004F5965">
      <w:pPr>
        <w:spacing w:before="80" w:after="80"/>
      </w:pPr>
    </w:p>
    <w:p w:rsidR="004F5965" w:rsidRDefault="00000000">
      <w:pPr>
        <w:shd w:val="clear" w:color="auto" w:fill="F0F0F0"/>
        <w:spacing w:before="14" w:after="14"/>
        <w:ind w:left="360"/>
      </w:pPr>
      <w:r>
        <w:rPr>
          <w:rFonts w:ascii="Courier New" w:eastAsia="Courier New" w:hAnsi="Courier New" w:cs="Courier New"/>
          <w:color w:val="1B2A4A"/>
          <w:sz w:val="16"/>
          <w:szCs w:val="16"/>
        </w:rPr>
        <w:t>===================================================</w:t>
      </w:r>
    </w:p>
    <w:p w:rsidR="004F5965" w:rsidRDefault="00000000">
      <w:pPr>
        <w:shd w:val="clear" w:color="auto" w:fill="F0F0F0"/>
        <w:spacing w:before="14" w:after="14"/>
        <w:ind w:left="360"/>
      </w:pPr>
      <w:r>
        <w:rPr>
          <w:rFonts w:ascii="Courier New" w:eastAsia="Courier New" w:hAnsi="Courier New" w:cs="Courier New"/>
          <w:color w:val="1B2A4A"/>
          <w:sz w:val="16"/>
          <w:szCs w:val="16"/>
        </w:rPr>
        <w:t>GREYRADIUS INDUSTRY PAGES — BATCHES 9/10/11 BUILD</w:t>
      </w:r>
    </w:p>
    <w:p w:rsidR="004F5965" w:rsidRDefault="00000000">
      <w:pPr>
        <w:shd w:val="clear" w:color="auto" w:fill="F0F0F0"/>
        <w:spacing w:before="14" w:after="14"/>
        <w:ind w:left="360"/>
      </w:pPr>
      <w:r>
        <w:rPr>
          <w:rFonts w:ascii="Courier New" w:eastAsia="Courier New" w:hAnsi="Courier New" w:cs="Courier New"/>
          <w:color w:val="1B2A4A"/>
          <w:sz w:val="16"/>
          <w:szCs w:val="16"/>
        </w:rPr>
        <w:t>===================================================</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This prompt builds exactly 20 new industry pages.</w:t>
      </w:r>
    </w:p>
    <w:p w:rsidR="004F5965" w:rsidRDefault="00000000">
      <w:pPr>
        <w:shd w:val="clear" w:color="auto" w:fill="F0F0F0"/>
        <w:spacing w:before="14" w:after="14"/>
        <w:ind w:left="360"/>
      </w:pPr>
      <w:r>
        <w:rPr>
          <w:rFonts w:ascii="Courier New" w:eastAsia="Courier New" w:hAnsi="Courier New" w:cs="Courier New"/>
          <w:color w:val="1B2A4A"/>
          <w:sz w:val="16"/>
          <w:szCs w:val="16"/>
        </w:rPr>
        <w:t>JSON file: data/industry-pages-batch91011.json</w:t>
      </w:r>
    </w:p>
    <w:p w:rsidR="004F5965" w:rsidRDefault="00000000">
      <w:pPr>
        <w:shd w:val="clear" w:color="auto" w:fill="F0F0F0"/>
        <w:spacing w:before="14" w:after="14"/>
        <w:ind w:left="360"/>
      </w:pPr>
      <w:r>
        <w:rPr>
          <w:rFonts w:ascii="Courier New" w:eastAsia="Courier New" w:hAnsi="Courier New" w:cs="Courier New"/>
          <w:color w:val="1B2A4A"/>
          <w:sz w:val="16"/>
          <w:szCs w:val="16"/>
        </w:rPr>
        <w:t>Template:  templates/industry-page-template.html</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All previous batches are already built on the site.</w:t>
      </w:r>
    </w:p>
    <w:p w:rsidR="004F5965" w:rsidRDefault="00000000">
      <w:pPr>
        <w:shd w:val="clear" w:color="auto" w:fill="F0F0F0"/>
        <w:spacing w:before="14" w:after="14"/>
        <w:ind w:left="360"/>
      </w:pPr>
      <w:r>
        <w:rPr>
          <w:rFonts w:ascii="Courier New" w:eastAsia="Courier New" w:hAnsi="Courier New" w:cs="Courier New"/>
          <w:color w:val="1B2A4A"/>
          <w:sz w:val="16"/>
          <w:szCs w:val="16"/>
        </w:rPr>
        <w:t>This prompt ONLY builds the 20 new pages listed below.</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PAGES TO BUILD (20 total):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1. [india-fintech-market-entry] → industries/fintech-payments/india-fintech-market-entry.html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2. [india-healthtech-market-entry] → industries/healthtech/india-healthtech-market-entry.html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3. [gulf-fmcg-market-entry] → industries/cpg-fmcg-retail/gulf-fmcg-market-entry.html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4. [southeast-asia-fmcg-entry] → industries/cpg-fmcg-retail/southeast-asia-fmcg-entry.html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5. [gulf-technology-market-entry] → industries/technology/gulf-technology-market-entry.html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6. [africa-fintech-market-entry] → industries/fintech-payments/africa-fintech-market-entry.html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7. [southeast-asia-healthtech-entry] → industries/healthtech/southeast-asia-healthtech-entry.html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8. [india-edtech-market-entry] → industries/education-edtech/india-edtech-market-entry.html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9. [africa-agritech-market-entry] → industries/agritech/africa-agritech-market-entry.html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10. [india-manufacturing-market-entry] → industries/manufacturing-industrials/india-manufacturing-market-entry.html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11. [gulf-healthcare-market-entry] → industries/healthcare-life-sciences/gulf-healthcare-market-entry.html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12. [africa-healthcare-market-entry] → industries/healthcare-life-sciences/africa-healthcare-market-entry.html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13. [vietnam-market-entry] → industries/manufacturing-industrials/vietnam-market-entry.html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14. [indonesia-market-entry] → industries/cpg-fmcg-retail/indonesia-market-entry.html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15. [nigeria-market-entry] → industries/cpg-fmcg-retail/nigeria-market-entry.html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16. [kenya-market-entry] → industries/fintech-payments/kenya-market-entry.html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17. [saudi-arabia-market-entry] → industries/hospitality-tourism/saudi-arabia-market-entry.html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18. [uae-market-entry] → industries/hospitality-tourism/uae-market-entry.html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19. [singapore-market-entry] → industries/technology/singapore-market-entry.html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20. [thailand-market-entry] → industries/hospitality-tourism/thailand-market-entry.html</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w:t>
      </w:r>
    </w:p>
    <w:p w:rsidR="004F5965" w:rsidRDefault="00000000">
      <w:pPr>
        <w:shd w:val="clear" w:color="auto" w:fill="F0F0F0"/>
        <w:spacing w:before="14" w:after="14"/>
        <w:ind w:left="360"/>
      </w:pPr>
      <w:r>
        <w:rPr>
          <w:rFonts w:ascii="Courier New" w:eastAsia="Courier New" w:hAnsi="Courier New" w:cs="Courier New"/>
          <w:color w:val="1B2A4A"/>
          <w:sz w:val="16"/>
          <w:szCs w:val="16"/>
        </w:rPr>
        <w:t>STEP 1 — VERIFY FILES EXIST</w:t>
      </w:r>
    </w:p>
    <w:p w:rsidR="004F5965" w:rsidRDefault="00000000">
      <w:pPr>
        <w:shd w:val="clear" w:color="auto" w:fill="F0F0F0"/>
        <w:spacing w:before="14" w:after="14"/>
        <w:ind w:left="360"/>
      </w:pPr>
      <w:r>
        <w:rPr>
          <w:rFonts w:ascii="Courier New" w:eastAsia="Courier New" w:hAnsi="Courier New" w:cs="Courier New"/>
          <w:color w:val="1B2A4A"/>
          <w:sz w:val="16"/>
          <w:szCs w:val="16"/>
        </w:rPr>
        <w:t>---------------------------------------------------</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Run these checks first: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ls data/industry-pages-batch91011.json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ls templates/industry-page-template.html</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If industry-pages-batch91011.json is missing: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Stop and tell me — I will upload it.</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If template is missing: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Find any existing page: find industries/ -name '*.html' | head -1</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Copy it: cp [found_file] templates/industry-page-template.html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Then tokenise it (replace industry content with {{ }} tokens)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Then continue to STEP 2.</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w:t>
      </w:r>
    </w:p>
    <w:p w:rsidR="004F5965" w:rsidRDefault="00000000">
      <w:pPr>
        <w:shd w:val="clear" w:color="auto" w:fill="F0F0F0"/>
        <w:spacing w:before="14" w:after="14"/>
        <w:ind w:left="360"/>
      </w:pPr>
      <w:r>
        <w:rPr>
          <w:rFonts w:ascii="Courier New" w:eastAsia="Courier New" w:hAnsi="Courier New" w:cs="Courier New"/>
          <w:color w:val="1B2A4A"/>
          <w:sz w:val="16"/>
          <w:szCs w:val="16"/>
        </w:rPr>
        <w:t>STEP 2 — BUILD ALL 20 PAGES</w:t>
      </w:r>
    </w:p>
    <w:p w:rsidR="004F5965" w:rsidRDefault="00000000">
      <w:pPr>
        <w:shd w:val="clear" w:color="auto" w:fill="F0F0F0"/>
        <w:spacing w:before="14" w:after="14"/>
        <w:ind w:left="360"/>
      </w:pPr>
      <w:r>
        <w:rPr>
          <w:rFonts w:ascii="Courier New" w:eastAsia="Courier New" w:hAnsi="Courier New" w:cs="Courier New"/>
          <w:color w:val="1B2A4A"/>
          <w:sz w:val="16"/>
          <w:szCs w:val="16"/>
        </w:rPr>
        <w:t>---------------------------------------------------</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Read data/industry-pages-batch91011.json into memory.</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For EACH page object in the array (20 total):</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A. Output path: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2 → industries/[parent]/[slug].html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3 → industries/[parent]/[slug].html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mkdir -p the directory first.</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B. Read templates/industry-page-template.html fresh as string.</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C. Replace ALL tokens: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{{PAGE_TITLE}}     → page.title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{{META_DESC}}      → page.meta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{{KEYWORDS}}       → page.keywords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{{SLUG}}           → page.slug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{{H1}}             → page.h1</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{{TAGLINE}}        → page.tagline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{{HERO_BODY}}      → page.hero</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 page.market_timing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{{REGIONS}}        → page.regions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{{STAT1N}}         → page.stat1n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{{STAT1L}}         → page.stat1l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{{STAT1B}}         → page.stat1b</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{{STAT2N}}         → page.stat2n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{{STAT2L}}         → page.stat2l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{{STAT2B}}         → page.stat2b</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{{STAT3N}}         → page.stat3n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{{STAT3L}}         → page.stat3l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{{STAT3B}}         → page.stat3b</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{{INSIGHT_1}}      → page.insights[0]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{{INSIGHT_2}}      → page.insights[1]</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{{INSIGHT_3}}      → page.insights[2]</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{{INSIGHT_4}}      → page.insights[3]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{{CHALLENGE_M_1}}  → page.challenges_market[0]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{{CHALLENGE_M_2}}  → page.challenges_market[1]</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{{CHALLENGE_M_3}}  → page.challenges_market[2]</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{{CHALLENGE_M_4}}  → page.challenges_market[3]</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 cards (split each item on pipe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page.challenges_we_solve[0].split('|') → {{CHALLENGE_1_H}} and {{CHALLENGE_1_B}}</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page.challenges_we_solve[1].split('|') → {{CHALLENGE_2_H}} and {{CHALLENGE_2_B}}</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page.challenges_we_solve[2].split('|') → {{CHALLENGE_3_H}} and {{CHALLENGE_3_B}}</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page.challenges_we_solve[3].split('|') → {{CHALLENGE_4_H}} and {{CHALLENGE_4_B}}</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page.challenges_we_solve[4].split('|') → {{CHALLENGE_5_H}} and {{CHALLENGE_5_B}}</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page.challenges_we_solve[5].split('|') → {{CHALLENGE_6_H}} and {{CHALLENGE_6_B}}</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 body paragraphs: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{{SERVICE_1_BODY}} → page.service_angles[0]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{{SERVICE_2_BODY}} → page.service_angles[1]</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{{SERVICE_3_BODY}} → page.service_angles[2]</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{{SERVICE_4_BODY}} → page.service_angles[3]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{{SERVICE_5_BODY}} → page.service_angles[4]</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{{SERVICE_6_BODY}} → page.service_angles[5]</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 names and links are hardcoded in the template)</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FAQ pairs (split each on pipe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page.faq[0].split('|') → {{FAQ_1_Q}} and {{FAQ_1_A}}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page.faq[1].split('|') → {{FAQ_2_Q}} and {{FAQ_2_A}}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page.faq[2].split('|') → {{FAQ_3_Q}} and {{FAQ_3_A}}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page.faq[3].split('|') → {{FAQ_4_Q}} and {{FAQ_4_A}}</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Schema markup:</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Replace {{SCHEMA_SERVICE}} with JSON-LD Service schema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using H1, META_DESC, REGIONS values.</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Replace {{SCHEMA_FAQ}} with JSON-LD FAQPage schema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using the 4 FAQ question/answer pairs.</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D. After all replacements: scan for remaining {{ }} tokens.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For each found: replace with empty string.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Log: Warning: unreplaced token [TOKEN] in [slug]</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E. Write the completed HTML to the output path.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Log: Created: [path]</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w:t>
      </w:r>
    </w:p>
    <w:p w:rsidR="004F5965" w:rsidRDefault="00000000">
      <w:pPr>
        <w:shd w:val="clear" w:color="auto" w:fill="F0F0F0"/>
        <w:spacing w:before="14" w:after="14"/>
        <w:ind w:left="360"/>
      </w:pPr>
      <w:r>
        <w:rPr>
          <w:rFonts w:ascii="Courier New" w:eastAsia="Courier New" w:hAnsi="Courier New" w:cs="Courier New"/>
          <w:color w:val="1B2A4A"/>
          <w:sz w:val="16"/>
          <w:szCs w:val="16"/>
        </w:rPr>
        <w:t>STEP 3 — UPDATE SITEMAP.XML</w:t>
      </w:r>
    </w:p>
    <w:p w:rsidR="004F5965" w:rsidRDefault="00000000">
      <w:pPr>
        <w:shd w:val="clear" w:color="auto" w:fill="F0F0F0"/>
        <w:spacing w:before="14" w:after="14"/>
        <w:ind w:left="360"/>
      </w:pPr>
      <w:r>
        <w:rPr>
          <w:rFonts w:ascii="Courier New" w:eastAsia="Courier New" w:hAnsi="Courier New" w:cs="Courier New"/>
          <w:color w:val="1B2A4A"/>
          <w:sz w:val="16"/>
          <w:szCs w:val="16"/>
        </w:rPr>
        <w:t>---------------------------------------------------</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Add each new page URL to sitemap.xml.</w:t>
      </w:r>
    </w:p>
    <w:p w:rsidR="004F5965" w:rsidRDefault="00000000">
      <w:pPr>
        <w:shd w:val="clear" w:color="auto" w:fill="F0F0F0"/>
        <w:spacing w:before="14" w:after="14"/>
        <w:ind w:left="360"/>
      </w:pPr>
      <w:r>
        <w:rPr>
          <w:rFonts w:ascii="Courier New" w:eastAsia="Courier New" w:hAnsi="Courier New" w:cs="Courier New"/>
          <w:color w:val="1B2A4A"/>
          <w:sz w:val="16"/>
          <w:szCs w:val="16"/>
        </w:rPr>
        <w:t>Do NOT remove any existing URLs.</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3 pages use priority 0.7</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2 pages use priority 0.8</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Format:</w:t>
      </w:r>
    </w:p>
    <w:p w:rsidR="004F5965" w:rsidRDefault="00000000">
      <w:pPr>
        <w:shd w:val="clear" w:color="auto" w:fill="F0F0F0"/>
        <w:spacing w:before="14" w:after="14"/>
        <w:ind w:left="360"/>
      </w:pPr>
      <w:r>
        <w:rPr>
          <w:rFonts w:ascii="Courier New" w:eastAsia="Courier New" w:hAnsi="Courier New" w:cs="Courier New"/>
          <w:color w:val="1B2A4A"/>
          <w:sz w:val="16"/>
          <w:szCs w:val="16"/>
        </w:rPr>
        <w:t>&lt;url&gt;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&lt;loc&gt;https://greyradius.com/industries/[parent]/[slug].html&lt;/loc&gt;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&lt;changefreq&gt;monthly&lt;/changefreq&gt;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&lt;priority&gt;0.7&lt;/priority&gt;</w:t>
      </w:r>
    </w:p>
    <w:p w:rsidR="004F5965" w:rsidRDefault="00000000">
      <w:pPr>
        <w:shd w:val="clear" w:color="auto" w:fill="F0F0F0"/>
        <w:spacing w:before="14" w:after="14"/>
        <w:ind w:left="360"/>
      </w:pPr>
      <w:r>
        <w:rPr>
          <w:rFonts w:ascii="Courier New" w:eastAsia="Courier New" w:hAnsi="Courier New" w:cs="Courier New"/>
          <w:color w:val="1B2A4A"/>
          <w:sz w:val="16"/>
          <w:szCs w:val="16"/>
        </w:rPr>
        <w:t>&lt;/url&gt;</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w:t>
      </w:r>
    </w:p>
    <w:p w:rsidR="004F5965" w:rsidRDefault="00000000">
      <w:pPr>
        <w:shd w:val="clear" w:color="auto" w:fill="F0F0F0"/>
        <w:spacing w:before="14" w:after="14"/>
        <w:ind w:left="360"/>
      </w:pPr>
      <w:r>
        <w:rPr>
          <w:rFonts w:ascii="Courier New" w:eastAsia="Courier New" w:hAnsi="Courier New" w:cs="Courier New"/>
          <w:color w:val="1B2A4A"/>
          <w:sz w:val="16"/>
          <w:szCs w:val="16"/>
        </w:rPr>
        <w:t>STEP 4 — UPDATE NAVIGATION DROPDOWN</w:t>
      </w:r>
    </w:p>
    <w:p w:rsidR="004F5965" w:rsidRDefault="00000000">
      <w:pPr>
        <w:shd w:val="clear" w:color="auto" w:fill="F0F0F0"/>
        <w:spacing w:before="14" w:after="14"/>
        <w:ind w:left="360"/>
      </w:pPr>
      <w:r>
        <w:rPr>
          <w:rFonts w:ascii="Courier New" w:eastAsia="Courier New" w:hAnsi="Courier New" w:cs="Courier New"/>
          <w:color w:val="1B2A4A"/>
          <w:sz w:val="16"/>
          <w:szCs w:val="16"/>
        </w:rPr>
        <w:t>---------------------------------------------------</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Add all 20 new pages to the Industries dropdown</w:t>
      </w:r>
    </w:p>
    <w:p w:rsidR="004F5965" w:rsidRDefault="00000000">
      <w:pPr>
        <w:shd w:val="clear" w:color="auto" w:fill="F0F0F0"/>
        <w:spacing w:before="14" w:after="14"/>
        <w:ind w:left="360"/>
      </w:pPr>
      <w:r>
        <w:rPr>
          <w:rFonts w:ascii="Courier New" w:eastAsia="Courier New" w:hAnsi="Courier New" w:cs="Courier New"/>
          <w:color w:val="1B2A4A"/>
          <w:sz w:val="16"/>
          <w:szCs w:val="16"/>
        </w:rPr>
        <w:t>in the site header. Group each page under its</w:t>
      </w:r>
    </w:p>
    <w:p w:rsidR="004F5965" w:rsidRDefault="00000000">
      <w:pPr>
        <w:shd w:val="clear" w:color="auto" w:fill="F0F0F0"/>
        <w:spacing w:before="14" w:after="14"/>
        <w:ind w:left="360"/>
      </w:pPr>
      <w:r>
        <w:rPr>
          <w:rFonts w:ascii="Courier New" w:eastAsia="Courier New" w:hAnsi="Courier New" w:cs="Courier New"/>
          <w:color w:val="1B2A4A"/>
          <w:sz w:val="16"/>
          <w:szCs w:val="16"/>
        </w:rPr>
        <w:t>correct Tier 1 parent. Do not remove existing items.</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w:t>
      </w:r>
    </w:p>
    <w:p w:rsidR="004F5965" w:rsidRDefault="00000000">
      <w:pPr>
        <w:shd w:val="clear" w:color="auto" w:fill="F0F0F0"/>
        <w:spacing w:before="14" w:after="14"/>
        <w:ind w:left="360"/>
      </w:pPr>
      <w:r>
        <w:rPr>
          <w:rFonts w:ascii="Courier New" w:eastAsia="Courier New" w:hAnsi="Courier New" w:cs="Courier New"/>
          <w:color w:val="1B2A4A"/>
          <w:sz w:val="16"/>
          <w:szCs w:val="16"/>
        </w:rPr>
        <w:t>STEP 5 — FINAL CONFIRMATION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After completing all steps, output:</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1. Total pages created: [number] — should be 20</w:t>
      </w:r>
    </w:p>
    <w:p w:rsidR="004F5965" w:rsidRDefault="00000000">
      <w:pPr>
        <w:shd w:val="clear" w:color="auto" w:fill="F0F0F0"/>
        <w:spacing w:before="14" w:after="14"/>
        <w:ind w:left="360"/>
      </w:pPr>
      <w:r>
        <w:rPr>
          <w:rFonts w:ascii="Courier New" w:eastAsia="Courier New" w:hAnsi="Courier New" w:cs="Courier New"/>
          <w:color w:val="1B2A4A"/>
          <w:sz w:val="16"/>
          <w:szCs w:val="16"/>
        </w:rPr>
        <w:t>2. Complete list of file paths created (all 20)</w:t>
      </w:r>
    </w:p>
    <w:p w:rsidR="004F5965" w:rsidRDefault="00000000">
      <w:pPr>
        <w:shd w:val="clear" w:color="auto" w:fill="F0F0F0"/>
        <w:spacing w:before="14" w:after="14"/>
        <w:ind w:left="360"/>
      </w:pPr>
      <w:r>
        <w:rPr>
          <w:rFonts w:ascii="Courier New" w:eastAsia="Courier New" w:hAnsi="Courier New" w:cs="Courier New"/>
          <w:color w:val="1B2A4A"/>
          <w:sz w:val="16"/>
          <w:szCs w:val="16"/>
        </w:rPr>
        <w:t>3. Total token warnings: [number]</w:t>
      </w:r>
    </w:p>
    <w:p w:rsidR="004F5965" w:rsidRDefault="00000000">
      <w:pPr>
        <w:shd w:val="clear" w:color="auto" w:fill="F0F0F0"/>
        <w:spacing w:before="14" w:after="14"/>
        <w:ind w:left="360"/>
      </w:pPr>
      <w:r>
        <w:rPr>
          <w:rFonts w:ascii="Courier New" w:eastAsia="Courier New" w:hAnsi="Courier New" w:cs="Courier New"/>
          <w:color w:val="1B2A4A"/>
          <w:sz w:val="16"/>
          <w:szCs w:val="16"/>
        </w:rPr>
        <w:t>4. Sitemap.xml updated: yes/no</w:t>
      </w:r>
    </w:p>
    <w:p w:rsidR="004F5965" w:rsidRDefault="00000000">
      <w:pPr>
        <w:shd w:val="clear" w:color="auto" w:fill="F0F0F0"/>
        <w:spacing w:before="14" w:after="14"/>
        <w:ind w:left="360"/>
      </w:pPr>
      <w:r>
        <w:rPr>
          <w:rFonts w:ascii="Courier New" w:eastAsia="Courier New" w:hAnsi="Courier New" w:cs="Courier New"/>
          <w:color w:val="1B2A4A"/>
          <w:sz w:val="16"/>
          <w:szCs w:val="16"/>
        </w:rPr>
        <w:t>5. Navigation updated: yes/no</w:t>
      </w:r>
    </w:p>
    <w:p w:rsidR="004F5965" w:rsidRDefault="00000000">
      <w:pPr>
        <w:shd w:val="clear" w:color="auto" w:fill="F0F0F0"/>
        <w:spacing w:before="14" w:after="14"/>
        <w:ind w:left="360"/>
      </w:pPr>
      <w:r>
        <w:rPr>
          <w:rFonts w:ascii="Courier New" w:eastAsia="Courier New" w:hAnsi="Courier New" w:cs="Courier New"/>
          <w:color w:val="1B2A4A"/>
          <w:sz w:val="16"/>
          <w:szCs w:val="16"/>
        </w:rPr>
        <w:t>6. Any failures — list with exact reason</w:t>
      </w:r>
    </w:p>
    <w:p w:rsidR="004F5965" w:rsidRDefault="004F5965">
      <w:pPr>
        <w:shd w:val="clear" w:color="auto" w:fill="F0F0F0"/>
        <w:spacing w:before="14" w:after="14"/>
        <w:ind w:left="360"/>
      </w:pPr>
    </w:p>
    <w:p w:rsidR="004F5965" w:rsidRDefault="00000000">
      <w:pPr>
        <w:shd w:val="clear" w:color="auto" w:fill="F0F0F0"/>
        <w:spacing w:before="14" w:after="14"/>
        <w:ind w:left="360"/>
      </w:pPr>
      <w:r>
        <w:rPr>
          <w:rFonts w:ascii="Courier New" w:eastAsia="Courier New" w:hAnsi="Courier New" w:cs="Courier New"/>
          <w:color w:val="1B2A4A"/>
          <w:sz w:val="16"/>
          <w:szCs w:val="16"/>
        </w:rPr>
        <w:t>===================================================</w:t>
      </w:r>
    </w:p>
    <w:p w:rsidR="004F5965" w:rsidRDefault="00000000">
      <w:pPr>
        <w:shd w:val="clear" w:color="auto" w:fill="F0F0F0"/>
        <w:spacing w:before="14" w:after="14"/>
        <w:ind w:left="360"/>
      </w:pPr>
      <w:r>
        <w:rPr>
          <w:rFonts w:ascii="Courier New" w:eastAsia="Courier New" w:hAnsi="Courier New" w:cs="Courier New"/>
          <w:color w:val="1B2A4A"/>
          <w:sz w:val="16"/>
          <w:szCs w:val="16"/>
        </w:rPr>
        <w:t>DO NOT write any scripts, generators, or functions.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DO NOT use require(), import, or module.exports.</w:t>
      </w:r>
    </w:p>
    <w:p w:rsidR="004F5965" w:rsidRDefault="00000000">
      <w:pPr>
        <w:shd w:val="clear" w:color="auto" w:fill="F0F0F0"/>
        <w:spacing w:before="14" w:after="14"/>
        <w:ind w:left="360"/>
      </w:pPr>
      <w:r>
        <w:rPr>
          <w:rFonts w:ascii="Courier New" w:eastAsia="Courier New" w:hAnsi="Courier New" w:cs="Courier New"/>
          <w:color w:val="1B2A4A"/>
          <w:sz w:val="16"/>
          <w:szCs w:val="16"/>
        </w:rPr>
        <w:t>Read the JSON. Loop. Replace tokens. Write files.</w:t>
      </w:r>
    </w:p>
    <w:p w:rsidR="004F5965" w:rsidRDefault="00000000">
      <w:pPr>
        <w:shd w:val="clear" w:color="auto" w:fill="F0F0F0"/>
        <w:spacing w:before="14" w:after="14"/>
        <w:ind w:left="360"/>
      </w:pPr>
      <w:r>
        <w:rPr>
          <w:rFonts w:ascii="Courier New" w:eastAsia="Courier New" w:hAnsi="Courier New" w:cs="Courier New"/>
          <w:color w:val="1B2A4A"/>
          <w:sz w:val="16"/>
          <w:szCs w:val="16"/>
        </w:rPr>
        <w:t>===================================================</w:t>
      </w:r>
    </w:p>
    <w:p w:rsidR="004F5965" w:rsidRDefault="004F5965">
      <w:pPr>
        <w:pBdr>
          <w:bottom w:val="single" w:sz="8" w:space="1" w:color="1B2A4A"/>
        </w:pBdr>
        <w:spacing w:before="200" w:after="200"/>
      </w:pPr>
    </w:p>
    <w:p w:rsidR="004F5965" w:rsidRDefault="00000000">
      <w:pPr>
        <w:pStyle w:val="Heading1"/>
      </w:pPr>
      <w:r>
        <w:lastRenderedPageBreak/>
        <w:t>Section 3: JSON appendix</w:t>
      </w:r>
    </w:p>
    <w:p w:rsidR="004F5965" w:rsidRDefault="00000000">
      <w:pPr>
        <w:spacing w:before="60" w:after="60"/>
      </w:pPr>
      <w:r>
        <w:rPr>
          <w:i/>
          <w:iCs/>
          <w:color w:val="666666"/>
          <w:sz w:val="18"/>
          <w:szCs w:val="18"/>
        </w:rPr>
        <w:t>Copy the complete JSON array and save as data/industry-pages-batch91011.json in Replit. This file contains exactly 20 page objects.</w:t>
      </w:r>
    </w:p>
    <w:p w:rsidR="004F5965" w:rsidRDefault="004F5965">
      <w:pPr>
        <w:spacing w:before="80" w:after="40"/>
      </w:pPr>
    </w:p>
    <w:p w:rsidR="004F5965" w:rsidRDefault="00000000">
      <w:pPr>
        <w:shd w:val="clear" w:color="auto" w:fill="F0F0F0"/>
        <w:spacing w:before="14" w:after="14"/>
        <w:ind w:left="360"/>
      </w:pPr>
      <w:r>
        <w:rPr>
          <w:rFonts w:ascii="Courier New" w:eastAsia="Courier New" w:hAnsi="Courier New" w:cs="Courier New"/>
          <w:color w:val="1B2A4A"/>
          <w:sz w:val="16"/>
          <w:szCs w:val="16"/>
        </w:rPr>
        <w: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"slug": "india-fintech-market-entry",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"parent": "fintech-payments",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Fintech Market Entry Strategy | GreyRadius Consulting",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fintech companies enter India with market entry strategy, regulatory pathway mapping, GTM execution, and partner identification across UPI, lending, insurance, and wealth management.",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"h1": "India fintech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Indian financial consumer — strategy for fintech companies entering India.",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fintech market is one of the most dynamic and fastest-growing in the world — with UPI processing over 10 billion transactions monthly, the world's largest digital lending market outside China, and a regulatory environment that is actively encouraging fintech innovation through the RBI regulatory sandbox and account aggregator framework. International fintech companies across payments, lending, insurance, wealthtech, and B2B financial services are all evaluating India market entry. GreyRadius helps international fintech companies validate Indian market demand, navigate RBI and SEBI regulatory requirements, identify the right GTM approach, and raise capital for India operations.",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Digital Public Infrastructure stack — UPI, Aadhaar, Account Aggregator, ONDC, and the upcoming ULI credit infrastructure — is creating a fintech enablement environment that is unmatched globally. The companies building India fintech products on this infrastructure in 2024–2028 are building on permanent, government-supported rails that will serve a billion consumers.",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"India's UPI processed $2T in transactions in 2023 — making it the world's largest real-time payment system by transaction volume and creating distribution infrastructure that fintech companies can build 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"India's credit market is severely underserved — only 200 million Indians have formal credit history, leaving 800 million as potential first-time credit customers for fintech lenders with alternative data capabilities.",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"India's Account Aggregator framework is enabling data-driven fintech — consented financial data sharing between institutions is creating new credit scoring, insurance underwriting, and wealth management possibilities.",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"RBI's regulatory sandbox and fintech liaison office are actively supporting fintech innovation — creating structured pathways for international fintech companies to test and scale products in India."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"RBI licensing requirements are complex and capital-intensive — payment aggregator, NBFC, and insurance distribution licences all require significant capital, compliance infrastructure, and approval timelines.",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"India's fintech market is intensely competitive — Paytm, PhonePe, Razorpay, CRED, and hundreds of funded fintech startups are all competing for the same Indian financial consumer.",</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"India's consumer price sensitivity is extreme — pricing models that work in Singapore or UAE do not work in India where transaction-level economics are fundamentally different.",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"Regional language diversity creates localisation requirements — serving Tamil Nadu, Maharashtra, and West Bengal consumers requires distinct language and cultural adaptation."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 fintech market demand validation|You need to validate Indian consumer or enterprise demand for your fintech product including price sensitivity, feature priorities, and UPI/digital payment behaviour.",</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"RBI and SEBI regulatory pathway|You need to understand the right licence type, sandbox eligibility, and regulatory approval timeline for your fintech product in India.",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 GTM strategy for fintech|You need a go-to-market plan covering ICP, channel strategy, distribution partner identification, and first-customer acquisition tailored to Indian fintech market dynamics.",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 fintech partner identification|You need to identify bank partners, NBFC co-lending partners, insurance partners, and technology integration partners for your India operation.",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fintech operations|You need a pitch book grounded in India market demand data and a credible path to RBI-compliant scale.",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positioning in India fintech|You need to understand how to differentiate from established Indian fintech incumbents in your target segment."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"service_angles":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consumer or enterprise demand for your fintech product. Covers consumer surveys across Indian cities, regulatory mapping, competitive analysis, and a Go/Defer/Kill recommendation.",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India fintech investment. Covers Indian market demand modelling, RBI compliance cost, unit economics at Indian price points, and investor-ready projections.",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fintech market entry. RBI regulatory pathway, bank and NBFC partner identification, GTM strategy adaptation, and first-Indian-customer acquisition.",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GTM team. Customer acquisition execution, partner pipeline, and first-revenue milestone tracking across Indian geographies.",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fintech investment. India-market-validated demand data, regulatory framework, and investor identification across India-focused VC and PE.",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for India fintech — from alternative credit scoring using India Stack data to vernacular language customer service and fraud detection for Indian payment patterns."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consumer fintech companies or also with B2B and infrastructure fintech entering India?|Both. We work with consumer fintech on market entry and GTM, and with B2B fintech infrastructure companies on market entry, partner identification, and fundraising.",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"What India fintech segments does GreyRadius have the deepest experience in?|Payments, lending, insurance, and B2B financial infrastructure — segments where we have delivered India market entry mandates.",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fintech market entry engagement take?|Typically 8–12 weeks for consumer demand research, RBI regulatory mapping, and partner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RBI regulatory sandbox applications for international fintech companies?|We map the sandbox eligibility requirements and help prepare market analysis components — formal applications are submitted by the company with their India legal counsel."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fintech market entry, India fintech GTM strategy, India payments consulting, RBI regulatory pathway, India fintech advisory, India financial services market 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Mumbai, Delhi, Bengaluru, Chennai, Hyderabad, Pune",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"stat1n": "$2T+",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UPI transaction value in 2023",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"stat1b": "Making India the world's largest real-time payment system by volume — creating distribution infrastructure that international fintech companies can build 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fintech mandate",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consumers, bank technology heads, and RBI regulatory specialists — every engagement grounded in direct primary research.",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fintech market entry strategy delivery",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India Stack analysis and consumer demand research delivers India fintech market entry strategies efficiently."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"slug": "india-healthtech-market-entry",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"parent": "healthtech",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Healthtech Market Entry Strategy | GreyRadius Consulting",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healthtech companies enter India with market entry strategy, CDSCO regulatory mapping, hospital system GTM, and fundraising support.",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"h1": "India healthtech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health product to Indian patient — strategy for healthtech companies entering India.",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healthtech market is one of the most significant and complex in the world — combining 1.4 billion patients across diverse healthcare infrastructure, an active digital health regulatory environment through the Ayushman Bharat Digital Mission, a rapidly growing private hospital sector, and significant government healthcare investment. International healthtech companies across telemedicine, diagnostic AI, hospital information systems, medical devices, and digital therapeutics are all evaluating India market entry. GreyRadius helps international healthtech companies navigate India's healthcare complexity with primary research, regulatory mapping, hospital system GTM, and fundraising support.",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Ayushman Bharat Digital Mission is creating national digital health infrastructure — Health ID, ABHA, and the Health Claims Exchange are all creating interoperability infrastructure that healthtech companies can connect to. Government hospital digitalisation investment and private hospital technology upgrades are both creating significant procurement opportunities in 2024–2028.",</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"India's digital health market is projected to reach $50B by 2027 — growing at 25% annually as government digital health investment, telemedicine adoption, and hospital digitalisation all accelerate simultaneously.",</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"India has a severe healthcare workforce shortage — less than 1 doctor per 1000 population versus WHO recommendation of 2.5, creating significant demand for AI diagnostics, telemedicine, and digital health tools that extend clinical capacity.",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"India's private hospital sector is growing at 12% annually — corporate hospital chains including Apollo, Fortis, Narayana, and Max are all investing in technology upgrades creating enterprise healthtech procurement opportunities.",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"Ayushman Bharat Digital Mission is creating health data interoperability — the ABDM Health ID and ABHA framework are enabling data flow between health facilities that digital health platforms can integrate with."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"CDSCO medical device registration is complex — Software as Medical Device classification and approval under CDSCO medical device rules requires clinical evidence and regulatory dossiers that take 12–18 months.",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"India's healthcare market is extremely price-sensitive — hospital technology budgets in India are 20–40% of equivalent budgets in developed markets, requiring market-specific pricing.",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"Public and private hospital procurement processes differ dramatically — government hospital procurement through state health agencies requires tender participation while private hospitals have direct procurement processes.",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"Regional language and clinical practice variation across Indian states requires significant localisation — clinical workflows in Tamil Nadu differ from those in Punjab or Maharashtra."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 healthtech demand validation|You need to validate Indian hospital and patient demand for your healthtech product including price sensitivity and integration requirements with India health systems.",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"CDSCO regulatory classification and approval|You need to understand how your healthtech product is classified under Indian medical device rules and what approval timeline and evidence requirements apply.",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 hospital GTM strategy|You need a go-to-market plan for Indian private and public hospital systems covering corporate chain acquisition, government tender strategy, and first-hospital deployment.",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 healthtech partner identification|You need to identify hospital group technology buyers, ABDM integration partners, and clinical validation hospitals.",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healthtech|You need a pitch book grounded in Indian health market demand data and a credible India growth story.",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"Public sector health programme access|You need to identify government health programme procurement opportunities tied to Ayushman Bharat and state digital health initiatives."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hospital and patient demand for your healthtech. Covers hospital CIO and clinical department interviews, regulatory mapping, competitive analysis, and a Go/Defer/Kill recommendation.",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India healthtech investment. Covers Indian hospital adoption modelling, CDSCO compliance cost, price-adapted unit economics, and investor-ready projections.",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healthtech market entry. CDSCO regulatory pathway, hospital chain GTM, ABDM integration strategy, and first-Indian-hospital deployment.",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healthtech GTM team. Hospital outreach, clinical champion development, and first-revenue milestone tracking across hospital chains.",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healthtech investment. India-health-market-validated demand data, regulatory pathway, and investor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for India — from Hindi and regional language clinical documentation to AI triage for India's primary care shortage and ABDM-integrated patient records."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consumer digital health companies or also with hospital enterprise healthtech?|Both. We work with consumer apps on India market entry and GTM, and with enterprise hospital technology on market entry and procurement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"What India healthtech segments does GreyRadius focus on?|Diagnostic AI, telemedicine, hospital information systems, medical devices, and digital therapeutics — segments with active India procurement.",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healthtech market entry engagement take?|Typically 8–12 weeks for hospital demand research, CDSCO regulatory mapping, and GTM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government health programme opportunities for healthtech companies?|Yes. Ayushman Bharat programme mapping and state health authority identification are part of our India healthtech market entry service."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healthtech market entry, India digital health GTM strategy, India hospital technology consulting, CDSCO regulatory pathway, India healthtech advisory, India medical technology market 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Delhi NCR, Mumbai, Bengaluru, Chennai, Hyderabad, Kolkata",</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"stat1n": "$50B+",</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digital health market by 2027",</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25% annually as government digital health investment, telemedicine adoption, and hospital digitalisation all accelerate.",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healthtech mandate",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"stat2b": "Hospital CIOs, clinical department heads, and CDSCO regulatory specialists — every engagement grounded in direct primary research.",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healthtech market entry strategy delivery",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ABDM ecosystem mapping and hospital demand research delivers India healthtech market entry strategies efficiently."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"slug": "gulf-fmcg-market-entry",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"title": "Gulf FMCG &amp; Consumer Goods Market Entry | GreyRadius",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FMCG brands and consumer goods companies enter Gulf markets with market entry strategy, distributor identification, GTM execution, and fundraising.",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"h1": "Gulf FMCG and consumer goods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brand to Gulf shelf — strategy for FMCG companies entering the GCC.",</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Gulf's FMCG and consumer goods market is one of the most attractive in the world for international brands — combining high per-capita consumer spending, a young and brand-conscious population, significant food import dependency, and a retail landscape that ranges from premium hypermarkets to growing e-commerce. International food brands, personal care companies, household goods manufacturers, and consumer health companies are all evaluating Gulf market entry. GreyRadius helps FMCG companies validate Gulf consumer demand, identify the right distributors, navigate regulatory requirements, and execute market launch.",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"Saudi Arabia's Vision 2030 is transforming Gulf retail — new retail formats, entertainment destinations, and tourism development are all creating new consumer goods distribution channels. UAE's position as a global trade hub makes it the ideal first market for testing Gulf consumer acceptance before broader GCC rollout. The brands establishing Gulf distribution in 2024–2027 will hold shelf position advantages as competition intensifies.",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"Gulf FMCG market is projected to reach $120B by 2028 — growing at 7% annually as population growth, rising tourist volumes, and premiumisation drive consumer goods spending.",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"Halal certification is non-negotiable for food and personal care products sold in Gulf markets — ESMA in UAE, SASO in Saudi Arabia, and GSO pan-Gulf standards all require compliance before retail access.",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"E-commerce is growing at 25% annually in Gulf FMCG — platforms including Noon, Amazon.ae, and Talabat Mart are creating digital distribution channels that give international brands access without full physical distribution infrastructure.",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 is the Gulf's largest FMCG market by value — 35 million consumers with above-average disposable income represent the anchor market for any serious Gulf consumer goods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"Distributor selection is the most consequential Gulf market entry decision — the right Gulf distributor with strong retailer relationships and logistics capability determines success more than any other factor.",</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approval timelines vary across GCC markets — product registration with SFDA in Saudi Arabia, ESMA in UAE, and NHRA in Bahrain all have different requirements and timelines.",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"Retail shelf space is competitive and expensive — major hypermarket chains charge significant listing fees and require marketing support commitments before stocking new international brands.",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"Consumer brand awareness building requires sustained Arabic-language marketing investment — Gulf consumers respond to Arabic content and local influencer endorsement rather than translated international campaigns."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"Gulf consumer demand validation|You need to validate that Gulf consumers want your FMCG product and at what price, format, and channel they prefer to purchase.",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"Distributor identification and qualification|You need to identify and evaluate Gulf distributors with the right retailer relationships, cold chain capability, and financial capacity for your product category.",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registration pathway|You need to understand SFDA, ESMA, and GCC product registration requirements, halal certification requirements, and import procedures for your product.",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"Gulf GTM strategy|You need a market launch plan covering distributor onboarding, retailer listing, trade marketing, and consumer activation tailored to Gulf retail dynamics.",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FMCG operations|You need a pitch book grounded in Gulf consumer demand data for your fundraising round.",</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"E-commerce channel strategy|You need a Gulf e-commerce channel strategy covering Noon, Amazon.ae, and grocery delivery platforms as complementary distribution."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consumer demand for your FMCG product. Covers consumer surveys across UAE and Saudi Arabia, retailer buyer interviews, regulatory mapping, and a Go/Defer/Kill recommendation.",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Gulf FMCG investment. Covers consumer demand modelling, distributor economics, regulatory cost, and investor-ready projections.",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FMCG market entry. Distributor identification and qualification, regulatory registration pathway, retailer listing strategy, and first-distribution milestone.",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GTM team. Distributor and retailer outreach, trade marketing execution, and first-revenue milestone tracking.",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FMCG investment. Consumer-demand-validated market sizing, distribution economics, and investor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for Gulf FMCG — from demand forecasting and shelf optimisation to Arabic-language consumer sentiment monitoring and supply chain management."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food and beverage FMCG or also with personal care and household goods?|All FMCG categories. We work with food, beverage, personal care, household, and consumer health companies on Gulf market 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"Which Gulf markets does GreyRadius recommend entering first?|UAE is typically the first market — it has the most accessible retail infrastructure and serves as a test market before Saudi Arabia which requires more regulatory investment.",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FMCG market entry engagement take?|Typically 6–10 weeks for consumer demand research, distributor identification, and regulatory mapping.",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introduce FMCG companies to qualified Gulf distributors?|Yes. Distributor identification and initial commercial introductions are a core part of our Gulf FMCG market entry service."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FMCG market entry, GCC consumer goods GTM strategy, UAE FMCG consulting, Saudi Arabia consumer goods advisory, Gulf retail market entry, Middle East FMCG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"regions": "UAE, Saudi Arabia, Qatar, Kuwait, Bahrain, Oman",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"stat1n": "$120B+",</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FMCG market by 2028",</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7% annually as population growth, rising tourist volumes, and premiumisation drive consumer goods spending across GCC.",</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FMCG mandate",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"stat2b": "Gulf consumers, retail buyers, and food safety regulators — every engagement grounded in direct primary research.",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FMCG market entry strategy delivery",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Gulf consumer demand mapping and distributor identification delivers FMCG market entry strategies efficiently."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"slug": "southeast-asia-fmcg-entry",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"title": "Southeast Asia FMCG Market Entry Strategy | GreyRadius",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FMCG brands and consumer goods companies enter Southeast Asian markets with market entry strategy, distributor identification, GTM execution, and fundraising.",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"h1": "Southeast Asia FMCG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brand to ASEAN shelf — strategy for consumer goods companies entering Southeast Asia.",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"hero": "Southeast Asia is one of the world's most significant FMCG growth markets — with 680 million consumers across Indonesia, Vietnam, Thailand, Philippines, Malaysia, and Myanmar at different stages of economic development creating diverse opportunities for food brands, personal care companies, and consumer health businesses. The region combines high-growth modern trade expansion, persistent traditional trade dominance, rapidly growing e-commerce, and significant cultural diversity that requires market-by-market adaptation. GreyRadius helps FMCG companies navigate Southeast Asia's complexity with primary consumer research, distributor identification, and executable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"Indonesia's middle class is growing at 8 million households annually — creating the world's fastest-growing mass-market consumer goods opportunity. Vietnam's modern trade expansion is bringing international brands to a consumer base that is increasingly brand-aspirational. The FMCG brands establishing distribution in these markets in 2024–2027 will capture the shelf positions that persist for decades.",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FMCG market is projected to reach $500B by 2030 — with Indonesia, Vietnam, and the Philippines driving the largest growth as modern trade expansion accelerates.",</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"Traditional trade — warung, sari-sari stores, and wet markets — still accounts for 70%+ of FMCG volume in Indonesia and Philippines, requiring traditional trade distribution strategies alongside modern trade.",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"E-commerce FMCG is growing at 30%+ across Southeast Asia — Shopee, Lazada, and TikTok Shop are becoming significant FMCG distribution channels particularly for health, beauty, and premium food products.",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"Halal certification is a prerequisite in Indonesia and Malaysia — the world's largest and third-largest Muslim-majority countries require halal compliance for food and personal care products."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fragmentation is the primary FMCG challenge in Southeast Asia — traditional trade coverage across thousands of islands in Indonesia and dispersed rural Philippines requires extensive distribution networks.",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"Market diversity across ASEAN requires country-by-country product adaptation — taste preferences, price points, pack sizes, and retail formats differ dramatically between Indonesia, Vietnam, Thailand, and Philippines.",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"Modern trade listing fees and promotional requirements vary — hypermarket chains in each market have different listing requirements and promotional investment expectations.",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"Counterfeit products are prevalent in traditional trade — premium FMCG brands face significant counterfeit competition in traditional trade channels across several Southeast Asian markets."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FMCG market prioritisation|You need to decide which Southeast Asian markets to enter first based on consumer demand, competitive density, and distribution feasibility.",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"Country-specific consumer demand validation|You need primary research with consumers in each target market to validate product acceptance, price sensitivity, and channel preference.",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"Distributor identification across ASEAN|You need to identify qualified distributors in each target market with the right channel coverage, cold chain, and financial capacity.",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FMCG GTM strategy|You need a market-by-market launch plan covering distributor onboarding, retail listing, trade marketing, and consumer activation.",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"Halal certification pathway for ASEAN|You need guidance on JAKIM certification for Malaysia, BPJPH for Indonesia, and other relevant halal standards across ASEAN.",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"E-commerce channel strategy|You need a Southeast Asia e-commerce strategy covering Shopee, Lazada, and TikTok Shop as complementary distribution."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demand for your FMCG product across priority Southeast Asian markets. Covers consumer surveys in multiple markets, retailer interviews, competitive mapping, and a sequenced Go/Defer/Kill recommendation.",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Southeast Asia FMCG investment. Covers country-by-country demand modelling, distributor economics, regulatory cost, and investor-ready projections.",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"End-to-end Southeast Asia FMCG market entry. Distributor identification across target markets, regulatory registration, retail listing strategy, and first-distribution milestone per market.",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"Embedded Southeast Asia GTM team. Distributor and retailer outreach, trade marketing execution, and first-revenue milestone tracking across markets.",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Southeast Asia FMCG investment. Consumer-demand-validated market sizing across ASEAN and investor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for Southeast Asia FMCG — from demand forecasting across diverse regional markets to traditional trade coverage optimisation and social commerce monitoring."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food and beverage FMCG or also with personal care and household products?|All categories across food, beverage, personal care, household, and consumer health.",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"Which Southeast Asian markets does GreyRadius recommend entering first?|Indonesia and Vietnam are typically the first priority markets — Indonesia for volume and Vietnam for faster modern trade growth. Thailand and Philippines as second phase.",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Southeast Asia FMCG market entry engagement take?|Typically 8–12 weeks for multi-market consumer research, distributor identification, and regulatory mapping.",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introduce FMCG companies to qualified Southeast Asian distributors?|Yes. Distributor identification and initial commercial introductions are a core part of our Southeast Asia FMCG market entry service."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"keywords": "Southeast Asia FMCG market entry, ASEAN consumer goods GTM strategy, Indonesia FMCG consulting, Vietnam consumer goods advisory, Southeast Asia retail market entry, ASEAN FMCG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"regions": "Indonesia, Vietnam, Thailand, Philippines, Malaysia, Singapore",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"stat1n": "$500B+",</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"stat1l": "Southeast Asia FMCG market by 2030",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"stat1b": "Indonesia, Vietnam, and Philippines driving largest growth as modern trade expansion and middle-class income growth accelerate.",</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"stat2n": "30+",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Southeast Asia FMCG mandate",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"stat2b": "Consumers across multiple ASEAN markets, retail buyers, and distributors — every engagement grounded in direct primary research.",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"stat3l": "Southeast Asia FMCG market entry strategy delivery",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multi-market consumer demand mapping and distributor identification delivers ASEAN FMCG market entry strategies efficiently."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"slug": "gulf-technology-market-entry",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"title": "Gulf Technology Market Entry Strategy | GreyRadius Consulting",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technology companies enter Gulf markets with market entry strategy, regulatory mapping, government programme identification, GTM execution, and partner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"h1": "Gulf technology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Gulf enterprise contract — strategy for technology companies entering the GCC.",</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 technology market is one of the most significant opportunities for international technology companies — combining government-led digital transformation investment at unprecedented scale, high enterprise technology budgets, 100% foreign ownership now permitted across most sectors, and active government programmes that create funded demand for technology solutions. Enterprise software companies, cloud infrastructure providers, cybersecurity businesses, AI platform developers, and healthcare technology companies are all evaluating Gulf technology market entry. GreyRadius helps international technology companies navigate Gulf procurement complexity, identify the right local partners, access government programmes, and execute GTM strategies.",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"Saudi Arabia's NEOM, Vision 2030, and national AI strategy together represent the largest government technology investment programme in the world. UAE's Smart Dubai, Abu Dhabi's digital economy strategy, and Qatar's National Vision are all creating specific technology procurement pipelines. The technology companies establishing Gulf relationships in 2024–2027 will capture contract value that compounds over decades.",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"Gulf enterprise technology spending exceeded $30B in 2023 — growing at 15% annually as Vision 2030 investment, government digitalisation, and private sector technology adoption all accelerate.",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Arabia's National Technology Development Programme is actively funding technology localisation — companies willing to establish in-kingdom development or manufacturing receive significant government support.",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"UAE's 100% foreign ownership reform has removed the mandatory local partner requirement — international technology companies can now operate fully-owned entities across most technology sectors.",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"Government-to-government technology programmes are a significant Gulf entry channel — bilateral technology agreements between Gulf governments and technology-advanced nations create funded procurement pipelines."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"Government technology procurement requires long relationship investment — from first engagement to contract award with Saudi or UAE government entities typically takes 2–4 years of sustained relationship development.",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"In-country value requirements are intensifying — Saudi Arabia's ICV programme and UAE's local technology investment expectations create pressure to establish local operations beyond a sales office.",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"Cultural and business protocol awareness is essential — Gulf business relationships are built on personal trust, hierarchy, and protocol that international companies must respect.",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"Security and data sovereignty requirements for government technology are stringent — cloud hosting, data residency, and government security certification requirements restrict which technology architectures are viable."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"Gulf enterprise and government demand validation|You need to validate Gulf enterprise and government demand for your technology and identify active procurement programmes in your capability area.",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"Gulf market entry structure|You need to determine the right legal entity structure — mainland, free zone, or joint venture — and the right level of in-country investment for your technology business.",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"Government programme identification|You need to map active Saudi and UAE government technology programmes, innovation grants, and procurement opportunities tied to Vision 2030 and national digital strategies.",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"Local partner identification|You need to identify Gulf technology partners, system integrators, and distributors who can accelerate your sales cycle and navigate government procurement.",</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"Gulf GTM strategy for technology|You need a go-to-market plan covering government and enterprise buyer acquisition, local partner development, and first-contract milestone tailored to Gulf business culture.",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technology investment|You need a pitch book grounded in Gulf technology market demand data and government programme analysis."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enterprise and government demand for your technology product. Covers government programme mapping, enterprise buyer interviews, competitive analysis, and a Go/Defer/Kill recommendation.",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Gulf technology investment. Covers enterprise adoption modelling, ICV requirement analysis, in-country investment cost, and investor-ready projections.",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technology market entry. Legal structure navigation, government programme identification, local partner identification, and first-contract acquisition.",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GTM team. Government and enterprise outreach, local partner pipeline, and first-revenue milestone tracking.",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technology investment. Government-programme-validated demand data, ICV strategy, and investor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for Gulf technology — from AI-powered Arabic language processing and Gulf-specific regulatory compliance automation to predictive government procurement analytics."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enterprise software companies or also with cloud, cybersecurity, and AI companies entering the Gulf?|All technology categories. We work with enterprise software, cloud, cybersecurity, AI, and hardware technology companies on Gulf market 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"Which Gulf market should technology companies enter first?|UAE is typically first — it has the most accessible regulatory environment and serves as a proof of concept before Saudi Arabia which offers the largest long-term opportunity.",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technology market entry engagement take?|Typically 8–12 weeks for government programme mapping, enterprise demand research, and local partner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government programme contacts and local technology partners in the Gulf?|Yes. Government programme mapping and local partner identification are core parts of our Gulf technology market entry service."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technology market entry, Saudi Arabia tech GTM strategy, UAE technology consulting, GCC technology advisory, Gulf IT market entry, Middle East technology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"regions": "UAE, Saudi Arabia, Qatar, Kuwait",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"stat1n": "$30B+",</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enterprise technology spending in 2023",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15% annually as Vision 2030 investment, government digitalisation, and private sector technology adoption all accelerate.",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technology mandate",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"stat2b": "Government programme directors, enterprise technology buyers, and local partners — every engagement grounded in direct primary research.",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technology market entry strategy delivery",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government programme mapping and enterprise demand research delivers Gulf technology market entry strategies efficiently."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"slug": "africa-fintech-market-entry",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"parent": "fintech-payments",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"title": "Africa Fintech Market Entry Strategy | GreyRadius Consulting",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fintech companies entering Africa with market entry strategy, regulatory mapping, mobile money integration, and partner identification across Nigeria, Kenya, Ghana, and South Africa.",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"h1": "Africa fintech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mobile money to financial inclusion — strategy for fintech companies entering Africa.",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"hero": "Africa's fintech market is one of the most dynamic and impactful in the world — with mobile money infrastructure that has brought 500 million people into formal financial services, a young digitally-native population hungry for financial products, and regulatory environments that are actively supporting fintech innovation. International fintech companies across payments, lending, insurance, and B2B financial services are all evaluating African market entry. GreyRadius helps fintech companies validate African market demand, navigate diverse regulatory frameworks, integrate with mobile money infrastructure, and raise capital for Africa operations.",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"Africa's fintech funding has grown from near zero in 2015 to $3B+ annually — creating a vibrant ecosystem that international fintech companies can partner with or compete against. Nigeria's fintech regulatory sandbox, Kenya's proven M-Pesa infrastructure, and South </w:t>
      </w:r>
      <w:r>
        <w:rPr>
          <w:rFonts w:ascii="Courier New" w:eastAsia="Courier New" w:hAnsi="Courier New" w:cs="Courier New"/>
          <w:color w:val="1B2A4A"/>
          <w:sz w:val="16"/>
          <w:szCs w:val="16"/>
        </w:rPr>
        <w:lastRenderedPageBreak/>
        <w:t>Africa's sophisticated capital market create three distinct entry points for international fintech companies with different products and risk appetites.",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"Africa fintech market is projected to reach $65B in revenue by 2030 — growing at 20% annually as mobile money expansion, smartphone adoption, and financial inclusion initiatives all scale.",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"Nigeria is Africa's largest fintech market by transaction volume — with 200 million people, a young population, and an active central bank digital currency programme creating significant fintech opportunity.",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"East Africa's M-Pesa ecosystem has created the world's most developed mobile money infrastructure — Kenya, Tanzania, and Uganda all have interoperable mobile money systems that fintech companies can integrate with as distribution rails.",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"South Africa's sophisticated financial system creates B2B fintech opportunities — wealth management technology, insurtech, and payment infrastructure serving South Africa's formal financial sector are all growing rapidly."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fragmentation across African markets creates compliance complexity — each country has different central bank fintech licensing requirements, consumer protection rules, and AML standards.",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"Currency risk is significant across many African markets — Naira, Cedi, and other African currencies have experienced significant devaluation that affects unit economics for fintech companies holding local currency.",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"Mobile money interoperability is still limited in West Africa — unlike East Africa's mature M-Pesa ecosystem, West African mobile money operates in more fragmented competitive dynamics.",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"Trust in digital financial services is still developing in some markets — consumer hesitancy around digital lending and digital insurance creates slower adoption curves than in more mature digital markets."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"Africa fintech market prioritisation|You need to identify which African fintech markets offer the best combination of demand, regulatory access, and operational feasibility for your product.",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"Country-specific regulatory pathway|You need to understand fintech licensing requirements, mobile money integration rules, and consumer protection regulations in each target African market.",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"Mobile money and bank partner identification|You need to identify M-Pesa, MTN Mobile Money, and Airtel Money integration partners plus banking institution partners in each target market.",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"Africa fintech GTM strategy|You need a go-to-market plan covering consumer or SME acquisition, mobile money distribution, and first-customer milestone in each market.",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Africa fintech|You need a pitch book grounded in African market demand data that resonates with Africa-focused investors and DFIs.",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fintech companies are positioned in your target African markets."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or SME demand for your fintech product across priority African markets. Covers consumer surveys, regulatory mapping, mobile money ecosystem analysis, and a Go/Defer/Kill recommendation.",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Africa fintech investment. Covers market demand modelling, currency risk analysis, regulatory cost, and investor-ready projections.",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"End-to-end Africa fintech market entry. Regulatory pathway, mobile money partner identification, bank partner development, and first-customer milestone.",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"Embedded Africa GTM team. Consumer and SME outreach, mobile money distribution pipeline, and first-revenue milestone tracking.",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Africa fintech investment. Market-demand-validated sizing, currency risk narrative, and investor identification across Africa-focused VC and DFI.",</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for Africa fintech — from alternative credit scoring using mobile money transaction data to vernacular language customer service and fraud detection."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"Which African fintech markets does GreyRadius prioritise?|Nigeria, Kenya, Ghana, South Africa, and Egypt as the five most commercially significant African fintech markets.",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B2C consumer fintech or also with B2B and infrastructure fintech in Africa?|Both. We work with consumer payments and lending on market entry and GTM, and with B2B fintech infrastructure on market entry and partner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Africa fintech market entry engagement take?|Typically 8–12 weeks for market prioritisation, regulatory mapping, and mobile money partner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mobile money and banking partners for fintech companies entering Africa?|Yes. M-Pesa, MTN Mobile Money, and banking institution partner identification are core parts of our Africa fintech market entry service."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"keywords": "Africa fintech market entry, Nigeria fintech GTM strategy, Kenya fintech consulting, Africa mobile money advisory, Africa financial services market entry, Sub-Saharan fintech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"regions": "Nigeria, Kenya, Ghana, South Africa, Egypt, Tanzania",</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"stat1n": "$65B+",</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"stat1l": "Africa fintech market revenue by 2030",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20% annually as mobile money expansion, smartphone adoption, and financial inclusion initiatives all scale across the continent.",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Africa fintech mandate",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"stat2b": "Consumers, mobile money operators, and central bank fintech officials — every engagement grounded in direct primary research.",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"stat3l": "Africa fintech market entry strategy delivery",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mobile money ecosystem mapping and consumer demand research delivers Africa fintech market entry strategies efficiently."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"slug": "southeast-asia-healthtech-entry",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"parent": "healthtech",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"title": "Southeast Asia Healthtech Market Entry | GreyRadius",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healthtech companies entering Southeast Asia with market entry strategy, hospital system GTM, regulatory mapping, and fundraising across Indonesia, Vietnam, Thailand, and Philippines.",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"h1": "Southeast Asia healthtech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digital health product to Southeast Asian patient — strategy for healthtech entering ASEAN.",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"hero": "Southeast Asia is one of the world's most significant healthtech opportunities — combining 680 million people, rapidly growing private healthcare infrastructure, post-pandemic telehealth adoption, and significant healthcare workforce shortages that create demand for technology-enabled healthcare delivery. International healthtech companies across telemedicine, diagnostic AI, hospital information systems, digital pharmacy, and health insurance technology are all evaluating Southeast Asia market entry. GreyRadius helps healthtech companies navigate the regulatory and cultural diversity of Southeast Asian healthcare markets.",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"Healthcare system investment across Southeast Asia is at a multi-decade high — Vietnam's hospital construction programme, Indonesia's JKN national health insurance expansion, Thailand's medical tourism infrastructure, and Philippines' universal healthcare implementation are all creating specific healthtech procurement opportunities in 2024–2028.",</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digital health market is projected to reach $40B by 2027 — growing at 22% annually as telemedicine adoption, hospital digitalisation, and national health insurance expansion all accelerate.",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"Indonesia's JKN national health insurance with 240 million members is creating the largest single healthcare data ecosystem in Southeast Asia — creating healthtech integration opportunities.",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"Vietnam's 1,200 new hospital bed target annually is creating significant hospital information system and medical equipment procurement.",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"Thailand's medical tourism leadership is driving premium healthtech adoption — hospitals competing for international patients are investing in technology-enabled quality and patient experience."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classification of digital health products varies across ASEAN — each country has different medical device rules, telemedicine regulations, and health data privacy requirements.",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"Hospital IT infrastructure quality varies dramatically — Singapore's hospitals operate on par with leading global systems while rural Indonesian and Philippine hospitals have basic IT infrastructure.",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"Healthcare professional shortage affects healthtech adoption — countries with the greatest healthtech need often have the least capacity to implement and manage new technology.",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"Health data privacy regulation is evolving rapidly — PDPA in Thailand, Indonesia's Personal Data Protection Law, and Vietnam's data localisation requirements all affect health data architecture."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healthtech market prioritisation|You need to identify which ASEAN markets offer the best combination of healthtech demand, regulatory access, and hospital infrastructure for your product.",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"Country-specific regulatory classification and pathway|You need to understand medical device registration, telemedicine licensing, and health data requirements in each target market.",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"Hospital system GTM strategy for Southeast Asia|You need a go-to-market plan covering private hospital chain acquisition, government hospital tender strategy, and clinical champion development.",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healthtech partner identification|You need hospital group technology buyers, clinical validation partners, and health insurance integration partners.",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Southeast Asia healthtech|You need a pitch book grounded in ASEAN health market demand data.",</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"Government health programme access|You need to identify national health insurance and government digitalisation programme opportunities."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"Validate hospital and patient demand across priority Southeast Asian markets. Covers hospital CIO interviews, regulatory mapping, and a market-by-market Go/Defer/Kill recommendation.",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Southeast Asia healthtech investment. Covers adoption modelling across markets, regulatory cost, and investor-ready projections.",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"End-to-end Southeast Asia healthtech market entry. Regulatory pathways, hospital chain GTM, clinical champion development, and first-deployment per market.",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"Embedded Southeast Asia healthtech GTM team. Hospital outreach, clinical champion pipeline, and first-revenue tracking.",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Southeast Asia healthtech. ASEAN-health-market-validated demand and investor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local language clinical documentation to AI diagnostics adapted for Southeast Asian disease burden."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"Which Southeast Asian markets does GreyRadius prioritise for healthtech?|Indonesia and Vietnam for volume, Thailand and Singapore for premium and export-quality deployments.",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consumer digital health or also with enterprise hospital technology?|Both.",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Southeast Asia healthtech entry engagement take?|Typically 8–12 weeks for multi-market research.",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hospital chain technology buyers across ASEAN?|Yes."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"keywords": "Southeast Asia healthtech market entry, ASEAN digital health GTM strategy, Indonesia healthtech consulting, Vietnam hospital technology advisory, Southeast Asia telemedicine market 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"regions": "Indonesia, Vietnam, Thailand, Philippines, Malaysia, Singapore",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"stat1n": "$40B+",</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"stat1l": "Southeast Asia digital health market by 2027",</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22% annually as telemedicine adoption, hospital digitalisation, and national health insurance expansion all accelerate.",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Southeast Asia healthtech mandate",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"stat2b": "Hospital CIOs, clinical department heads, and health regulators across ASEAN — every engagement grounded in direct primary research.",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multi-market hospital demand mapping delivers Southeast Asia healthtech market entry strategies efficiently."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"slug": "india-edtech-market-entry",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"parent": "education-edtech",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EdTech Market Entry Strategy | GreyRadius Consulting",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EdTech companies enter India with market entry strategy, school system GTM, regulatory mapping, and fundraising support.",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"h1": "India EdTech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learning product to Indian classroom — strategy for EdTech companies entering India.",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EdTech market is one of the world's largest and most dynamic — with 260 million K-12 students, 40 million higher education enrolments, a government committed to National Education Policy 2020 implementation, and a consumer base that demonstrated extraordinary willingness to pay for quality education during the pandemic. International EdTech companies across K-12 learning platforms, higher education technology, professional upskilling, and language learning are all evaluating India market entry. GreyRadius helps international EdTech companies navigate India's education complexity with primary research, regulatory mapping, and execution-led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National Education Policy 2020 is transforming the education system — digital learning integration, multiple entry and exit points in higher education, and vocational education emphasis are all creating specific EdTech procurement opportunities. CBSE and state board digital content mandates, government school tablet programmes, and university technology investments are all creating institutional EdTech demand in 2024–2028.",</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"India's EdTech market is projected to reach $30B by 2026 — making it the world's second-largest EdTech market after China and the most internationally accessible given English-language content advantage.",</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"India's test preparation segment is the largest and most commercially proven EdTech category — JEE, NEET, UPSC, and professional certification preparation represent multi-billion dollar markets with demonstrated willingness to pay.",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"NEP 2020 implementation is creating school EdTech demand — digital content, learning management systems, and teacher training platforms are all seeing growing school district procurement.",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"India's professional upskilling market is growing at 20%+ — IT professionals, business professionals, and government employees are all investing in digital skills and professional certifications."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"India's education market is intensely competitive — Byju's, Unacademy, Vedantu, and hundreds of funded EdTech companies have built significant market positions making differentiation essential.",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"Consumer price sensitivity in Indian education is extreme — Indian families are willing to invest significantly in education but expect value at Indian price points that are dramatically below international benchmarks.",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"School and government procurement is slow and complex — state education department procurement requires tender participation, ministry approval, and often pilot programmes before scale.",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"Regional language diversity requires localisation — serving students across Hindi, Tamil, Telugu, Marathi, and Bengali requires significant content localisation investment."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 EdTech demand validation|You need to validate Indian student, parent, and institutional demand for your EdTech product including price sensitivity and curriculum alignment.",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 EdTech GTM strategy|You need a go-to-market plan covering direct-to-consumer, school, and institutional channels tailored to Indian education market dynamics.",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"School and institutional partner identification|You need to identify private school chains, coaching institute networks, and government education procurement opportunities.",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curriculum alignment|You need to understand CBSE, ICSE, and state board curriculum requirements and NEP 2020 compliance for your EdTech product.",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EdTech|You need a pitch book grounded in Indian education demand data for your fundraising.",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positioning in India EdTech|You need to understand how to differentiate from established Indian EdTech incumbents."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student, parent, and institutional demand for your EdTech product. Covers consumer surveys, school administrator interviews, regulatory mapping, and Go/Defer/Kill recommendation.",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India EdTech investment. Covers demand modelling, price adaptation economics, regulatory cost, and investor-ready projections.",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EdTech market entry. Curriculum alignment pathway, school partner identification, consumer GTM strategy, and first-user milestone.",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EdTech GTM team. Consumer acquisition, school outreach, and first-revenue milestone tracking.",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EdTech investment. India-education-market-validated demand and investor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Hindi and regional language personalised learning to AI tutoring adapted for Indian curriculum."</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K-12 EdTech or also with higher education and professional learning companies entering India?|All segments.",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"What India EdTech segments does GreyRadius focus on?|K-12 learning, test preparation, higher education technology, and professional upskilling.",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EdTech market entry engagement take?|Typically 8–12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school chain and institutional partners for EdTech companies in India?|Yes."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EdTech market entry, India education technology GTM strategy, India K-12 consulting, India learning platform advisory, India EdTech strategy, India education market 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Delhi NCR, Mumbai, Bengaluru, Chennai, Hyderabad, Pune, Tier 2 cities",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"stat1n": "$30B+",</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EdTech market by 2026",</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"stat1b": "World's second-largest EdTech market — English-language content advantage makes it the most internationally accessible large EdTech opportunity.",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EdTech mandate",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"stat2b": "Students, parents, school administrators, and education officials — every engagement grounded in direct primary research.",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"stat3l": "India EdTech market entry strategy delivery",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curriculum mapping and student demand research delivers India EdTech market entry strategies efficiently."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"slug": "africa-agritech-market-entry",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"parent": "agritech",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"title": "Africa Agritech Market Entry Strategy | GreyRadius Consulting",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agritech companies entering Africa with market entry strategy, farmer demand validation, distribution partner identification, and fundraising across Nigeria, Kenya, Ethiopia, and Ghana.",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"h1": "Africa agritech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agricultural technology to African smallholder farmer — strategy for agritech companies entering Africa.",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"hero": "Africa is home to 600 million smallholder farmers who produce 70% of the continent's food — and the agricultural technology opportunity to improve their productivity, access to inputs, market linkages, and financial services is one of the most significant and impactful in global agritech. Digital input marketplaces, precision agriculture platforms, agricultural drones, crop insurance technology, and farmer financial services companies are all evaluating African market entry. GreyRadius helps agritech companies validate African farmer demand, identify cooperative and NGO distribution partners, navigate regulatory frameworks, and raise capital.",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"African governments are prioritising agricultural productivity as a food security and economic development priority — Ethiopia's agricultural transformation, Nigeria's food security investment, Kenya's agritech policy support, and Ghana's agricultural digitisation programme are all creating government-backed demand channels for agritech companies in 2024–2028.",</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"African agritech market is projected to reach $4B by 2028 — growing at 18% annually as mobile connectivity reaches rural farming communities and governments invest in agricultural digitalisation.",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"East African agritech is the most mature — Kenya's M-Pesa-enabled agricultural fintech, Ethiopia's commodity exchange, and Tanzania's digital extension services create established infrastructure that new agritech companies can build 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"Nigeria's agricultural technology opportunity is extraordinary — 80 million smallholder farmers across Africa's largest economy represent the continent's largest single agritech addressable market.",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"Satellite-based crop monitoring is enabling precision agriculture for African smallholders — services that previously required expensive ground-based sensors are now accessible through affordable mobile-delivered satellite analysis."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"Reaching African smallholder farmers at scale requires extensive field operations — farmers in dispersed rural geographies across Nigeria, Ethiopia, and Tanzania require field agent networks or cooperative partnerships to access.",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"Mobile connectivity gaps limit digital-only agritech — while mobile penetration is growing, 2G and limited smartphone access in many rural African farming communities constrain app-based agritech deployment.",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"Farmer willingness to pay for agritech services is very limited — smallholder farmers operating on thin margins require clear, demonstrable productivity improvement before adopting paid technology services.",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"Post-harvest loss and market linkage are often larger farmer pain points than crop production — agritech that addresses storage, transportation, and market access can achieve faster adoption than production-focused technology."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"Africa agritech market prioritisation|You need to identify which African markets offer the best combination of farmer demand, mobile infrastructure, and government support for your agritech product.",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"Farmer demand validation|You need primary research with African smallholder farmers to validate technology adoption willingness and willingness to pay.",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and cooperative partner identification|You need to identify agricultural cooperatives, input dealers, NGOs, and government extension services as distribution partners.",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"Africa agritech GTM strategy|You need a market-by-market farmer acquisition plan covering cooperative distribution, mobile extension, and government programme access.",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"Government agricultural programme access|You need to map government agricultural digitalisation programmes, input subsidy schemes, and smallholder support programmes.",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Africa agritech|You need a pitch book grounded in African farmer demand data that resonates with impact investors and DFIs."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"Validate African farmer demand across priority markets with primary research and a market-by-market recommendation.",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"Full financial and operational feasibility for Africa agritech investment covering farmer adoption modelling and distribution economics.",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"End-to-end Africa agritech market entry including cooperative partner identification and government programme access.",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"Embedded Africa GTM team covering farmer and cooperative outreach and first-revenue milestone tracking.",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Africa agritech with impact narrative and DFI-aligned investment thesis.",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satellite crop monitoring adapted for African smallholder plots to mobile-first AI advisory in local languages."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"Which African agritech markets does GreyRadius prioritise?|Kenya, Nigeria, Ethiopia, Ghana, and Tanzania as the five most active agritech markets.",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crop production technology or also with post-harvest and market linkage agritech?|All categories.",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Africa agritech market entry engagement take?|Typically 8–12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cooperative and NGO distribution partners in Africa?|Yes."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"keywords": "Africa agritech market entry, Nigeria agritech GTM strategy, Kenya agritech consulting, Africa smallholder farmer technology, Africa precision agriculture market 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"regions": "Kenya, Nigeria, Ethiopia, Ghana, Tanzania, Rwanda",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"stat1n": "$4B+",</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"stat1l": "Africa agritech market by 2028",</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18% annually as mobile connectivity reaches rural farming communities and governments invest in agricultural digitalisation.",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Africa agritech mandate",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"stat2b": "Smallholder farmers, agricultural cooperatives, and government programme officials — every engagement grounded in direct primary research.",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"stat3l": "Africa agritech market entry strategy delivery",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farmer demand research and cooperative partner mapping delivers Africa agritech market entry strategies efficiently."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"slug": "india-manufacturing-market-entry",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"parent": "manufacturing-industrials",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Manufacturing Market Entry Strategy | GreyRadius",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manufacturing companies enter India with PLI scheme access, market entry strategy, supplier identification, regulatory pathway, and fundraising support.",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"h1": "India manufacturing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plant to Indian production — strategy for manufacturers entering India.",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"hero": "India is the world's fastest-growing major manufacturing destination — with the Production Linked Incentive scheme offering $26B in subsidies across 14 sectors, 100% FDI permitted in most manufacturing sectors, and a government committed to making India a global manufacturing hub. International manufacturers across electronics, pharmaceuticals, automotive, textiles, chemicals, and food processing are all evaluating India manufacturing investment. GreyRadius helps international manufacturers validate Indian market and export demand, navigate PLI scheme access, identify local partners, and raise capital for India manufacturing investment.",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"The PLI scheme application windows are time-limited — electronics, pharmaceutical, and several other sector PLI schemes have active application windows in 2024–2026 that offer 4–6% production-linked incentives. Companies that secure PLI approval in these windows will have significant cost advantages over later entrants. China+1 supply chain diversification is creating urgency for India manufacturing investment decisions.",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"India's PLI scheme has attracted $35B+ in manufacturing investment commitments across electronics, pharmaceuticals, food processing, and automotive sectors — creating supply chain opportunities for component and raw material suppliers.",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"India's electronics manufacturing is growing at 25% annually — Apple's India manufacturing expansion, Samsung's production scale-up, and Dixon Technologies' contract manufacturing growth are all creating supplier ecosystem development opportunities.",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"India's pharmaceutical manufacturing is the world's third-largest by volume — producing 20% of global generic medicine supply and creating significant API and pharmaceutical equipment supplier demand.",</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"India's logistics cost is declining — dedicated freight corridors, multimodal logistics parks, and highway network expansion are reducing manufacturing logistics cost and improving supply chain competitiveness."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"challenges_market":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"PLI scheme eligibility requirements are complex — minimum investment thresholds, incremental sales requirements, and sector-specific local content rules all require careful assessment before application.",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"Labour regulations across Indian states vary — employment laws, factory act compliance, and labour dispute resolution differ across states, requiring state-specific regulatory assessment.",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"Supply chain development for quality inputs is challenging — India's manufacturing ecosystem has gaps in precision components, specialty chemicals, and advanced materials that require either import or local development investment.",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"Infrastructure quality varies significantly across states — power reliability, road connectivity, and port access differ dramatically between India's manufacturing clusters."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"PLI scheme eligibility and application strategy|You need to assess your eligibility for relevant PLI schemes, understand application requirements, and develop an application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"India manufacturing demand and export validation|You need to validate domestic demand for your product in India and export market access from Indian production.",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"State selection and industrial park identification|You need to identify the right Indian state and industrial zone for your manufacturing investment based on infrastructure, incentives, and labour availability.",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"Supplier and partner identification|You need to identify local input suppliers, contract manufacturers, and joint venture partners in India.",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manufacturing|You need a pitch book grounded in PLI scheme economics and Indian market demand data.",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compliance pathway|You need to understand factory licensing, environmental clearance, and sector-specific regulatory requirements for your manufacturing investment."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"Validate domestic and export demand for manufactured products from India. Covers buyer interviews, PLI scheme mapping, competitive analysis, and a Go/Defer/Kill recommendation.",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India manufacturing investment. Covers demand modelling, PLI incentive impact, infrastructure cost, and bankable financial projections.",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manufacturing market entry. PLI application strategy, state selection, industrial park identification, supplier development, and first-production milestone.",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manufacturing GTM team. Customer acquisition, supplier development pipeline, and first-revenue milestone tracking.",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manufacturing investment. PLI-incentive-validated economics, demand data, and investor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production quality monitoring and predictive maintenance to supply chain optimisation and demand forecasting for Indian and export markets."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electronics manufacturers or also with pharmaceutical, automotive, and food processing companies entering India?|All manufacturing sectors.",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does GreyRadius support PLI scheme access?|We assess eligibility, map scheme requirements, and help prepare market analysis components for applications — formal PLI applications are submitted by the company.",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manufacturing market entry engagement take?|Typically 8–12 weeks for demand validation, PLI assessment, state selection, and partner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Indian joint venture and supply chain partners for manufacturing companies?|Yes."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manufacturing market entry, PLI scheme consulting, India factory market entry, India production strategy, India manufacturing advisory, Make in India consulting",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Gujarat, Maharashtra, Tamil Nadu, Telangana, Karnataka, Rajasthan",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"stat1n": "$35B+",</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"stat1l": "Manufacturing investment committed under India PLI schemes",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"stat1b": "Attracting global manufacturers across electronics, pharma, food processing, and automotive with 4-6% production-linked incentives.",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manufacturing mandate",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"stat2b": "Industrial buyers, PLI scheme officials, and supply chain managers — every engagement grounded in direct primary research.",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manufacturing market entry strategy delivery",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PLI scheme analysis and supply chain mapping delivers India manufacturing market entry strategies efficiently."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"slug": "gulf-healthcare-market-entry",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"parent": "healthcare-life-sciences",</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"title": "Gulf Healthcare Market Entry Strategy | GreyRadius Consulting",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healthcare companies enter Gulf markets with market entry strategy, MOH regulatory mapping, hospital GTM, and partner identification across UAE and Saudi Arabia.",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"h1": "Gulf healthcare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health product to Gulf patient — strategy for healthcare companies entering the GCC.",</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 healthcare market is one of the most significant opportunities for international healthcare companies — combining rapidly expanding private healthcare infrastructure, significant government healthcare investment, high per-capita healthcare spending, and regulatory frameworks that are actively encouraging international healthcare company participation. Hospital groups, medical device companies, pharmaceutical companies, healthcare technology providers, and wellness businesses are all evaluating Gulf healthcare market entry. GreyRadius helps healthcare companies validate Gulf patient and institutional demand, navigate MOH and DHA regulatory requirements, identify hospital partners, and execute market 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"Saudi Arabia's Vision 2030 healthcare transformation — expanding private healthcare capacity from 40% to 65% of total capacity — is creating extraordinary healthcare market entry opportunities. UAE's medical tourism ambitions and Abu Dhabi's Cleveland Clinic partnership model are demonstrating government appetite for international healthcare investment. The healthcare companies establishing Gulf relationships in 2024–2027 will capture decade-long contract and patient flow value.",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"Gulf healthcare market is projected to reach $100B by 2030 — growing at 8% annually as Vision 2030 healthcare investment, population growth, and rising chronic disease burden all drive spending.",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 is privatising 290 government hospitals — creating the world's largest healthcare privatisation programme that requires international operational partners and management expertise.",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"UAE medical tourism target of 500,000 international patients annually is driving premium healthcare infrastructure investment — hospitals competing for international patients are investing in internationally certified quality.",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"Gulf diabetes and obesity prevalence rates are among the world's highest — chronic disease management, preventive health, and metabolic health represent significant and growing healthcare demand."</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"MOH and DHA product registration timelines vary — medical device registration in Saudi Arabia, UAE, and Qatar all have different dossier requirements and approval timelines.",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"Saudisation requirements affect healthcare staffing — Saudi nationals must represent a minimum percentage of healthcare workforce, creating recruitment challenges for international operators.",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"Cultural requirements affect healthcare delivery — gender-segregated facilities, Arabic language requirements, and prayer time management all affect healthcare operations in Gulf markets.",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"Healthcare pricing is regulated — Saudi Arabia and other Gulf markets regulate healthcare pricing, limiting pricing flexibility for international healthcare companies."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"Gulf healthcare demand validation|You need to validate Gulf patient and institutional demand for your healthcare product or service including cultural requirements and pricing constraints.",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"MOH regulatory registration pathway|You need to understand medical device registration, pharmaceutical approval, and healthcare facility licensing requirements in each Gulf market.",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"Gulf hospital partner identification|You need to identify hospital groups, specialist clinics, and medical centres as commercial partners or customers in Gulf markets.",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"Gulf healthcare GTM strategy|You need a go-to-market plan covering hospital and clinic acquisition, physician relationship development, and patient acquisition tailored to Gulf healthcare culture.",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healthcare investment|You need a pitch book grounded in Gulf healthcare demand data and Vision 2030 investment analysis.",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"Saudisation and ICV compliance strategy|You need a workforce localisation and in-country value strategy for Gulf healthcare operations."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patient and hospital demand for your healthcare product. Covers patient surveys, hospital procurement interviews, MOH regulatory mapping, and a Go/Defer/Kill recommendation.",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Gulf healthcare investment. Covers demand modelling, regulatory cost, Saudisation compliance, and investor-ready projections.",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healthcare market entry. MOH regulatory pathway, hospital partner identification, physician network development, and first-patient or first-contract milestone.",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healthcare GTM team. Hospital outreach, physician development, and first-revenue milestone tracking.",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healthcare investment. Healthcare-demand-validated market sizing, Vision 2030 narrative, and investor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for Gulf healthcare — from Arabic-language patient communication to AI diagnostics for Gulf-prevalent chronic disease conditions."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hospital operators or also with medical device, pharmaceutical, and healthtech companies entering the Gulf?|All healthcare categories.",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"Which Gulf healthcare markets does GreyRadius prioritise?|UAE and Saudi Arabia as primary markets — UAE for faster entry and Saudi Arabia for the largest long-term opportunity.",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healthcare market entry engagement take?|Typically 8–12 weeks for patient demand research, MOH regulatory mapping, and hospital partner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hospital group partners for healthcare companies entering Gulf markets?|Yes."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healthcare market entry, Saudi Arabia healthcare GTM strategy, UAE health consulting, GCC medical advisory, Gulf healthcare strategy, Middle East health market 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"regions": "UAE, Saudi Arabia, Qatar, Kuwait",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"stat1n": "$100B+",</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healthcare market by 2030",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8% annually as Vision 2030 healthcare investment, population growth, and rising chronic disease burden all drive spending.",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healthcare mandate",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"stat2b": "Hospital procurement heads, MOH officials, and patients — every engagement grounded in direct primary research.",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healthcare market entry strategy delivery",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MOH regulatory mapping and hospital demand research delivers Gulf healthcare market entry strategies efficiently."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"slug": "africa-healthcare-market-entry",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"parent": "healthcare-life-sciences",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"title": "Africa Healthcare Market Entry Strategy | GreyRadius",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healthcare companies entering Africa with market entry strategy, regulatory mapping, hospital GTM, and partner identification across Nigeria, Kenya, South Africa, and Egypt.",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"h1": "Africa healthcare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health product to African patient — strategy for healthcare companies entering Africa.",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"hero": "Africa's healthcare market is one of the most significant long-term opportunities in global healthcare — with 1.4 billion people, a rapidly growing middle class investing in private healthcare, significant government healthcare investment driven by universal health coverage ambitions, and healthcare infrastructure deficits that create demand for international products and services. Medical device companies, pharmaceutical businesses, hospital operators, healthcare technology companies, and diagnostic providers are all evaluating African market entry. GreyRadius helps healthcare companies navigate Africa's regulatory and market diversity to validate demand and execute 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"Africa's universal health coverage progress is creating healthcare demand — Kenya's NHIF, Nigeria's NHIA, Ghana's NHIS, and Rwanda's Mutuelle de Santé are all expanding coverage that drives pharmaceutical, diagnostic, and healthcare technology procurement. Private healthcare investment in Africa exceeded $5B in 2023 as the continent's growing middle class demands quality private healthcare.",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"Africa private healthcare market is growing at 10% annually — driven by middle-class income growth, inadequate public healthcare capacity, and rising chronic disease burden across urban populations.",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"Nigeria is Africa's largest healthcare market by spending — with 220 million people and the continent's largest urban middle class creating significant private healthcare demand.",</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"Medical tourism within Africa is growing — South Africa, Egypt, Morocco, and Kenya are all established medical destinations for other African countries, creating referral network opportunities.",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"Diagnostic infrastructure is severely limited across most of Sub-Saharan Africa — point-of-care diagnostics, mobile diagnostic units, and digital pathology represent significant market opportunities."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approval processes vary dramatically across African markets — NAFDAC in Nigeria, KEBS in Kenya, SAHPRA in South Africa, and EFSA in Egypt all have different dossier requirements and timelines.",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infrastructure for healthcare products is fragmented — cold chain logistics, product storage, and last-mile healthcare distribution are all underdeveloped in many African markets.",</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"Payment and health insurance coverage is limited — most healthcare spending in Africa is out-of-pocket, limiting the addressable market to consumers who can pay at point of service.",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"Healthcare professional shortages affect healthcare delivery — the limited availability of specialist physicians, trained nurses, and laboratory technicians constrains what healthcare technology can be deployed."</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"Africa healthcare market prioritisation|You need to identify which African markets offer the best combination of healthcare demand, regulatory access, and distribution feasibility.",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"Country-specific regulatory pathway|You need to understand medical device registration, pharmaceutical approval, and healthcare facility licensing in each target African market.",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"Hospital and clinic partner identification|You need to identify hospital groups, diagnostic chains, and clinic networks as commercial partners.",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"Africa healthcare GTM strategy|You need a country-by-country market launch plan covering hospital and clinic acquisition.",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"Government health programme access|You need to map universal health coverage programme procurement opportunities.",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Africa healthcare|You need a pitch book grounded in African healthcare demand data."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"Validate patient and hospital demand across priority African markets with primary research.",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Africa healthcare investment.",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"End-to-end Africa healthcare market entry including regulatory pathway and hospital partner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"Embedded Africa healthcare GTM team for hospital and clinic outreach.",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Africa healthcare with impact narrative.",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telemedicine for Africa's physician shortage to AI diagnostics for prevalent African disease burden."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"Which African healthcare markets does GreyRadius prioritise?|Nigeria, Kenya, South Africa, Egypt, and Ghana.",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hospital operators or also with medical device and pharmaceutical companies?|All healthcare categories.",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Africa healthcare market entry engagement take?|Typically 8–12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hospital and diagnostic chain partners in Africa?|Yes."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"keywords": "Africa healthcare market entry, Nigeria healthcare GTM strategy, Kenya health consulting, Africa medical advisory, Africa hospital market entry, Sub-Saharan healthcare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"regions": "Nigeria, Kenya, South Africa, Egypt, Ghana, Ethiopia",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"stat1n": "10%",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"stat1l": "Africa private healthcare annual growth rate",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"stat1b": "Driven by middle-class income growth, inadequate public healthcare capacity, and rising chronic disease burden across urban African populations.",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Africa healthcare mandate",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"stat2b": "Hospital procurement heads, health regulators, and patients — every engagement grounded in direct primary research.",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"stat3l": "Africa healthcare market entry strategy delivery",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regulatory mapping and hospital demand research delivers Africa healthcare market entry strategies efficiently."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"slug": "vietnam-market-entry",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"parent": "manufacturing-industrials",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"title": "Vietnam Market Entry Strategy &amp; Consulting | GreyRadius",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Vietnam with market entry strategy, regulatory pathway mapping, GTM execution, and partner identification across manufacturing, FMCG, technology, and services.",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"h1": "Vietnam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Vietnamese consumer or manufacturer — strategy for Vietnam market 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"hero": "Vietnam is one of the world's most compelling market entry opportunities — combining the fastest-growing manufacturing economy in Southeast Asia, a rapidly expanding consumer middle class, strategic location connecting China and ASEAN, and a government actively courting foreign investment. International companies across manufacturing, FMCG, technology, financial services, education, and healthcare are all evaluating Vietnam market entry as the country's economic trajectory makes it one of Asia's most significant emerging markets. GreyRadius helps companies validate Vietnam demand, navigate regulatory complexity, identify the right partners, and execute market 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"market_timing": "Vietnam's manufacturing FDI exceeded $36B in 2023 — driven by China+1 supply chain diversification as multinationals shift production to Vietnam. Consumer spending growth at 8% annually is creating first-time buyer demand across FMCG, consumer electronics, and financial services. The companies entering Vietnam in 2024–2027 are establishing positions before the market reaches middle-income saturation.",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"Vietnam GDP per capita exceeded $4,000 in 2023 and is growing at 6% annually — rapidly approaching the middle-income threshold that triggers consumer goods premiumisation across FMCG, healthcare, and financial services.",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"Vietnam is now the world's 15th largest merchandise exporter — electronics, textiles, and footwear manufacturing for Apple, Samsung, Nike, and Adidas have created a sophisticated manufacturing ecosystem.",</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"Vietnam's digital economy exceeded $30B in 2023 — e-commerce, digital payments, and digital financial services are all growing at 25%+ driven by one of Asia's youngest and most digitally engaged populations.",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"Vietnam's population of 97 million with a median age of 31 creates one of Asia's most attractive long-term consumer market demographics."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"Vietnam's regulatory environment is evolving rapidly — business registration, sector licensing, and foreign investment rules change frequently requiring up-to-date regulatory guidance.",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fragmentation — traditional trade dominates outside major cities while modern trade is growing rapidly in Ho Chi Minh City and Hanoi, requiring parallel distribution strategies.",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"Vietnamese consumer preference for local brands is strong in some categories — food, personal care, and financial services all have strong local brand preferences that international brands must overcome.",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"Currency risk — Vietnam Dong devaluation risk and repatriation restrictions require careful financial planning for international companies."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"Vietnam demand validation|You need to validate Vietnamese consumer or enterprise demand for your product including price sensitivity and channel preference.",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business registration pathway|You need to understand business registration, sector licensing, and foreign investment requirements for your industry in Vietnam.",</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and channel partner identification|You need to identify Vietnamese distributors, agents, and retail chains as channel partners.",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"Vietnam GTM strategy|You need a go-to-market plan covering channel strategy, pricing, and first-customer acquisition tailored to Vietnamese market dynamics.",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"Manufacturing and supply chain partner identification|You need to identify Vietnamese contract manufacturers, suppliers, and logistics partners.",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Vietnam investment|You need a pitch book grounded in Vietnam market demand data."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or enterprise demand in Vietnam. Covers consumer surveys in Ho Chi Minh City and Hanoi, distributor interviews, competitive analysis, and a Go/Defer/Kill recommendation.",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Vietnam investment. Covers demand modelling, regulatory cost, distribution economics, and investor-ready projections.",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"End-to-end Vietnam market entry. Corporate structure navigation, regulatory approvals, partner identification, and first-customer acquisition.",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"Embedded Vietnam GTM team. Distribution and channel outreach, customer acquisition, and first-revenue milestone tracking.",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Vietnam investment. Vietnam-market-validated demand data and investor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for Vietnam — from Vietnamese language customer service to supply chain optimisation for Vietnam manufacturing operations."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consumer companies or also with manufacturing and B2B companies entering Vietnam?|All sectors.",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Vietnam market entry engagement take?|Typically 6–10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Vietnamese distribution and manufacturing partners?|Yes.",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"Which Vietnamese cities does GreyRadius focus on for market entry?|Ho Chi Minh City and Hanoi as primary markets, with Danang and Can Tho for specific manufacturing and agricultural sectors."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"keywords": "Vietnam market entry strategy, Vietnam GTM consulting, Vietnam business advisory, Vietnam market entry, Ho Chi Minh City market entry, Vietnam expansion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"regions": "Ho Chi Minh City, Hanoi, Danang, Binh Duong, Dong Nai",</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"stat1n": "$36B+",</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"stat1l": "Vietnam manufacturing FDI in 2023",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"stat1b": "China+1 supply chain diversification making Vietnam the fastest-growing manufacturing destination in Southeast Asia.",</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"stat2n": "30+",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Vietnam mandate",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"stat2b": "Vietnamese consumers, distributors, and government investment officials — every engagement grounded in direct primary research.",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"stat3l": "Vietnam market entry strategy delivery",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consumer demand mapping and regulatory research delivers Vietnam market entry strategies efficiently."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"slug": "indonesia-market-entry",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"title": "Indonesia Market Entry Strategy &amp; Consulting | GreyRadius",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Indonesia with market entry strategy, BPOM regulatory mapping, GTM execution, and partner identification across FMCG, technology, financial services, and manufacturing.",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"h1": "Indonesia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Indonesian consumer — strategy for companies entering Indonesia.",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"hero": "Indonesia is one of the world's most significant and complex market entry opportunities — the world's fourth-most-populous country with 270 million people, the largest economy in Southeast Asia, and a rapidly growing middle class that is driving consumer spending across FMCG, digital services, financial services, and healthcare. International companies across consumer goods, technology, fintech, healthcare, and manufacturing are all evaluating Indonesia market entry. GreyRadius helps companies navigate Indonesia's regulatory complexity, halal certification requirements, island geography distribution challenges, and political economy to execute successful market 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"Indonesia's middle class is projected to reach 150 million households by 2030 — creating one of the world's largest consumer market expansion opportunities. The Jokowi government's infrastructure investment programme has significantly improved logistics connectivity. Digital economy growth at 25% annually is creating e-commerce distribution channels that bypass traditional distribution fragmentation.",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"Indonesia GDP is projected to reach $5T by 2045 — making it the world's fifth-largest economy and the most significant long-term consumer market opportunity in Southeast Asia.",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"Indonesia's digital economy exceeded $80B in 2023 — Tokopedia, Shopee, and Lazada have created e-commerce infrastructure that allows international brands to reach 270 million consumers without full traditional distribution networks.",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"Halal certification through BPJPH is mandatory for food, beverage, and personal care products sold in Indonesia — non-certified products cannot be sold in the world's largest Muslim-majority country.",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"Indonesia's manufacturing sector is growing at 5% annually — electronics, automotive, food processing, and textile manufacturing are all expanding creating supplier and component demand."</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"Indonesia's island geography creates distribution complexity — reaching consumers across 17,000 islands requires either expensive logistics investment or reliance on fragmented regional distributors.",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"BPOM product registration timelines are long — food, pharmaceutical, and cosmetic product registration with BPOM can take 6-18 months before products can be sold.",</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"BPJPH halal certification is mandatory — the halal certification process and ongoing annual audit add compliance cost and time to market.",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"Indonesian regulatory environment is complex and evolving — local content requirements, import restrictions, and data localisation rules all affect international company operations."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"Indonesia demand validation|You need to validate Indonesian consumer or enterprise demand for your product including Halal requirements, price sensitivity, and channel preference.",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"BPOM and BPJPH regulatory pathway|You need to understand product registration, halal certification, and import licensing requirements for your product in Indonesia.",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and channel partner identification|You need to identify Indonesian national distributors, regional distributors, and e-commerce platform partners.",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"Indonesia GTM strategy|You need a go-to-market plan covering Java as first market, Sumatra as second market, and e-commerce as national distribution.",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Indonesia investment|You need a pitch book grounded in Indonesian market demand data.",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"Manufacturing and local partner identification|You need to identify Indonesian contract manufacturers, joint venture partners, and local content supply chain partners."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"Validate consumer or enterprise demand in Indonesia. Covers consumer surveys in Jakarta and major cities, distributor interviews, BPOM mapping, and a Go/Defer/Kill recommendation.",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Indonesia investment. Covers demand modelling, halal compliance cost, distribution economics, and investor-ready projections.",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Indonesia market entry. BPOM and BPJPH pathway, distributor identification, Java-first GTM strategy, and first-distribution milestone.",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Indonesia GTM team. Distributor and retailer outreach, e-commerce platform development, and first-revenue milestone tracking.",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Indonesia investment. Indonesia-market-validated demand data and investor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for Indonesia — from Bahasa Indonesia customer service to island geography logistics optimisation."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FMCG companies or also with technology and financial services companies entering Indonesia?|All sectors.",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Indonesia market entry engagement take?|Typically 8–12 weeks given BPOM and halal regulatory complexity.",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Indonesian national distributors?|Yes.",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"What is the recommended market entry sequence for Indonesia?|Java (Jakarta, Surabaya, Bandung) first — 60% of Indonesian purchasing power — before expanding to Sumatra and other islands."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"Indonesia market entry strategy, Indonesia GTM consulting, BPOM regulatory advisory, Indonesia halal market entry, Jakarta market entry, Indonesia business consulting",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"regions": "Jakarta, Surabaya, Bandung, Medan, Semarang, Makassar",</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"stat1n": "270M",</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"stat1l": "Indonesia population — Southeast Asia's largest market",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"stat1b": "World's fourth-most-populous country with a rapidly growing middle class driving consumer spending across FMCG, digital services, and financial services.",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Indonesia mandate",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"stat2b": "Indonesian consumers, distributors, and BPOM regulatory specialists — every engagement grounded in direct primary research.",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"stat3l": "Indonesia market entry strategy delivery",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halal certification mapping and consumer demand research delivers Indonesia market entry strategies efficiently."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"slug": "nigeria-market-entry",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"parent": "cpg-fmcg-retail",</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"title": "Nigeria Market Entry Strategy &amp; Consulting | GreyRadius",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Nigeria with market entry strategy, NAFDAC regulatory mapping, GTM execution, and partner identification across FMCG, technology, financial services, and healthcare.",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"h1": "Nigeria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Nigerian consumer — strategy for companies entering Nigeria.",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"hero": "Nigeria is Africa's largest economy and most dynamic commercial market — with 220 million people, the continent's largest urban middle class, a young and entrepreneurially vibrant population, and a business environment that rewards companies willing to navigate its complexity. International companies across FMCG, technology, financial services, healthcare, agriculture, and manufacturing are all evaluating Nigeria market entry as Africa's economic giant. GreyRadius helps companies validate Nigerian demand, navigate regulatory requirements, identify distributors and partners, and execute market entry strategies.",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"Nigeria's economic recovery from the 2023 naira devaluation is creating a reset opportunity — companies entering with well-structured local currency economics and the right distribution approach can establish market positions at relatively lower competitive intensity than before the economic adjustment. Long-term, Nigeria's demographic trajectory — the world's third-youngest population by median age — makes it one of the most significant consumer market opportunities of the next thirty years.",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"Nigeria GDP is projected to reach $1T by 2030 — making it Sub-Saharan Africa's largest economy and the anchor market for any serious Africa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"Lagos alone has 15 million+ people with the highest per-capita consumer spending in Sub-Saharan Africa — making it the natural first market for international consumer goods and services.",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"Nigeria's fintech market is Africa's most active — with over 200 licensed fintech companies and the CBN's open banking framework creating a sophisticated digital financial services ecosystem.",</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"Nigeria's healthcare market is severely underfunded — government health spending below 5% of GDP creates significant private healthcare opportunity for international medical device, pharmaceutical, and healthtech companies."</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"Nigeria's macroeconomic environment has been challenging — naira devaluation, forex availability constraints, and high inflation all create financial planning complexity for international companies.",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"NAFDAC registration timelines for food, pharmaceutical, and cosmetic products are 6-18 months — requiring advance planning before market launch.",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infrastructure outside Lagos is fragmented — reaching consumers in Abuja, Kano, Port Harcourt, and other major cities requires different distribution approaches than Lagos.",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"Security and operational risk varies by state — northern Nigeria has security challenges that affect distribution logistics and sales team deployment."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"Nigeria demand validation|You need to validate Nigerian consumer or enterprise demand including price sensitivity adjusted for current macroeconomic conditions and channel preference.",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"NAFDAC regulatory pathway|You need to understand NAFDAC registration requirements for your product category and the most efficient registration pathway.",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and channel partner identification|You need to identify Nigerian national distributors, Lagos specialist distributors, and regional agents.",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"Nigeria GTM strategy|You need a Lagos-first go-to-market plan covering FMCG, technology, or services market dynamics.",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"Currency and financial structure strategy|You need a naira-denominated pricing and financial structure strategy that manages forex risk.",</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Nigeria investment|You need a pitch book grounded in Nigerian market demand data."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or enterprise demand in Nigeria. Covers consumer surveys in Lagos and Abuja, NAFDAC mapping, competitive analysis, and a Go/Defer/Kill recommendation.",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Nigeria investment. Covers demand modelling, naira economics, regulatory cost, and investor-ready projections.",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"End-to-end Nigeria market entry. NAFDAC pathway, distributor identification, Lagos-first GTM, and first-distribution milestone.",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"Embedded Nigeria GTM team. Distributor and retail outreach, customer acquisition, and first-revenue milestone tracking.",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Nigeria investment. Nigeria-market-validated demand data and investor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for Nigeria — from Nigerian English and Pidgin customer service to distribution network optimisation across Lagos."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FMCG companies or also with technology and healthcare companies entering Nigeria?|All sectors.",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does GreyRadius manage naira currency risk in Nigeria market entry advice?|Currency risk analysis is integrated into every Nigeria market entry feasibility assessment — including local currency pricing strategy and repatriation risk.",</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Nigeria market entry engagement take?|Typically 8–12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Nigerian national distributors?|Yes."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"keywords": "Nigeria market entry strategy, Nigeria GTM consulting, Lagos market entry, NAFDAC regulatory advisory, Nigeria Africa business consulting, Nigeria expansion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"regions": "Lagos, Abuja, Port Harcourt, Kano, Ibadan",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"stat1n": "$1T+",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"stat1l": "Nigeria projected GDP by 2030",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"stat1b": "Sub-Saharan Africa's largest economy and the anchor market for any serious Africa commercial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Nigeria mandate",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"stat2b": "Nigerian consumers, distributors, and NAFDAC regulatory specialists — every engagement grounded in direct primary research.",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"stat3l": "Nigeria market entry strategy delivery",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Lagos consumer demand mapping and NAFDAC regulatory research delivers Nigeria market entry strategies efficiently."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"slug": "kenya-market-entry",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"parent": "fintech-payments",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"title": "Kenya Market Entry Strategy &amp; Consulting | GreyRadius",</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"meta": "GreyRadius helps international companies enter Kenya with market entry strategy, regulatory mapping, GTM execution, and partner identification across fintech, FMCG, technology, healthcare, and agritech.",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"h1": "Kenya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Kenyan consumer — strategy for companies entering Kenya.",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"hero": "Kenya is East Africa's most commercially sophisticated market — with M-Pesa-enabled digital financial infrastructure that is the world's most advanced, a growing technology and startup ecosystem anchored in Nairobi's Silicon Savannah, East Africa's strongest consumer middle class, and a regulatory environment that has been receptive to international business investment. Kenya serves as the natural East Africa hub market — companies that succeed in Kenya typically expand to Tanzania, Uganda, Ethiopia, and Rwanda from their Kenyan base. GreyRadius helps companies validate Kenyan demand, navigate regulatory requirements, and execute market 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"Kenya's digital economy is growing at 25% annually — M-Pesa's 30 million users, Safaricom's M-Pesa SuperApp ambitions, and the government's Big Four Agenda technology investment are all creating specific commercial opportunities. Kenya's agricultural technology market, fintech infrastructure, and healthcare system are all at inflection points that create significant first-mover opportunities in 2024–2027.",</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"Kenya is East Africa's largest economy with GDP of $110B growing at 5% annually — making it the natural anchor market for any East Africa commercial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"M-Pesa processes $300B in annual transactions — creating the world's most advanced mobile money ecosystem that fintech, commerce, and financial services companies can build 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"Kenya's tech ecosystem has produced 7 tech unicorns — Jumia, Twiga Foods, Cellulant, and others demonstrating that Kenya can support venture-scale technology businesses.",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"Kenya's agricultural sector employs 40% of the population — creating significant demand for agritech, agricultural finance, and agricultural supply chain technology."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"Kenya's regulatory environment has become more complex — the CBK's fintech licensing framework, the Data Protection Act, and sector-specific regulations all require careful compliance planning.",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Kenyan businesses and regional players is intense — Safaricom, Equity Bank, and established Kenyan tech companies have significant home-market advantages.",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"Infrastructure quality outside Nairobi is uneven — power reliability, internet connectivity, and road access vary significantly across different Kenyan regions.",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"Consumer purchasing power is lower than urban Nairobi suggests — income distribution is highly unequal and mass-market products must be priced for the median Kenyan consumer."</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"Kenya demand validation|You need to validate Kenyan consumer or enterprise demand for your product including M-Pesa integration requirements and price sensitivity.",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pathway|You need to understand CBK, CA, and sector-specific licensing requirements for your business in Kenya.",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"M-Pesa and digital distribution strategy|You need to understand how to integrate with M-Pesa and digital channels as primary distribution.",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"Kenya GTM strategy|You need a go-to-market plan covering Nairobi first, then expansion to Mombasa and secondary cities.",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"East Africa expansion strategy|You need a Kenya-anchored East Africa expansion roadmap covering Tanzania, Uganda, and Ethiopia.",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"Partner and distributor identification|You need Kenyan distribution, technology, and financial service partners."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or enterprise demand in Kenya. Covers Nairobi consumer surveys, M-Pesa ecosystem mapping, regulatory research, and a Go/Defer/Kill recommendation.",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Kenya investment with M-Pesa-integrated business model economics.",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"End-to-end Kenya market entry including regulatory pathway, M-Pesa integration strategy, and first-customer milestone.",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"Embedded Kenya GTM team covering consumer and enterprise outreach and first-revenue tracking.",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Kenya and East Africa investment.",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Swahili language customer service to M-Pesa-integrated credit scoring."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fintech companies or also with FMCG, agritech, and healthcare companies entering Kenya?|All sectors.",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Kenya market entry engagement take?|Typically 6–10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East Africa expansion strategy from a Kenya base?|Yes — we map the Kenya-to-East-Africa expansion pathway as part of Kenya market entry engagements.",</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"Can GreyRadius identify Kenyan distribution and technology partners?|Yes."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"keywords": "Kenya market entry strategy, Kenya GTM consulting, Nairobi market entry, East Africa market entry, Kenya business consulting, M-Pesa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"regions": "Nairobi, Mombasa, Kisumu, Nakuru",</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"stat1n": "$300B+",</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"stat1l": "Annual M-Pesa transaction value",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"stat1b": "Making Kenya's mobile money ecosystem the world's most advanced — creating digital distribution infrastructure that fintech and commerce companies can build 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Kenya mandate",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"stat2b": "Kenyan consumers, M-Pesa ecosystem participants, and regulatory officials — every engagement grounded in direct primary research.",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"stat3l": "Kenya market entry strategy delivery",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M-Pesa ecosystem mapping and consumer demand research delivers Kenya market entry strategies efficiently."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"slug": "saudi-arabia-market-entry",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"parent": "hospitality-tourism",</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"title": "Saudi Arabia Market Entry Strategy &amp; Consulting | GreyRadius",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Saudi Arabia with market entry strategy, SFDA and SASO regulatory mapping, Saudisation compliance, ICV strategy, GTM execution, and partner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"h1": "Saudi Arabia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Vision 2030 opportunity to Saudi revenue — strategy for companies entering Saudi Arabia.",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"hero": "Saudi Arabia is the world's most significant market entry opportunity tied to a government transformation programme — Vision 2030 is investing $1T+ to diversify the Saudi economy, develop tourism infrastructure, build entertainment sectors, expand manufacturing, and grow technology industries. International companies across virtually every commercial sector are evaluating Saudi Arabia market entry as the Kingdom opens to foreign business and invests in economic development. GreyRadius helps companies validate Saudi demand, navigate SFDA, SASO, and sector-specific regulatory requirements, develop Saudisation compliance strategies, identify Saudi partners, and execute market 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"Saudi Arabia's Vision 2030 implementation is accelerating — NEOM is under construction, the Red Sea Project is attracting international tourism, Diriyah Gate is nearing completion, and Vision Realisation Programmes across 13 sectors are all actively procuring goods and services. The companies entering Saudi Arabia in 2024–2027 are entering during the most active procurement period in the Kingdom's modern history.",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Arabia's non-oil GDP is growing at 8% annually — driven by Vision 2030 investment across tourism, entertainment, technology, manufacturing, and financial services.",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Arabia's entertainment sector grew from near zero in 2016 to $25B+ in 2024 — creating massive demand for entertainment technology, hospitality, F&amp;B, retail, and consumer services.",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Arabia's population of 35 million with 60% under 35 creates one of the most brand-aspirational and experience-hungry consumer demographics in any major economy.",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"Saudisation targets are accelerating — Vision 2030 employment targets require companies operating in Saudi Arabia to meet sector-specific Saudi national employment thresholds."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"Saudisation (Nitaqat) requirements are mandatory — companies must hire minimum percentages of Saudi nationals which varies by sector and company size, creating workforce localisation requirements.",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"SFDA product registration for food, pharmaceutical, and cosmetic products is required — timelines vary from 3 months to 2 years depending on product category.",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Arabia's ICV programme requires localisation investment — the In-Kingdom Value Add programme requires companies to demonstrate local employment, procurement, and manufacturing contribution.",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"Business culture requires sustained relationship investment — Saudi business decisions are made through personal trust relationships that take time to develop."</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 demand validation|You need to validate Saudi consumer or government demand for your product including cultural requirements and Vision 2030 alignment.",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"Regulatory pathway|You need to understand SFDA, SASO, CITC, and sector-specific regulatory requirements and timelines.",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"Saudisation and ICV strategy|You need a workforce localisation and in-country value strategy that meets regulatory requirements while managing operational cost.",</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"Saudi partner identification|You need to identify Saudi distributors, local partners, and joint venture candidates with the right relationships and capabilities.",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"Saudi GTM strategy|You need a go-to-market plan aligned with Saudi business culture and Vision 2030 procurement priorities.",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Saudi investment|You need a pitch book grounded in Saudi market demand data and Vision 2030 investment analysis."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"Validate Saudi consumer or government demand. Covers consumer surveys, Vision 2030 programme mapping, regulatory analysis, and a Go/Defer/Kill recommendation.",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Saudi Arabia investment including Saudisation cost and ICV requirements.",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"End-to-end Saudi Arabia market entry. Regulatory pathway, Saudi partner identification, Saudisation strategy, and first-contract milestone.",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"Embedded Saudi GTM team. Government and enterprise outreach, Saudi partner pipeline, and first-revenue tracking.",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Saudi Arabia investment. Vision 2030-aligned demand data and investor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Arabic language processing to Vision 2030 programme alignment analytics."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consumer companies or also with government, technology, and industrial companies entering Saudi Arabia?|All sectors.",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Saudi Arabia market entry engagement take?|Typically 8–12 weeks given regulatory and cultural complexity.",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Saudi joint venture partners and distributors?|Yes.",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does GreyRadius approach Saudisation compliance strategy?|We assess sector-specific Saudisation requirements, model the workforce economics, and identify Saudi talent recruitment and training partners."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"keywords": "Saudi Arabia market entry strategy, Saudi GTM consulting, Vision 2030 market entry, Riyadh business consulting, Saudi Arabia advisory, KSA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"regions": "Riyadh, Jeddah, Dammam, NEOM, Red Sea",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"stat1n": "$1T+",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"stat1l": "Vision 2030 programme investment commitment",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"stat1b": "The world's largest government economic transformation programme creating procurement opportunities across virtually every commercial sector.",</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Saudi Arabia mandate",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"stat2b": "Saudi consumers, government programme officials, and Saudi business leaders — every engagement grounded in direct primary research.",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"stat3l": "Saudi Arabia market entry strategy delivery",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Vision 2030 programme mapping and consumer demand research delivers Saudi Arabia market entry strategies efficiently."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"slug": "uae-market-entry",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"parent": "hospitality-tourism",</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"title": "UAE Market Entry Strategy &amp; Consulting | GreyRadius",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the UAE with market entry strategy, DHA and MOHAP regulatory mapping, free zone versus mainland structure, GTM execution, and partner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"h1": "UAE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ambition to Dubai and Abu Dhabi revenue — strategy for companies entering the UAE.",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"hero": "The UAE is the most accessible and internationally connected market entry point in the Gulf and Middle East — combining 100% foreign ownership now permitted across most sectors, no corporate tax for most businesses, world-class infrastructure, a highly international resident population, and a strategic location connecting Europe, Africa, South Asia, and the Far East. Technology companies, FMCG brands, financial services firms, healthcare providers, education companies, and professional services businesses are all entering the UAE as their first Gulf and Middle East market. GreyRadius helps companies validate UAE demand, navigate free zone versus mainland structure decisions, access specific regulatory pathways, and execute GTM strategies.",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"UAE's post-COVID economic recovery has been extraordinary — Dubai recorded record trade, tourism, and business establishment statistics in 2023. Abu Dhabi's ADNOC diversification, Mubadala investment programmes, and Abu Dhabi Economic Vision 2030 are all creating specific procurement and investment opportunities. The UAE is simultaneously the easiest Gulf market to enter and the most competitive — the companies entering with differentiated products and strong execution in 2024–2027 will capture durable market positions.",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"insights":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"UAE GDP is growing at 4% annually with non-oil sectors growing at 7% — driven by trade, tourism, financial services, and technology sector development.",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"Dubai's Expo 2020 legacy — new districts, infrastructure, and international connectivity — has positioned it as the most internationally connected business hub outside Singapore.",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"UAE's 200+ nationalities create a consumer market that bridges global brand preferences — international brands that succeed in UAE have a global consumer validation story.",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"100% foreign ownership reform has transformed UAE market entry — the mandatory local partner requirement has been eliminated for most sectors, simplifying market entry structure."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"UAE market is saturated with international brands — differentiation and consumer attention are increasingly difficult in an intensely competitive retail, F&amp;B, and services market.",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"Free zone versus mainland structure decision has significant implications — free zone companies cannot directly serve UAE consumers without a mainland distributor agreement.",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"Real estate and operational costs in Dubai are among the highest in the region — office, retail, and warehouse costs require careful financial modelling.",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"Consumer acquisition cost is high — Dubai's sophisticated media market and high cost-per-click digital advertising require significant marketing investment."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"UAE demand validation|You need to validate UAE consumer or enterprise demand for your product including the international resident and tourism market dynamics.",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"Free zone versus mainland structure|You need to understand the implications of each structure for your business model and select the right option.",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"UAE GTM strategy|You need a go-to-market plan covering Dubai-first launch, retail or digital distribution, and consumer or enterprise acquisition.",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"DHA, MOHAP, and sector regulatory pathway|You need to understand regulatory requirements for your product or service category in the UAE.",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"Partner and distributor identification|You need UAE distributors, retail partners, or joint venture candidates.",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UAE operations|You need a pitch book grounded in UAE market demand data."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"Validate UAE consumer or enterprise demand. Covers consumer surveys, enterprise buyer interviews, regulatory mapping, and a Go/Defer/Kill recommendation.",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UAE investment including free zone versus mainland cost analysis.",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"End-to-end UAE market entry. Structure selection, regulatory pathway, distribution partner identification, and first-revenue milestone.",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"Embedded UAE GTM team. Consumer and enterprise outreach, partner pipeline, and first-revenue tracking.",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UAE investment. UAE-market-validated demand data and investor identification.",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for UAE — from multilingual customer service to UAE-specific regulatory compliance automation."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consumer brands or also with technology and financial services companies entering UAE?|All sectors.",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UAE market entry engagement take?|Typically 6–10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UAE distributors and retail partners?|Yes.",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"Free zone or mainland — which does GreyRadius recommend?|It depends on your business model. We assess the implications of each structure for your specific product and customer type before making a recommendation."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"keywords": "UAE market entry strategy, Dubai GTM consulting, Abu Dhabi market entry, UAE business advisory, Dubai market entry consulting, UAE expansion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"regions": "Dubai, Abu Dhabi, Sharjah, Ajman",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"stat1n": "200+",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"stat1l": "Nationalities living and working in the UAE",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"stat1b": "Creating a consumer market that bridges global brand preferences — UAE market validation gives international brands a globally relevant proof point.",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UAE mandate",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"stat2b": "UAE consumers across nationalities, enterprise buyers, and sector regulators — every engagement grounded in direct primary research.",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"stat3l": "UAE market entry strategy delivery",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UAE consumer demand mapping and regulatory research delivers UAE market entry strategies efficiently."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"slug": "singapore-market-entry",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"title": "Singapore Market Entry Strategy &amp; Consulting | GreyRadius",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Singapore with market entry strategy, MAS and MOH regulatory mapping, GTM execution, and partner identification across technology, financial services, healthcare, and FMCG.",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"h1": "Singapore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Singapore revenue — strategy for companies entering Singapore.",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"hero": "Singapore is the world's most internationally connected business hub — combining political stability, rule of law, English language business environment, 100% foreign ownership permitted, low corporate tax, world-class infrastructure, and strategic location at the heart of Southeast Asia. Singapore serves as the natural regional headquarters for Southeast Asia and APAC operations, and as a premium consumer market in its own right. Technology companies, financial services firms, healthcare businesses, FMCG brands, and professional services companies all use Singapore as their Asia entry point. GreyRadius helps companies validate Singapore demand, navigate MAS, MOH, and sector-specific regulatory requirements, and execute market 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"Singapore's post-pandemic economic recovery has been stronger than any other major economy in Asia — GDP growth, FDI inflows, and business establishment activity are all at multi-year highs. Singapore's digital economy leadership, biomedical hub development, and green finance ambitions are creating specific commercial procurement opportunities in 2024–2027 that sophisticated companies can access.",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"Singapore GDP per capita exceeded $85,000 in 2023 — making it the world's highest per-capita income economy and a premium consumer market for international brands testing Asia-Pacific positioning.",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"Singapore's financial services sector represents 14% of GDP — making it Asia's leading wealth management, capital markets, and insurance hub with significant fintech and financial technology procurement demand.",</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"Singapore's Smart Nation initiative is the most comprehensive government digital transformation programme in Southeast Asia — creating GovTech procurement opportunities across healthcare, transport, education, and public services.",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"Singapore's biomedical manufacturing sector exports $50B+ annually — creating demand for pharmaceutical equipment, clinical research services, and healthcare technology."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"Singapore's market size is small — 5.8 million people means Singapore alone cannot justify the investment required to build Asian operations; Singapore must be positioned as a regional hub entry point.",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"Talent competition is intense — Singapore's tight labour market and Employment Pass requirements make hiring international talent increasingly expensive and competitive.",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"Cost of operations is high — office, retail, and residential real estate costs are among Asia's highest, requiring careful financial modelling for Singapore-based operations.",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"Singapore market saturation in some sectors — financial services, technology, and FMCG in particular are intensely competitive with every major international brand already present."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"Singapore demand validation and hub assessment|You need to validate Singapore consumer or enterprise demand and assess whether Singapore is the right APAC hub versus alternatives like Hong Kong, Dubai, or Amsterdam.",</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"MAS, MOH, and sector regulatory pathway|You need to understand MAS financial licensing, HSA medical device registration, and sector-specific regulatory requirements.",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"Singapore corporate structure and tax optimisation|You need to determine the right Singapore corporate structure to maximise regional operational efficiency and tax efficiency.",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"Singapore GTM strategy|You need a go-to-market plan covering Singapore-first launch and ASEAN expansion from Singapore base.",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"Regional partner and distributor identification|You need Singapore-based regional distributors, system integrators, and business development partners with ASEAN reach.",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Singapore and APAC operations|You need a pitch book grounded in Singapore and APAC demand data."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"Validate Singapore consumer or enterprise demand and APAC hub rationale. Covers consumer surveys, enterprise buyer interviews, regulatory mapping, and a Go/Defer/Kill recommendation.",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Singapore investment including hub economics and ASEAN expansion cost modelling.",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"End-to-end Singapore market entry. Regulatory pathway, corporate structure, partner identification, and first-Singapore-revenue milestone.",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"Embedded Singapore GTM team. Consumer and enterprise outreach, ASEAN partner pipeline, and first-revenue milestone tracking.",</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"Investor-ready pitch books for Singapore and APAC investment. Singapore-validated demand data and APAC expansion thesis.",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for Singapore — from Singapore-English customer service to Smart Nation programme integration."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"Should companies enter Singapore directly or use a regional hub structure?|Singapore's hub advantages — low tax, rule of law, talent access — typically justify a regional headquarters structure even for companies whose primary markets are Indonesia or Vietnam.",</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financial services companies or also with technology and healthcare companies entering Singapore?|All sectors.",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Singapore market entry engagement take?|Typically 6–8 weeks — Singapore's regulatory environment is significantly faster and more predictable than other Asian markets.",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Singapore-based regional distributors and partners?|Yes."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"keywords": "Singapore market entry strategy, Singapore GTM consulting, MAS regulatory pathway, Singapore APAC hub strategy, Singapore business advisory, Southeast Asia hub market 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"regions": "Singapore — with ASEAN regional hub mandate",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"stat1n": "$85,000+",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"stat1l": "Singapore GDP per capita — world's highest",</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"stat1b": "Making Singapore a premium consumer market and Asia's most internationally connected business hub for regional headquarters.",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Singapore mandate",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"stat2b": "Singapore consumers, MAS-regulated financial buyers, and enterprise technology heads — every engagement grounded in direct primary research.",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"stat3l": "Singapore market entry strategy delivery",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MAS regulatory mapping and enterprise demand research delivers Singapore market entry strategies efficiently."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"slug": "thailand-market-entry",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"parent": "hospitality-tourism",</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"title": "Thailand Market Entry Strategy &amp; Consulting | GreyRadius",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companies enter Thailand with market entry strategy, FDA and BOI regulatory mapping, GTM execution, and partner identification across FMCG, healthcare, technology, tourism, and manufacturing.",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"h1": "Thailand market entry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product to Thai consumer or manufacturer — strategy for companies entering Thailand.",</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"hero": "Thailand is Southeast Asia's second-largest economy and one of the most internationally open markets in the region — with a well-established manufacturing base, a sophisticated consumer market driven by Bangkok's urban middle class, Southeast Asia's leading medical tourism destination, and a government actively promoting foreign investment through the Board of Investment's generous incentive programme. International companies across FMCG, healthcare, technology, manufacturing, and hospitality are all evaluating Thailand market entry. GreyRadius helps companies validate Thai demand, navigate BOI and FDA regulatory frameworks, identify the right distributors and partners, and execute market entry.",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"Thailand's BOI is actively promoting investment in target sectors including electric vehicles, digital economy, medical devices, food processing, and high-value services — with tax exemptions of up to 8 years and import duty exemptions for qualifying investments. Companies entering Thailand with BOI-eligible products in 2024–2027 can access significant investment incentives while establishing market positions before competition intensifies.",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"Thailand GDP is projected to reach $700B by 2027 — growing at 4% annually with tourism recovery, manufacturing investment, and domestic consumption all contributing.",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"Thailand is Southeast Asia's leading medical tourism destination — attracting 3.5 million international medical tourists annually generating $4.5B in healthcare revenue.",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"Thailand's EV production ambition — targeting 30% EV production by 2030 — is creating significant EV supply chain and charging infrastructure investment demand.",</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"Bangkok's modern trade retail infrastructure is comparable to developed markets — Central Group, The Mall, and Big C have created world-class retail distribution channels."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"Thailand's regulatory environment is bureaucratic — BOI application, FDA product registration, and business licensing all require patience and local expertise to navigate efficiently.",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"Thai language is essential for mass-market consumer products — while English is used in business, consumer marketing and product labelling in Thai is required for effective mass-market penetration.",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"Distribution outside Bangkok is fragmented — modern trade penetration drops significantly outside Bangkok, Chiang Mai, and Phuket requiring traditional trade distribution for national coverage.",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local Thai brands is strong — food, personal care, and healthcare sectors all have well-established local Thai brands with strong consumer loyalty."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"Thailand demand validation|You need to validate Thai consumer or enterprise demand for your product including price sensitivity and Thai cultural requirements.",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"BOI application and incentive access|You need to understand BOI eligibility criteria, application requirements, and incentive packages for your business.",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"FDA Thailand registration pathway|You need to understand Thai FDA registration requirements for food, pharmaceutical, cosmetic, and medical device products.",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"Thailand GTM strategy|You need a Bangkok-first go-to-market plan expanding to Chiang Mai, Phuket, and provincial markets.",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"Distributor and partner identification|You need Thai national distributors, modern trade buyers, and healthcare or technology partners.",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Thailand investment|You need a pitch book grounded in Thai market demand data."</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"Validate Thai consumer or enterprise demand. Covers Bangkok consumer surveys, modern trade buyer interviews, BOI mapping, and a Go/Defer/Kill recommendation.",</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Thailand investment including BOI incentive impact modelling.",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"End-to-end Thailand market entry. BOI application strategy, FDA registration, distributor identification, and first-distribution milestone.",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"Embedded Thailand GTM team. Distributor and retail outreach, consumer acquisition, and first-revenue milestone tracking.",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Thailand investment. Thailand-demand-validated data and BOI incentive narrative.",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Thai language customer service to BOI compliance monitoring."</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FMCG companies or also with healthcare, technology, and manufacturing companies entering Thailand?|All sectors.",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Thailand market entry engagement take?|Typically 6–10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BOI applications for Thailand investment?|We assess BOI eligibility and prepare market analysis components — formal BOI applications are submitted by the company.",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Thai distributors and modern trade buyers?|Yes."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"keywords": "Thailand market entry strategy, Thailand GTM consulting, Bangkok market entry, BOI Thailand advisory, Thailand business consulting, Thailand expansion strategy",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"regions": "Bangkok, Chiang Mai, Phuket, Pattaya, Eastern Economic Corridor",</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"stat1n": "3.5M",</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"stat1l": "International medical tourists to Thailand annually",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"stat1b": "Making Thailand Southeast Asia's leading medical tourism destination with $4.5B annual healthcare tourism revenue.",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Thailand mandate",</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"stat2b": "Thai consumers, modern trade buyers, and BOI officials — every engagement grounded in direct primary research.",</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"stat3l": "Thailand market entry strategy delivery",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BOI incentive mapping and Thai consumer demand research delivers Thailand market entry strategies efficiently."</w:t>
      </w:r>
    </w:p>
    <w:p w:rsidR="004F5965"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4F5965" w:rsidRDefault="00000000">
      <w:pPr>
        <w:shd w:val="clear" w:color="auto" w:fill="F0F0F0"/>
        <w:spacing w:before="14" w:after="14"/>
        <w:ind w:left="360"/>
      </w:pPr>
      <w:r>
        <w:rPr>
          <w:rFonts w:ascii="Courier New" w:eastAsia="Courier New" w:hAnsi="Courier New" w:cs="Courier New"/>
          <w:color w:val="1B2A4A"/>
          <w:sz w:val="16"/>
          <w:szCs w:val="16"/>
        </w:rPr>
        <w:t>]</w:t>
      </w:r>
    </w:p>
    <w:p w:rsidR="004F5965" w:rsidRDefault="004F5965">
      <w:pPr>
        <w:pBdr>
          <w:bottom w:val="single" w:sz="8" w:space="1" w:color="1B2A4A"/>
        </w:pBdr>
        <w:spacing w:before="200" w:after="200"/>
      </w:pPr>
    </w:p>
    <w:p w:rsidR="004F5965" w:rsidRDefault="00000000">
      <w:pPr>
        <w:pStyle w:val="Heading1"/>
      </w:pPr>
      <w:r>
        <w:t>Running total after this batch</w:t>
      </w:r>
    </w:p>
    <w:p w:rsidR="004F5965" w:rsidRDefault="00000000">
      <w:pPr>
        <w:spacing w:before="60" w:after="60"/>
      </w:pPr>
      <w:r>
        <w:rPr>
          <w:color w:val="222222"/>
        </w:rPr>
        <w:t>Batch 1:             15 pages</w:t>
      </w:r>
    </w:p>
    <w:p w:rsidR="004F5965" w:rsidRDefault="00000000">
      <w:pPr>
        <w:spacing w:before="60" w:after="60"/>
      </w:pPr>
      <w:r>
        <w:rPr>
          <w:color w:val="222222"/>
        </w:rPr>
        <w:t>Batch 1B:            10 pages</w:t>
      </w:r>
    </w:p>
    <w:p w:rsidR="004F5965" w:rsidRDefault="00000000">
      <w:pPr>
        <w:spacing w:before="60" w:after="60"/>
      </w:pPr>
      <w:r>
        <w:rPr>
          <w:color w:val="222222"/>
        </w:rPr>
        <w:t>Batch 2:             20 pages</w:t>
      </w:r>
    </w:p>
    <w:p w:rsidR="004F5965" w:rsidRDefault="00000000">
      <w:pPr>
        <w:spacing w:before="60" w:after="60"/>
      </w:pPr>
      <w:r>
        <w:rPr>
          <w:color w:val="222222"/>
        </w:rPr>
        <w:lastRenderedPageBreak/>
        <w:t>Batch 3:             20 pages</w:t>
      </w:r>
    </w:p>
    <w:p w:rsidR="004F5965" w:rsidRDefault="00000000">
      <w:pPr>
        <w:spacing w:before="60" w:after="60"/>
      </w:pPr>
      <w:r>
        <w:rPr>
          <w:color w:val="222222"/>
        </w:rPr>
        <w:t>Batch 4:             20 pages</w:t>
      </w:r>
    </w:p>
    <w:p w:rsidR="004F5965" w:rsidRDefault="00000000">
      <w:pPr>
        <w:spacing w:before="60" w:after="60"/>
      </w:pPr>
      <w:r>
        <w:rPr>
          <w:color w:val="222222"/>
        </w:rPr>
        <w:t>Batch 5:             20 pages</w:t>
      </w:r>
    </w:p>
    <w:p w:rsidR="004F5965" w:rsidRDefault="00000000">
      <w:pPr>
        <w:spacing w:before="60" w:after="60"/>
      </w:pPr>
      <w:r>
        <w:rPr>
          <w:color w:val="222222"/>
        </w:rPr>
        <w:t>Batch 678:           21 pages</w:t>
      </w:r>
    </w:p>
    <w:p w:rsidR="004F5965" w:rsidRDefault="00000000">
      <w:pPr>
        <w:spacing w:before="60" w:after="60"/>
      </w:pPr>
      <w:r>
        <w:rPr>
          <w:color w:val="222222"/>
        </w:rPr>
        <w:t>Batch 678b:          10 pages</w:t>
      </w:r>
    </w:p>
    <w:p w:rsidR="004F5965" w:rsidRDefault="00000000">
      <w:pPr>
        <w:spacing w:before="60" w:after="60"/>
      </w:pPr>
      <w:r>
        <w:rPr>
          <w:color w:val="222222"/>
        </w:rPr>
        <w:t>Batch 678c:           8 pages</w:t>
      </w:r>
    </w:p>
    <w:p w:rsidR="004F5965" w:rsidRDefault="00000000">
      <w:pPr>
        <w:spacing w:before="60" w:after="60"/>
      </w:pPr>
      <w:r>
        <w:rPr>
          <w:color w:val="222222"/>
        </w:rPr>
        <w:t>Batches 9+10+11:     20 pages</w:t>
      </w:r>
    </w:p>
    <w:p w:rsidR="004F5965" w:rsidRDefault="00000000">
      <w:pPr>
        <w:spacing w:before="60" w:after="60"/>
      </w:pPr>
      <w:r>
        <w:rPr>
          <w:color w:val="222222"/>
        </w:rPr>
        <w:t>TOTAL:              164 pages written across all batches</w:t>
      </w:r>
    </w:p>
    <w:p w:rsidR="004F5965" w:rsidRDefault="00000000">
      <w:pPr>
        <w:spacing w:before="400"/>
      </w:pPr>
      <w:r>
        <w:rPr>
          <w:i/>
          <w:iCs/>
          <w:color w:val="666666"/>
          <w:sz w:val="16"/>
          <w:szCs w:val="16"/>
        </w:rPr>
        <w:t>GreyRadius Consulting | SEO Build Pack Batches 9-10-11 | May 2026 | Confidential</w:t>
      </w:r>
    </w:p>
    <w:sectPr w:rsidR="004F596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8A23D3"/>
    <w:multiLevelType w:val="hybridMultilevel"/>
    <w:tmpl w:val="F82C6C7E"/>
    <w:lvl w:ilvl="0" w:tplc="7D383F9E">
      <w:start w:val="1"/>
      <w:numFmt w:val="bullet"/>
      <w:lvlText w:val="•"/>
      <w:lvlJc w:val="left"/>
      <w:pPr>
        <w:ind w:left="720" w:hanging="360"/>
      </w:pPr>
    </w:lvl>
    <w:lvl w:ilvl="1" w:tplc="F012AD36">
      <w:numFmt w:val="decimal"/>
      <w:lvlText w:val=""/>
      <w:lvlJc w:val="left"/>
    </w:lvl>
    <w:lvl w:ilvl="2" w:tplc="8694516C">
      <w:numFmt w:val="decimal"/>
      <w:lvlText w:val=""/>
      <w:lvlJc w:val="left"/>
    </w:lvl>
    <w:lvl w:ilvl="3" w:tplc="1CCC0E5E">
      <w:numFmt w:val="decimal"/>
      <w:lvlText w:val=""/>
      <w:lvlJc w:val="left"/>
    </w:lvl>
    <w:lvl w:ilvl="4" w:tplc="6716398E">
      <w:numFmt w:val="decimal"/>
      <w:lvlText w:val=""/>
      <w:lvlJc w:val="left"/>
    </w:lvl>
    <w:lvl w:ilvl="5" w:tplc="6C5A31E2">
      <w:numFmt w:val="decimal"/>
      <w:lvlText w:val=""/>
      <w:lvlJc w:val="left"/>
    </w:lvl>
    <w:lvl w:ilvl="6" w:tplc="0A0A66E0">
      <w:numFmt w:val="decimal"/>
      <w:lvlText w:val=""/>
      <w:lvlJc w:val="left"/>
    </w:lvl>
    <w:lvl w:ilvl="7" w:tplc="34F63984">
      <w:numFmt w:val="decimal"/>
      <w:lvlText w:val=""/>
      <w:lvlJc w:val="left"/>
    </w:lvl>
    <w:lvl w:ilvl="8" w:tplc="DA5A47B6">
      <w:numFmt w:val="decimal"/>
      <w:lvlText w:val=""/>
      <w:lvlJc w:val="left"/>
    </w:lvl>
  </w:abstractNum>
  <w:abstractNum w:abstractNumId="1" w15:restartNumberingAfterBreak="0">
    <w:nsid w:val="41CC75E0"/>
    <w:multiLevelType w:val="hybridMultilevel"/>
    <w:tmpl w:val="E9C27678"/>
    <w:lvl w:ilvl="0" w:tplc="6FBE66D0">
      <w:start w:val="1"/>
      <w:numFmt w:val="bullet"/>
      <w:lvlText w:val="●"/>
      <w:lvlJc w:val="left"/>
      <w:pPr>
        <w:ind w:left="720" w:hanging="360"/>
      </w:pPr>
    </w:lvl>
    <w:lvl w:ilvl="1" w:tplc="CC96545E">
      <w:start w:val="1"/>
      <w:numFmt w:val="bullet"/>
      <w:lvlText w:val="○"/>
      <w:lvlJc w:val="left"/>
      <w:pPr>
        <w:ind w:left="1440" w:hanging="360"/>
      </w:pPr>
    </w:lvl>
    <w:lvl w:ilvl="2" w:tplc="FBFECFFC">
      <w:start w:val="1"/>
      <w:numFmt w:val="bullet"/>
      <w:lvlText w:val="■"/>
      <w:lvlJc w:val="left"/>
      <w:pPr>
        <w:ind w:left="2160" w:hanging="360"/>
      </w:pPr>
    </w:lvl>
    <w:lvl w:ilvl="3" w:tplc="9DEE50CE">
      <w:start w:val="1"/>
      <w:numFmt w:val="bullet"/>
      <w:lvlText w:val="●"/>
      <w:lvlJc w:val="left"/>
      <w:pPr>
        <w:ind w:left="2880" w:hanging="360"/>
      </w:pPr>
    </w:lvl>
    <w:lvl w:ilvl="4" w:tplc="66C64E4A">
      <w:start w:val="1"/>
      <w:numFmt w:val="bullet"/>
      <w:lvlText w:val="○"/>
      <w:lvlJc w:val="left"/>
      <w:pPr>
        <w:ind w:left="3600" w:hanging="360"/>
      </w:pPr>
    </w:lvl>
    <w:lvl w:ilvl="5" w:tplc="DED05506">
      <w:start w:val="1"/>
      <w:numFmt w:val="bullet"/>
      <w:lvlText w:val="■"/>
      <w:lvlJc w:val="left"/>
      <w:pPr>
        <w:ind w:left="4320" w:hanging="360"/>
      </w:pPr>
    </w:lvl>
    <w:lvl w:ilvl="6" w:tplc="596009A2">
      <w:start w:val="1"/>
      <w:numFmt w:val="bullet"/>
      <w:lvlText w:val="●"/>
      <w:lvlJc w:val="left"/>
      <w:pPr>
        <w:ind w:left="5040" w:hanging="360"/>
      </w:pPr>
    </w:lvl>
    <w:lvl w:ilvl="7" w:tplc="F8406B10">
      <w:start w:val="1"/>
      <w:numFmt w:val="bullet"/>
      <w:lvlText w:val="●"/>
      <w:lvlJc w:val="left"/>
      <w:pPr>
        <w:ind w:left="5760" w:hanging="360"/>
      </w:pPr>
    </w:lvl>
    <w:lvl w:ilvl="8" w:tplc="9C785660">
      <w:start w:val="1"/>
      <w:numFmt w:val="bullet"/>
      <w:lvlText w:val="●"/>
      <w:lvlJc w:val="left"/>
      <w:pPr>
        <w:ind w:left="6480" w:hanging="360"/>
      </w:pPr>
    </w:lvl>
  </w:abstractNum>
  <w:num w:numId="1" w16cid:durableId="277415366">
    <w:abstractNumId w:val="1"/>
    <w:lvlOverride w:ilvl="0">
      <w:startOverride w:val="1"/>
    </w:lvlOverride>
  </w:num>
  <w:num w:numId="2" w16cid:durableId="4450072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965"/>
    <w:rsid w:val="000A6727"/>
    <w:rsid w:val="004F59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D8CAEE3A-6D5E-7D45-B043-AA9FCF2D3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22434</Words>
  <Characters>127874</Characters>
  <Application>Microsoft Office Word</Application>
  <DocSecurity>0</DocSecurity>
  <Lines>1065</Lines>
  <Paragraphs>300</Paragraphs>
  <ScaleCrop>false</ScaleCrop>
  <Company/>
  <LinksUpToDate>false</LinksUpToDate>
  <CharactersWithSpaces>150008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CB</cp:lastModifiedBy>
  <cp:revision>2</cp:revision>
  <dcterms:created xsi:type="dcterms:W3CDTF">2026-06-03T08:31:00Z</dcterms:created>
  <dcterms:modified xsi:type="dcterms:W3CDTF">2026-06-03T08:31:00Z</dcterms:modified>
</cp:coreProperties>
</file>