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C205B" w:rsidRDefault="00000000">
      <w:pPr>
        <w:spacing w:before="1440" w:after="80"/>
      </w:pPr>
      <w:r>
        <w:rPr>
          <w:b/>
          <w:bCs/>
          <w:color w:val="1B2A4A"/>
          <w:sz w:val="52"/>
          <w:szCs w:val="52"/>
        </w:rPr>
        <w:t>GREYRADIUS CONSULTING</w:t>
      </w:r>
    </w:p>
    <w:p w:rsidR="000C205B" w:rsidRDefault="00000000">
      <w:pPr>
        <w:spacing w:after="80"/>
      </w:pPr>
      <w:r>
        <w:rPr>
          <w:color w:val="E8612C"/>
          <w:sz w:val="30"/>
          <w:szCs w:val="30"/>
        </w:rPr>
        <w:t>SEO Build Pack — Batch 17</w:t>
      </w:r>
    </w:p>
    <w:p w:rsidR="000C205B" w:rsidRDefault="00000000">
      <w:pPr>
        <w:spacing w:after="80"/>
      </w:pPr>
      <w:r>
        <w:rPr>
          <w:b/>
          <w:bCs/>
          <w:color w:val="2E7D32"/>
          <w:sz w:val="22"/>
          <w:szCs w:val="22"/>
        </w:rPr>
        <w:t>VERIFIED: 20 pages | 20 unique slugs | No duplicates | Match confirmed</w:t>
      </w:r>
    </w:p>
    <w:p w:rsidR="000C205B" w:rsidRDefault="00000000">
      <w:pPr>
        <w:spacing w:after="200"/>
      </w:pPr>
      <w:r>
        <w:rPr>
          <w:b/>
          <w:bCs/>
          <w:color w:val="E8612C"/>
        </w:rPr>
        <w:t>Save JSON as: data/industry-pages-batch17.json</w:t>
      </w:r>
    </w:p>
    <w:p w:rsidR="000C205B" w:rsidRDefault="00000000">
      <w:pPr>
        <w:spacing w:after="600"/>
      </w:pPr>
      <w:r>
        <w:rPr>
          <w:i/>
          <w:iCs/>
          <w:color w:val="666666"/>
          <w:sz w:val="18"/>
          <w:szCs w:val="18"/>
        </w:rPr>
        <w:t>May 2026 | Confidential</w:t>
      </w:r>
    </w:p>
    <w:p w:rsidR="000C205B" w:rsidRDefault="000C205B">
      <w:pPr>
        <w:pBdr>
          <w:bottom w:val="single" w:sz="8" w:space="1" w:color="1B2A4A"/>
        </w:pBdr>
        <w:spacing w:before="200" w:after="200"/>
      </w:pPr>
    </w:p>
    <w:p w:rsidR="000C205B" w:rsidRDefault="00000000">
      <w:pPr>
        <w:pStyle w:val="Heading1"/>
      </w:pPr>
      <w:r>
        <w:t>How to use this document</w:t>
      </w:r>
    </w:p>
    <w:p w:rsidR="000C205B" w:rsidRDefault="00000000">
      <w:pPr>
        <w:spacing w:before="60" w:after="60"/>
      </w:pPr>
      <w:r>
        <w:rPr>
          <w:color w:val="222222"/>
        </w:rPr>
        <w:t>Three sections. Use in order.</w:t>
      </w:r>
    </w:p>
    <w:p w:rsidR="000C205B" w:rsidRDefault="00000000">
      <w:pPr>
        <w:pStyle w:val="ListParagraph"/>
        <w:numPr>
          <w:ilvl w:val="0"/>
          <w:numId w:val="2"/>
        </w:numPr>
        <w:spacing w:before="40" w:after="40"/>
      </w:pPr>
      <w:r>
        <w:rPr>
          <w:color w:val="222222"/>
        </w:rPr>
        <w:t>Section 1 — Page index: all 20 pages with output paths</w:t>
      </w:r>
    </w:p>
    <w:p w:rsidR="000C205B" w:rsidRDefault="00000000">
      <w:pPr>
        <w:pStyle w:val="ListParagraph"/>
        <w:numPr>
          <w:ilvl w:val="0"/>
          <w:numId w:val="2"/>
        </w:numPr>
        <w:spacing w:before="40" w:after="40"/>
      </w:pPr>
      <w:r>
        <w:rPr>
          <w:color w:val="222222"/>
        </w:rPr>
        <w:t xml:space="preserve">Section 2 — </w:t>
      </w:r>
      <w:proofErr w:type="spellStart"/>
      <w:r>
        <w:rPr>
          <w:color w:val="222222"/>
        </w:rPr>
        <w:t>Replit</w:t>
      </w:r>
      <w:proofErr w:type="spellEnd"/>
      <w:r>
        <w:rPr>
          <w:color w:val="222222"/>
        </w:rPr>
        <w:t xml:space="preserve"> prompt: copy and paste directly into </w:t>
      </w:r>
      <w:proofErr w:type="spellStart"/>
      <w:r>
        <w:rPr>
          <w:color w:val="222222"/>
        </w:rPr>
        <w:t>Replit</w:t>
      </w:r>
      <w:proofErr w:type="spellEnd"/>
      <w:r>
        <w:rPr>
          <w:color w:val="222222"/>
        </w:rPr>
        <w:t xml:space="preserve"> AI without modification</w:t>
      </w:r>
    </w:p>
    <w:p w:rsidR="000C205B" w:rsidRDefault="00000000">
      <w:pPr>
        <w:pStyle w:val="ListParagraph"/>
        <w:numPr>
          <w:ilvl w:val="0"/>
          <w:numId w:val="2"/>
        </w:numPr>
        <w:spacing w:before="40" w:after="40"/>
      </w:pPr>
      <w:r>
        <w:rPr>
          <w:color w:val="222222"/>
        </w:rPr>
        <w:t>Section 3 — JSON appendix: save as data/industry-pages-batch17.json</w:t>
      </w:r>
    </w:p>
    <w:p w:rsidR="000C205B" w:rsidRDefault="00000000">
      <w:pPr>
        <w:spacing w:before="60" w:after="60"/>
      </w:pPr>
      <w:r>
        <w:rPr>
          <w:color w:val="222222"/>
        </w:rPr>
        <w:t xml:space="preserve">Sequence: save JSON first, paste </w:t>
      </w:r>
      <w:proofErr w:type="spellStart"/>
      <w:r>
        <w:rPr>
          <w:color w:val="222222"/>
        </w:rPr>
        <w:t>Replit</w:t>
      </w:r>
      <w:proofErr w:type="spellEnd"/>
      <w:r>
        <w:rPr>
          <w:color w:val="222222"/>
        </w:rPr>
        <w:t xml:space="preserve"> prompt second, confirm 20 pages created.</w:t>
      </w:r>
    </w:p>
    <w:p w:rsidR="000C205B" w:rsidRDefault="00000000">
      <w:pPr>
        <w:spacing w:before="60" w:after="60"/>
      </w:pPr>
      <w:r>
        <w:rPr>
          <w:i/>
          <w:iCs/>
          <w:color w:val="666666"/>
          <w:sz w:val="18"/>
          <w:szCs w:val="18"/>
        </w:rPr>
        <w:t>All previous batches already built. This batch adds 20 new pages only.</w:t>
      </w:r>
    </w:p>
    <w:p w:rsidR="000C205B" w:rsidRDefault="000C205B">
      <w:pPr>
        <w:pBdr>
          <w:bottom w:val="single" w:sz="8" w:space="1" w:color="1B2A4A"/>
        </w:pBdr>
        <w:spacing w:before="200" w:after="200"/>
      </w:pPr>
    </w:p>
    <w:p w:rsidR="000C205B" w:rsidRDefault="00000000">
      <w:pPr>
        <w:pStyle w:val="Heading1"/>
      </w:pPr>
      <w:r>
        <w:t>Section 1: Page index — all 20 pages</w:t>
      </w:r>
    </w:p>
    <w:p w:rsidR="000C205B" w:rsidRDefault="00000000">
      <w:pPr>
        <w:spacing w:before="60" w:after="60"/>
      </w:pPr>
      <w:r>
        <w:rPr>
          <w:i/>
          <w:iCs/>
          <w:color w:val="666666"/>
          <w:sz w:val="18"/>
          <w:szCs w:val="18"/>
        </w:rPr>
        <w:t>20 unique slugs confirmed. No duplicates.</w:t>
      </w:r>
    </w:p>
    <w:p w:rsidR="000C205B" w:rsidRDefault="00000000">
      <w:pPr>
        <w:pStyle w:val="Heading2"/>
      </w:pPr>
      <w:r>
        <w:t>Pages 1–10</w:t>
      </w:r>
    </w:p>
    <w:p w:rsidR="000C205B" w:rsidRDefault="00000000">
      <w:pPr>
        <w:pStyle w:val="ListParagraph"/>
        <w:numPr>
          <w:ilvl w:val="0"/>
          <w:numId w:val="2"/>
        </w:numPr>
        <w:spacing w:before="40" w:after="40"/>
      </w:pPr>
      <w:r>
        <w:rPr>
          <w:color w:val="222222"/>
        </w:rPr>
        <w:t>1. [T3] India telecom and connectivity market entry strategy    → industries/technology/india-telecom-market-entry.html</w:t>
      </w:r>
    </w:p>
    <w:p w:rsidR="000C205B" w:rsidRDefault="00000000">
      <w:pPr>
        <w:pStyle w:val="ListParagraph"/>
        <w:numPr>
          <w:ilvl w:val="0"/>
          <w:numId w:val="2"/>
        </w:numPr>
        <w:spacing w:before="40" w:after="40"/>
      </w:pPr>
      <w:r>
        <w:rPr>
          <w:color w:val="222222"/>
        </w:rPr>
        <w:t>2. [T3] Gulf food security and agricultural technology market entry strategy    → industries/</w:t>
      </w:r>
      <w:proofErr w:type="spellStart"/>
      <w:r>
        <w:rPr>
          <w:color w:val="222222"/>
        </w:rPr>
        <w:t>agritech</w:t>
      </w:r>
      <w:proofErr w:type="spellEnd"/>
      <w:r>
        <w:rPr>
          <w:color w:val="222222"/>
        </w:rPr>
        <w:t>/gulf-food-security.html</w:t>
      </w:r>
    </w:p>
    <w:p w:rsidR="000C205B" w:rsidRDefault="00000000">
      <w:pPr>
        <w:pStyle w:val="ListParagraph"/>
        <w:numPr>
          <w:ilvl w:val="0"/>
          <w:numId w:val="2"/>
        </w:numPr>
        <w:spacing w:before="40" w:after="40"/>
      </w:pPr>
      <w:r>
        <w:rPr>
          <w:color w:val="222222"/>
        </w:rPr>
        <w:t>3. [T3] Southeast Asia manufacturing technology market entry strategy    → industries/manufacturing-industrials/southeast-asia-manufacturing-technology.html</w:t>
      </w:r>
    </w:p>
    <w:p w:rsidR="000C205B" w:rsidRDefault="00000000">
      <w:pPr>
        <w:pStyle w:val="ListParagraph"/>
        <w:numPr>
          <w:ilvl w:val="0"/>
          <w:numId w:val="2"/>
        </w:numPr>
        <w:spacing w:before="40" w:after="40"/>
      </w:pPr>
      <w:r>
        <w:rPr>
          <w:color w:val="222222"/>
        </w:rPr>
        <w:t>4. [T3] India green hydrogen market entry strategy    → industries/renewable-energy/india-renewable-hydrogen.html</w:t>
      </w:r>
    </w:p>
    <w:p w:rsidR="000C205B" w:rsidRDefault="00000000">
      <w:pPr>
        <w:pStyle w:val="ListParagraph"/>
        <w:numPr>
          <w:ilvl w:val="0"/>
          <w:numId w:val="2"/>
        </w:numPr>
        <w:spacing w:before="40" w:after="40"/>
      </w:pPr>
      <w:r>
        <w:rPr>
          <w:color w:val="222222"/>
        </w:rPr>
        <w:t>5. [T3] Gulf sustainability financing and green finance market entry strategy    → industries/carbon-markets/gulf-sustainability-financing.html</w:t>
      </w:r>
    </w:p>
    <w:p w:rsidR="000C205B" w:rsidRDefault="00000000">
      <w:pPr>
        <w:pStyle w:val="ListParagraph"/>
        <w:numPr>
          <w:ilvl w:val="0"/>
          <w:numId w:val="2"/>
        </w:numPr>
        <w:spacing w:before="40" w:after="40"/>
      </w:pPr>
      <w:r>
        <w:rPr>
          <w:color w:val="222222"/>
        </w:rPr>
        <w:t>6. [T3] Africa utility-scale solar energy market entry strategy    → industries/renewable-energy/africa-solar-energy-scale.html</w:t>
      </w:r>
    </w:p>
    <w:p w:rsidR="000C205B" w:rsidRDefault="00000000">
      <w:pPr>
        <w:pStyle w:val="ListParagraph"/>
        <w:numPr>
          <w:ilvl w:val="0"/>
          <w:numId w:val="2"/>
        </w:numPr>
        <w:spacing w:before="40" w:after="40"/>
      </w:pPr>
      <w:r>
        <w:rPr>
          <w:color w:val="222222"/>
        </w:rPr>
        <w:t>7. [T3] Southeast Asia government technology market entry strategy    → industries/technology/southeast-asia-govtech.html</w:t>
      </w:r>
    </w:p>
    <w:p w:rsidR="000C205B" w:rsidRDefault="00000000">
      <w:pPr>
        <w:pStyle w:val="ListParagraph"/>
        <w:numPr>
          <w:ilvl w:val="0"/>
          <w:numId w:val="2"/>
        </w:numPr>
        <w:spacing w:before="40" w:after="40"/>
      </w:pPr>
      <w:r>
        <w:rPr>
          <w:color w:val="222222"/>
        </w:rPr>
        <w:t>8. [T3] India coastal and port infrastructure market entry strategy    → industries/manufacturing-industrials/india-coastal-infrastructure.html</w:t>
      </w:r>
    </w:p>
    <w:p w:rsidR="000C205B" w:rsidRDefault="00000000">
      <w:pPr>
        <w:pStyle w:val="ListParagraph"/>
        <w:numPr>
          <w:ilvl w:val="0"/>
          <w:numId w:val="2"/>
        </w:numPr>
        <w:spacing w:before="40" w:after="40"/>
      </w:pPr>
      <w:r>
        <w:rPr>
          <w:color w:val="222222"/>
        </w:rPr>
        <w:lastRenderedPageBreak/>
        <w:t>9. [T3] Gulf water technology and desalination market entry strategy    → industries/technology/gulf-water-technology.html</w:t>
      </w:r>
    </w:p>
    <w:p w:rsidR="000C205B" w:rsidRDefault="00000000">
      <w:pPr>
        <w:pStyle w:val="ListParagraph"/>
        <w:numPr>
          <w:ilvl w:val="0"/>
          <w:numId w:val="2"/>
        </w:numPr>
        <w:spacing w:before="40" w:after="40"/>
      </w:pPr>
      <w:r>
        <w:rPr>
          <w:color w:val="222222"/>
        </w:rPr>
        <w:t>10. [T3] India supply chain resilience and China-plus-one strategy    → industries/logistics-supply-chain/india-supply-chain-resilience.html</w:t>
      </w:r>
    </w:p>
    <w:p w:rsidR="000C205B" w:rsidRDefault="00000000">
      <w:pPr>
        <w:pStyle w:val="Heading2"/>
      </w:pPr>
      <w:r>
        <w:t>Pages 11–20</w:t>
      </w:r>
    </w:p>
    <w:p w:rsidR="000C205B" w:rsidRDefault="00000000">
      <w:pPr>
        <w:pStyle w:val="ListParagraph"/>
        <w:numPr>
          <w:ilvl w:val="0"/>
          <w:numId w:val="2"/>
        </w:numPr>
        <w:spacing w:before="40" w:after="40"/>
      </w:pPr>
      <w:r>
        <w:rPr>
          <w:color w:val="222222"/>
        </w:rPr>
        <w:t>11. [T3] Gulf healthcare investment and hospital development strategy    → industries/healthcare-life-sciences/gulf-healthcare-investment.html</w:t>
      </w:r>
    </w:p>
    <w:p w:rsidR="000C205B" w:rsidRDefault="00000000">
      <w:pPr>
        <w:pStyle w:val="ListParagraph"/>
        <w:numPr>
          <w:ilvl w:val="0"/>
          <w:numId w:val="2"/>
        </w:numPr>
        <w:spacing w:before="40" w:after="40"/>
      </w:pPr>
      <w:r>
        <w:rPr>
          <w:color w:val="222222"/>
        </w:rPr>
        <w:t>12. [T3] India market re-entry and growth acceleration strategy    → industries/</w:t>
      </w:r>
      <w:proofErr w:type="spellStart"/>
      <w:r>
        <w:rPr>
          <w:color w:val="222222"/>
        </w:rPr>
        <w:t>cpg</w:t>
      </w:r>
      <w:proofErr w:type="spellEnd"/>
      <w:r>
        <w:rPr>
          <w:color w:val="222222"/>
        </w:rPr>
        <w:t>-</w:t>
      </w:r>
      <w:proofErr w:type="spellStart"/>
      <w:r>
        <w:rPr>
          <w:color w:val="222222"/>
        </w:rPr>
        <w:t>fmcg</w:t>
      </w:r>
      <w:proofErr w:type="spellEnd"/>
      <w:r>
        <w:rPr>
          <w:color w:val="222222"/>
        </w:rPr>
        <w:t>-retail/india-gulf-india-combined.html</w:t>
      </w:r>
    </w:p>
    <w:p w:rsidR="000C205B" w:rsidRDefault="00000000">
      <w:pPr>
        <w:pStyle w:val="ListParagraph"/>
        <w:numPr>
          <w:ilvl w:val="0"/>
          <w:numId w:val="2"/>
        </w:numPr>
        <w:spacing w:before="40" w:after="40"/>
      </w:pPr>
      <w:r>
        <w:rPr>
          <w:color w:val="222222"/>
        </w:rPr>
        <w:t>13. [T3] Gulf national AI strategy and government AI advisory market entry    → industries/technology/gulf-ai-national-strategy.html</w:t>
      </w:r>
    </w:p>
    <w:p w:rsidR="000C205B" w:rsidRDefault="00000000">
      <w:pPr>
        <w:pStyle w:val="ListParagraph"/>
        <w:numPr>
          <w:ilvl w:val="0"/>
          <w:numId w:val="2"/>
        </w:numPr>
        <w:spacing w:before="40" w:after="40"/>
      </w:pPr>
      <w:r>
        <w:rPr>
          <w:color w:val="222222"/>
        </w:rPr>
        <w:t>14. [T3] Africa payment infrastructure market entry strategy    → industries/fintech-payments/africa-payment-infrastructure.html</w:t>
      </w:r>
    </w:p>
    <w:p w:rsidR="000C205B" w:rsidRDefault="00000000">
      <w:pPr>
        <w:pStyle w:val="ListParagraph"/>
        <w:numPr>
          <w:ilvl w:val="0"/>
          <w:numId w:val="2"/>
        </w:numPr>
        <w:spacing w:before="40" w:after="40"/>
      </w:pPr>
      <w:r>
        <w:rPr>
          <w:color w:val="222222"/>
        </w:rPr>
        <w:t>15. [T3] India wealth management and private banking market entry strategy    → industries/fintech-payments/india-wealth-management.html</w:t>
      </w:r>
    </w:p>
    <w:p w:rsidR="000C205B" w:rsidRDefault="00000000">
      <w:pPr>
        <w:pStyle w:val="ListParagraph"/>
        <w:numPr>
          <w:ilvl w:val="0"/>
          <w:numId w:val="2"/>
        </w:numPr>
        <w:spacing w:before="40" w:after="40"/>
      </w:pPr>
      <w:r>
        <w:rPr>
          <w:color w:val="222222"/>
        </w:rPr>
        <w:t xml:space="preserve">16. [T3] Southeast Asia </w:t>
      </w:r>
      <w:proofErr w:type="spellStart"/>
      <w:r>
        <w:rPr>
          <w:color w:val="222222"/>
        </w:rPr>
        <w:t>healthtech</w:t>
      </w:r>
      <w:proofErr w:type="spellEnd"/>
      <w:r>
        <w:rPr>
          <w:color w:val="222222"/>
        </w:rPr>
        <w:t xml:space="preserve"> scale and multi-market expansion strategy    → industries/</w:t>
      </w:r>
      <w:proofErr w:type="spellStart"/>
      <w:r>
        <w:rPr>
          <w:color w:val="222222"/>
        </w:rPr>
        <w:t>healthtech</w:t>
      </w:r>
      <w:proofErr w:type="spellEnd"/>
      <w:r>
        <w:rPr>
          <w:color w:val="222222"/>
        </w:rPr>
        <w:t>/southeast-asia-healthtech-scale.html</w:t>
      </w:r>
    </w:p>
    <w:p w:rsidR="000C205B" w:rsidRDefault="00000000">
      <w:pPr>
        <w:pStyle w:val="ListParagraph"/>
        <w:numPr>
          <w:ilvl w:val="0"/>
          <w:numId w:val="2"/>
        </w:numPr>
        <w:spacing w:before="40" w:after="40"/>
      </w:pPr>
      <w:r>
        <w:rPr>
          <w:color w:val="222222"/>
        </w:rPr>
        <w:t>17. [T3] India electric vehicle market entry strategy    → industries/electric-vehicles/india-electric-vehicle-market.html</w:t>
      </w:r>
    </w:p>
    <w:p w:rsidR="000C205B" w:rsidRDefault="00000000">
      <w:pPr>
        <w:pStyle w:val="ListParagraph"/>
        <w:numPr>
          <w:ilvl w:val="0"/>
          <w:numId w:val="2"/>
        </w:numPr>
        <w:spacing w:before="40" w:after="40"/>
      </w:pPr>
      <w:r>
        <w:rPr>
          <w:color w:val="222222"/>
        </w:rPr>
        <w:t>18. [T3] Africa climate technology market entry strategy    → industries/carbon-markets/africa-climate-tech.html</w:t>
      </w:r>
    </w:p>
    <w:p w:rsidR="000C205B" w:rsidRDefault="00000000">
      <w:pPr>
        <w:pStyle w:val="ListParagraph"/>
        <w:numPr>
          <w:ilvl w:val="0"/>
          <w:numId w:val="2"/>
        </w:numPr>
        <w:spacing w:before="40" w:after="40"/>
      </w:pPr>
      <w:r>
        <w:rPr>
          <w:color w:val="222222"/>
        </w:rPr>
        <w:t>19. [T3] India digital health platform market entry strategy    → industries/</w:t>
      </w:r>
      <w:proofErr w:type="spellStart"/>
      <w:r>
        <w:rPr>
          <w:color w:val="222222"/>
        </w:rPr>
        <w:t>healthtech</w:t>
      </w:r>
      <w:proofErr w:type="spellEnd"/>
      <w:r>
        <w:rPr>
          <w:color w:val="222222"/>
        </w:rPr>
        <w:t>/india-digital-health-platform.html</w:t>
      </w:r>
    </w:p>
    <w:p w:rsidR="000C205B" w:rsidRDefault="00000000">
      <w:pPr>
        <w:pStyle w:val="ListParagraph"/>
        <w:numPr>
          <w:ilvl w:val="0"/>
          <w:numId w:val="2"/>
        </w:numPr>
        <w:spacing w:before="40" w:after="40"/>
      </w:pPr>
      <w:r>
        <w:rPr>
          <w:color w:val="222222"/>
        </w:rPr>
        <w:t xml:space="preserve">20. [T3] Gulf medical device and </w:t>
      </w:r>
      <w:proofErr w:type="spellStart"/>
      <w:r>
        <w:rPr>
          <w:color w:val="222222"/>
        </w:rPr>
        <w:t>medtech</w:t>
      </w:r>
      <w:proofErr w:type="spellEnd"/>
      <w:r>
        <w:rPr>
          <w:color w:val="222222"/>
        </w:rPr>
        <w:t xml:space="preserve"> market entry strategy    → industries/</w:t>
      </w:r>
      <w:proofErr w:type="spellStart"/>
      <w:r>
        <w:rPr>
          <w:color w:val="222222"/>
        </w:rPr>
        <w:t>healthtech</w:t>
      </w:r>
      <w:proofErr w:type="spellEnd"/>
      <w:r>
        <w:rPr>
          <w:color w:val="222222"/>
        </w:rPr>
        <w:t>/gulf-medtech-market-entry.html</w:t>
      </w:r>
    </w:p>
    <w:p w:rsidR="000C205B" w:rsidRDefault="000C205B">
      <w:pPr>
        <w:pBdr>
          <w:bottom w:val="single" w:sz="8" w:space="1" w:color="1B2A4A"/>
        </w:pBdr>
        <w:spacing w:before="200" w:after="200"/>
      </w:pPr>
    </w:p>
    <w:p w:rsidR="000C205B" w:rsidRDefault="00000000">
      <w:pPr>
        <w:pStyle w:val="Heading1"/>
      </w:pPr>
      <w:r>
        <w:t xml:space="preserve">Section 2: </w:t>
      </w:r>
      <w:proofErr w:type="spellStart"/>
      <w:r>
        <w:t>Replit</w:t>
      </w:r>
      <w:proofErr w:type="spellEnd"/>
      <w:r>
        <w:t xml:space="preserve"> prompt</w:t>
      </w:r>
    </w:p>
    <w:p w:rsidR="000C205B" w:rsidRDefault="00000000">
      <w:pPr>
        <w:spacing w:before="60" w:after="60"/>
      </w:pPr>
      <w:r>
        <w:rPr>
          <w:i/>
          <w:iCs/>
          <w:color w:val="666666"/>
          <w:sz w:val="18"/>
          <w:szCs w:val="18"/>
        </w:rPr>
        <w:t xml:space="preserve">Copy everything between the === lines and paste into </w:t>
      </w:r>
      <w:proofErr w:type="spellStart"/>
      <w:r>
        <w:rPr>
          <w:i/>
          <w:iCs/>
          <w:color w:val="666666"/>
          <w:sz w:val="18"/>
          <w:szCs w:val="18"/>
        </w:rPr>
        <w:t>Replit</w:t>
      </w:r>
      <w:proofErr w:type="spellEnd"/>
      <w:r>
        <w:rPr>
          <w:i/>
          <w:iCs/>
          <w:color w:val="666666"/>
          <w:sz w:val="18"/>
          <w:szCs w:val="18"/>
        </w:rPr>
        <w:t xml:space="preserve"> AI. Do not modify.</w:t>
      </w:r>
    </w:p>
    <w:p w:rsidR="000C205B" w:rsidRDefault="000C205B">
      <w:pPr>
        <w:spacing w:before="80" w:after="80"/>
      </w:pPr>
    </w:p>
    <w:p w:rsidR="000C205B" w:rsidRDefault="00000000">
      <w:pPr>
        <w:shd w:val="clear" w:color="auto" w:fill="F0F0F0"/>
        <w:spacing w:before="14" w:after="14"/>
        <w:ind w:left="360"/>
      </w:pPr>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GREYRADIUS INDUSTRY PAGES — BATCH 17 BUILD</w:t>
      </w:r>
    </w:p>
    <w:p w:rsidR="000C205B" w:rsidRDefault="00000000">
      <w:pPr>
        <w:shd w:val="clear" w:color="auto" w:fill="F0F0F0"/>
        <w:spacing w:before="14" w:after="14"/>
        <w:ind w:left="360"/>
      </w:pPr>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JSON file:  data/industry-pages-batch17.json</w:t>
      </w:r>
    </w:p>
    <w:p w:rsidR="000C205B" w:rsidRDefault="00000000">
      <w:pPr>
        <w:shd w:val="clear" w:color="auto" w:fill="F0F0F0"/>
        <w:spacing w:before="14" w:after="14"/>
        <w:ind w:left="360"/>
      </w:pPr>
      <w:r>
        <w:rPr>
          <w:rFonts w:ascii="Courier New" w:eastAsia="Courier New" w:hAnsi="Courier New" w:cs="Courier New"/>
          <w:color w:val="1B2A4A"/>
          <w:sz w:val="16"/>
          <w:szCs w:val="16"/>
        </w:rPr>
        <w:t>Template:   templates/industry-page-template.html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Pages:      20 (verified — no duplicates)</w:t>
      </w:r>
    </w:p>
    <w:p w:rsidR="000C205B" w:rsidRDefault="000C205B">
      <w:pPr>
        <w:shd w:val="clear" w:color="auto" w:fill="F0F0F0"/>
        <w:spacing w:before="14" w:after="14"/>
        <w:ind w:left="360"/>
      </w:pPr>
    </w:p>
    <w:p w:rsidR="000C205B" w:rsidRDefault="00000000">
      <w:pPr>
        <w:shd w:val="clear" w:color="auto" w:fill="F0F0F0"/>
        <w:spacing w:before="14" w:after="14"/>
        <w:ind w:left="360"/>
      </w:pPr>
      <w:r>
        <w:rPr>
          <w:rFonts w:ascii="Courier New" w:eastAsia="Courier New" w:hAnsi="Courier New" w:cs="Courier New"/>
          <w:color w:val="1B2A4A"/>
          <w:sz w:val="16"/>
          <w:szCs w:val="16"/>
        </w:rPr>
        <w:t>PAGES TO BUILD: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1. </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-telecom-market-entry → industries/technology/india-telecom-market-entry.html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2. gulf-food-security → industries/</w:t>
      </w:r>
      <w:proofErr w:type="spellStart"/>
      <w:r>
        <w:rPr>
          <w:rFonts w:ascii="Courier New" w:eastAsia="Courier New" w:hAnsi="Courier New" w:cs="Courier New"/>
          <w:color w:val="1B2A4A"/>
          <w:sz w:val="16"/>
          <w:szCs w:val="16"/>
        </w:rPr>
        <w:t>agritech</w:t>
      </w:r>
      <w:proofErr w:type="spellEnd"/>
      <w:r>
        <w:rPr>
          <w:rFonts w:ascii="Courier New" w:eastAsia="Courier New" w:hAnsi="Courier New" w:cs="Courier New"/>
          <w:color w:val="1B2A4A"/>
          <w:sz w:val="16"/>
          <w:szCs w:val="16"/>
        </w:rPr>
        <w:t>/gulf-food-security.html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3. southeast-</w:t>
      </w:r>
      <w:proofErr w:type="spellStart"/>
      <w:r>
        <w:rPr>
          <w:rFonts w:ascii="Courier New" w:eastAsia="Courier New" w:hAnsi="Courier New" w:cs="Courier New"/>
          <w:color w:val="1B2A4A"/>
          <w:sz w:val="16"/>
          <w:szCs w:val="16"/>
        </w:rPr>
        <w:t>asia</w:t>
      </w:r>
      <w:proofErr w:type="spellEnd"/>
      <w:r>
        <w:rPr>
          <w:rFonts w:ascii="Courier New" w:eastAsia="Courier New" w:hAnsi="Courier New" w:cs="Courier New"/>
          <w:color w:val="1B2A4A"/>
          <w:sz w:val="16"/>
          <w:szCs w:val="16"/>
        </w:rPr>
        <w:t>-manufacturing-technology → industries/manufacturing-industrials/southeast-asia-manufacturing-technology.html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4. </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-renewable-hydrogen → industries/renewable-energy/india-renewable-hydrogen.html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5. gulf-sustainability-financing → industries/carbon-markets/gulf-sustainability-financing.html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6. </w:t>
      </w:r>
      <w:proofErr w:type="spellStart"/>
      <w:r>
        <w:rPr>
          <w:rFonts w:ascii="Courier New" w:eastAsia="Courier New" w:hAnsi="Courier New" w:cs="Courier New"/>
          <w:color w:val="1B2A4A"/>
          <w:sz w:val="16"/>
          <w:szCs w:val="16"/>
        </w:rPr>
        <w:t>africa</w:t>
      </w:r>
      <w:proofErr w:type="spellEnd"/>
      <w:r>
        <w:rPr>
          <w:rFonts w:ascii="Courier New" w:eastAsia="Courier New" w:hAnsi="Courier New" w:cs="Courier New"/>
          <w:color w:val="1B2A4A"/>
          <w:sz w:val="16"/>
          <w:szCs w:val="16"/>
        </w:rPr>
        <w:t>-solar-energy-scale → industries/renewable-energy/africa-solar-energy-scale.html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7. southeast-</w:t>
      </w:r>
      <w:proofErr w:type="spellStart"/>
      <w:r>
        <w:rPr>
          <w:rFonts w:ascii="Courier New" w:eastAsia="Courier New" w:hAnsi="Courier New" w:cs="Courier New"/>
          <w:color w:val="1B2A4A"/>
          <w:sz w:val="16"/>
          <w:szCs w:val="16"/>
        </w:rPr>
        <w:t>asia</w:t>
      </w:r>
      <w:proofErr w:type="spellEnd"/>
      <w:r>
        <w:rPr>
          <w:rFonts w:ascii="Courier New" w:eastAsia="Courier New" w:hAnsi="Courier New" w:cs="Courier New"/>
          <w:color w:val="1B2A4A"/>
          <w:sz w:val="16"/>
          <w:szCs w:val="16"/>
        </w:rPr>
        <w:t>-</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 industries/technology/southeast-asia-govtech.html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8. </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-coastal-infrastructure → industries/manufacturing-industrials/india-coastal-infrastructure.html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9. gulf-water-technology → industries/technology/gulf-water-technology.html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10. </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-supply-chain-resilience → industries/logistics-supply-chain/india-supply-chain-resilience.html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11. gulf-healthcare-investment → industries/healthcare-life-sciences/gulf-healthcare-investment.html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12. </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-gulf-</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-combined → industries/</w:t>
      </w:r>
      <w:proofErr w:type="spellStart"/>
      <w:r>
        <w:rPr>
          <w:rFonts w:ascii="Courier New" w:eastAsia="Courier New" w:hAnsi="Courier New" w:cs="Courier New"/>
          <w:color w:val="1B2A4A"/>
          <w:sz w:val="16"/>
          <w:szCs w:val="16"/>
        </w:rPr>
        <w:t>cpg</w:t>
      </w:r>
      <w:proofErr w:type="spellEnd"/>
      <w:r>
        <w:rPr>
          <w:rFonts w:ascii="Courier New" w:eastAsia="Courier New" w:hAnsi="Courier New" w:cs="Courier New"/>
          <w:color w:val="1B2A4A"/>
          <w:sz w:val="16"/>
          <w:szCs w:val="16"/>
        </w:rPr>
        <w:t>-</w:t>
      </w:r>
      <w:proofErr w:type="spellStart"/>
      <w:r>
        <w:rPr>
          <w:rFonts w:ascii="Courier New" w:eastAsia="Courier New" w:hAnsi="Courier New" w:cs="Courier New"/>
          <w:color w:val="1B2A4A"/>
          <w:sz w:val="16"/>
          <w:szCs w:val="16"/>
        </w:rPr>
        <w:t>fmcg</w:t>
      </w:r>
      <w:proofErr w:type="spellEnd"/>
      <w:r>
        <w:rPr>
          <w:rFonts w:ascii="Courier New" w:eastAsia="Courier New" w:hAnsi="Courier New" w:cs="Courier New"/>
          <w:color w:val="1B2A4A"/>
          <w:sz w:val="16"/>
          <w:szCs w:val="16"/>
        </w:rPr>
        <w:t>-retail/india-gulf-india-combined.html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13. gulf-ai-national-strategy → industries/technology/gulf-ai-national-strategy.html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14. </w:t>
      </w:r>
      <w:proofErr w:type="spellStart"/>
      <w:r>
        <w:rPr>
          <w:rFonts w:ascii="Courier New" w:eastAsia="Courier New" w:hAnsi="Courier New" w:cs="Courier New"/>
          <w:color w:val="1B2A4A"/>
          <w:sz w:val="16"/>
          <w:szCs w:val="16"/>
        </w:rPr>
        <w:t>africa</w:t>
      </w:r>
      <w:proofErr w:type="spellEnd"/>
      <w:r>
        <w:rPr>
          <w:rFonts w:ascii="Courier New" w:eastAsia="Courier New" w:hAnsi="Courier New" w:cs="Courier New"/>
          <w:color w:val="1B2A4A"/>
          <w:sz w:val="16"/>
          <w:szCs w:val="16"/>
        </w:rPr>
        <w:t>-payment-infrastructure → industries/fintech-payments/africa-payment-infrastructure.html</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15. </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-wealth-management → industries/fintech-payments/india-wealth-management.html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16. southeast-</w:t>
      </w:r>
      <w:proofErr w:type="spellStart"/>
      <w:r>
        <w:rPr>
          <w:rFonts w:ascii="Courier New" w:eastAsia="Courier New" w:hAnsi="Courier New" w:cs="Courier New"/>
          <w:color w:val="1B2A4A"/>
          <w:sz w:val="16"/>
          <w:szCs w:val="16"/>
        </w:rPr>
        <w:t>asia</w:t>
      </w:r>
      <w:proofErr w:type="spellEnd"/>
      <w:r>
        <w:rPr>
          <w:rFonts w:ascii="Courier New" w:eastAsia="Courier New" w:hAnsi="Courier New" w:cs="Courier New"/>
          <w:color w:val="1B2A4A"/>
          <w:sz w:val="16"/>
          <w:szCs w:val="16"/>
        </w:rPr>
        <w:t>-</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-scale → industries/</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/southeast-asia-healthtech-scale.html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17. </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-electric-vehicle-market → industries/electric-vehicles/india-electric-vehicle-market.html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18. </w:t>
      </w:r>
      <w:proofErr w:type="spellStart"/>
      <w:r>
        <w:rPr>
          <w:rFonts w:ascii="Courier New" w:eastAsia="Courier New" w:hAnsi="Courier New" w:cs="Courier New"/>
          <w:color w:val="1B2A4A"/>
          <w:sz w:val="16"/>
          <w:szCs w:val="16"/>
        </w:rPr>
        <w:t>africa</w:t>
      </w:r>
      <w:proofErr w:type="spellEnd"/>
      <w:r>
        <w:rPr>
          <w:rFonts w:ascii="Courier New" w:eastAsia="Courier New" w:hAnsi="Courier New" w:cs="Courier New"/>
          <w:color w:val="1B2A4A"/>
          <w:sz w:val="16"/>
          <w:szCs w:val="16"/>
        </w:rPr>
        <w:t>-climate-tech → industries/carbon-markets/africa-climate-tech.html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19. </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-digital-health-platform → industries/</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/india-digital-health-platform.html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20. gulf-</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-market-entry → industries/</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/gulf-medtech-market-entry.html</w:t>
      </w:r>
    </w:p>
    <w:p w:rsidR="000C205B" w:rsidRDefault="000C205B">
      <w:pPr>
        <w:shd w:val="clear" w:color="auto" w:fill="F0F0F0"/>
        <w:spacing w:before="14" w:after="14"/>
        <w:ind w:left="360"/>
      </w:pPr>
    </w:p>
    <w:p w:rsidR="000C205B" w:rsidRDefault="00000000">
      <w:pPr>
        <w:shd w:val="clear" w:color="auto" w:fill="F0F0F0"/>
        <w:spacing w:before="14" w:after="14"/>
        <w:ind w:left="360"/>
      </w:pPr>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STEP 1 — VERIFY FILES</w:t>
      </w:r>
    </w:p>
    <w:p w:rsidR="000C205B" w:rsidRDefault="00000000">
      <w:pPr>
        <w:shd w:val="clear" w:color="auto" w:fill="F0F0F0"/>
        <w:spacing w:before="14" w:after="14"/>
        <w:ind w:left="360"/>
      </w:pPr>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ls data/industry-pages-batch17.json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ls templates/industry-page-template.html</w:t>
      </w:r>
    </w:p>
    <w:p w:rsidR="000C205B" w:rsidRDefault="00000000">
      <w:pPr>
        <w:shd w:val="clear" w:color="auto" w:fill="F0F0F0"/>
        <w:spacing w:before="14" w:after="14"/>
        <w:ind w:left="360"/>
      </w:pPr>
      <w:r>
        <w:rPr>
          <w:rFonts w:ascii="Courier New" w:eastAsia="Courier New" w:hAnsi="Courier New" w:cs="Courier New"/>
          <w:color w:val="1B2A4A"/>
          <w:sz w:val="16"/>
          <w:szCs w:val="16"/>
        </w:rPr>
        <w:t>If JSON missing: stop and tell me.</w:t>
      </w:r>
    </w:p>
    <w:p w:rsidR="000C205B" w:rsidRDefault="00000000">
      <w:pPr>
        <w:shd w:val="clear" w:color="auto" w:fill="F0F0F0"/>
        <w:spacing w:before="14" w:after="14"/>
        <w:ind w:left="360"/>
      </w:pPr>
      <w:r>
        <w:rPr>
          <w:rFonts w:ascii="Courier New" w:eastAsia="Courier New" w:hAnsi="Courier New" w:cs="Courier New"/>
          <w:color w:val="1B2A4A"/>
          <w:sz w:val="16"/>
          <w:szCs w:val="16"/>
        </w:rPr>
        <w:t>If template missing: copy an existing industry page,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tokenise all content, then continue.</w:t>
      </w:r>
    </w:p>
    <w:p w:rsidR="000C205B" w:rsidRDefault="000C205B">
      <w:pPr>
        <w:shd w:val="clear" w:color="auto" w:fill="F0F0F0"/>
        <w:spacing w:before="14" w:after="14"/>
        <w:ind w:left="360"/>
      </w:pPr>
    </w:p>
    <w:p w:rsidR="000C205B" w:rsidRDefault="00000000">
      <w:pPr>
        <w:shd w:val="clear" w:color="auto" w:fill="F0F0F0"/>
        <w:spacing w:before="14" w:after="14"/>
        <w:ind w:left="360"/>
      </w:pPr>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STEP 2 — BUILD ALL 20 PAGES</w:t>
      </w:r>
    </w:p>
    <w:p w:rsidR="000C205B" w:rsidRDefault="00000000">
      <w:pPr>
        <w:shd w:val="clear" w:color="auto" w:fill="F0F0F0"/>
        <w:spacing w:before="14" w:after="14"/>
        <w:ind w:left="360"/>
      </w:pPr>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Read data/industry-pages-batch17.json.</w:t>
      </w:r>
    </w:p>
    <w:p w:rsidR="000C205B" w:rsidRDefault="00000000">
      <w:pPr>
        <w:shd w:val="clear" w:color="auto" w:fill="F0F0F0"/>
        <w:spacing w:before="14" w:after="14"/>
        <w:ind w:left="360"/>
      </w:pPr>
      <w:r>
        <w:rPr>
          <w:rFonts w:ascii="Courier New" w:eastAsia="Courier New" w:hAnsi="Courier New" w:cs="Courier New"/>
          <w:color w:val="1B2A4A"/>
          <w:sz w:val="16"/>
          <w:szCs w:val="16"/>
        </w:rPr>
        <w:t>For EACH page object: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 </w:t>
      </w:r>
      <w:proofErr w:type="spellStart"/>
      <w:r>
        <w:rPr>
          <w:rFonts w:ascii="Courier New" w:eastAsia="Courier New" w:hAnsi="Courier New" w:cs="Courier New"/>
          <w:color w:val="1B2A4A"/>
          <w:sz w:val="16"/>
          <w:szCs w:val="16"/>
        </w:rPr>
        <w:t>mkdir</w:t>
      </w:r>
      <w:proofErr w:type="spellEnd"/>
      <w:r>
        <w:rPr>
          <w:rFonts w:ascii="Courier New" w:eastAsia="Courier New" w:hAnsi="Courier New" w:cs="Courier New"/>
          <w:color w:val="1B2A4A"/>
          <w:sz w:val="16"/>
          <w:szCs w:val="16"/>
        </w:rPr>
        <w:t xml:space="preserve"> -p industries/[parent]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B. Read template fresh as string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 Replace ALL tokens: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{{PAGE_TITLE}} {{META_DESC}} {{KEYWORDS}} {{SLUG}}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{{TAGLINE}} {{HERO_BODY}} {{MARKET_TIMING}}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{{STAT1L}} {{STAT1B}}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{{STAT2L}} {{STAT2B}}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{{STAT3L}} {{STAT3B}}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{{INSIGHT_1}} {{INSIGHT_2}} {{INSIGHT_3}} {{INSIGHT_4}}</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{{CHALLENGE_M_1}} through {{CHALLENGE_M_4}}</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w:t>
      </w:r>
      <w:proofErr w:type="spellStart"/>
      <w:r>
        <w:rPr>
          <w:rFonts w:ascii="Courier New" w:eastAsia="Courier New" w:hAnsi="Courier New" w:cs="Courier New"/>
          <w:color w:val="1B2A4A"/>
          <w:sz w:val="16"/>
          <w:szCs w:val="16"/>
        </w:rPr>
        <w:t>i</w:t>
      </w:r>
      <w:proofErr w:type="spellEnd"/>
      <w:r>
        <w:rPr>
          <w:rFonts w:ascii="Courier New" w:eastAsia="Courier New" w:hAnsi="Courier New" w:cs="Courier New"/>
          <w:color w:val="1B2A4A"/>
          <w:sz w:val="16"/>
          <w:szCs w:val="16"/>
        </w:rPr>
        <w:t xml:space="preserve">].split('|') for </w:t>
      </w:r>
      <w:proofErr w:type="spellStart"/>
      <w:r>
        <w:rPr>
          <w:rFonts w:ascii="Courier New" w:eastAsia="Courier New" w:hAnsi="Courier New" w:cs="Courier New"/>
          <w:color w:val="1B2A4A"/>
          <w:sz w:val="16"/>
          <w:szCs w:val="16"/>
        </w:rPr>
        <w:t>i</w:t>
      </w:r>
      <w:proofErr w:type="spellEnd"/>
      <w:r>
        <w:rPr>
          <w:rFonts w:ascii="Courier New" w:eastAsia="Courier New" w:hAnsi="Courier New" w:cs="Courier New"/>
          <w:color w:val="1B2A4A"/>
          <w:sz w:val="16"/>
          <w:szCs w:val="16"/>
        </w:rPr>
        <w:t>=0..5:</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parts[0].trim() → {{CHALLENGE_[i+1]_H}}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parts[1].trim() → {{CHALLENGE_[i+1]_B}}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w:t>
      </w:r>
      <w:proofErr w:type="spellStart"/>
      <w:r>
        <w:rPr>
          <w:rFonts w:ascii="Courier New" w:eastAsia="Courier New" w:hAnsi="Courier New" w:cs="Courier New"/>
          <w:color w:val="1B2A4A"/>
          <w:sz w:val="16"/>
          <w:szCs w:val="16"/>
        </w:rPr>
        <w:t>i</w:t>
      </w:r>
      <w:proofErr w:type="spellEnd"/>
      <w:r>
        <w:rPr>
          <w:rFonts w:ascii="Courier New" w:eastAsia="Courier New" w:hAnsi="Courier New" w:cs="Courier New"/>
          <w:color w:val="1B2A4A"/>
          <w:sz w:val="16"/>
          <w:szCs w:val="16"/>
        </w:rPr>
        <w:t xml:space="preserve">] for </w:t>
      </w:r>
      <w:proofErr w:type="spellStart"/>
      <w:r>
        <w:rPr>
          <w:rFonts w:ascii="Courier New" w:eastAsia="Courier New" w:hAnsi="Courier New" w:cs="Courier New"/>
          <w:color w:val="1B2A4A"/>
          <w:sz w:val="16"/>
          <w:szCs w:val="16"/>
        </w:rPr>
        <w:t>i</w:t>
      </w:r>
      <w:proofErr w:type="spellEnd"/>
      <w:r>
        <w:rPr>
          <w:rFonts w:ascii="Courier New" w:eastAsia="Courier New" w:hAnsi="Courier New" w:cs="Courier New"/>
          <w:color w:val="1B2A4A"/>
          <w:sz w:val="16"/>
          <w:szCs w:val="16"/>
        </w:rPr>
        <w:t>=0..5 → {{SERVICE_[i+1]_BODY}}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w:t>
      </w:r>
      <w:proofErr w:type="spellStart"/>
      <w:r>
        <w:rPr>
          <w:rFonts w:ascii="Courier New" w:eastAsia="Courier New" w:hAnsi="Courier New" w:cs="Courier New"/>
          <w:color w:val="1B2A4A"/>
          <w:sz w:val="16"/>
          <w:szCs w:val="16"/>
        </w:rPr>
        <w:t>i</w:t>
      </w:r>
      <w:proofErr w:type="spellEnd"/>
      <w:r>
        <w:rPr>
          <w:rFonts w:ascii="Courier New" w:eastAsia="Courier New" w:hAnsi="Courier New" w:cs="Courier New"/>
          <w:color w:val="1B2A4A"/>
          <w:sz w:val="16"/>
          <w:szCs w:val="16"/>
        </w:rPr>
        <w:t xml:space="preserve">].split('|') for </w:t>
      </w:r>
      <w:proofErr w:type="spellStart"/>
      <w:r>
        <w:rPr>
          <w:rFonts w:ascii="Courier New" w:eastAsia="Courier New" w:hAnsi="Courier New" w:cs="Courier New"/>
          <w:color w:val="1B2A4A"/>
          <w:sz w:val="16"/>
          <w:szCs w:val="16"/>
        </w:rPr>
        <w:t>i</w:t>
      </w:r>
      <w:proofErr w:type="spellEnd"/>
      <w:r>
        <w:rPr>
          <w:rFonts w:ascii="Courier New" w:eastAsia="Courier New" w:hAnsi="Courier New" w:cs="Courier New"/>
          <w:color w:val="1B2A4A"/>
          <w:sz w:val="16"/>
          <w:szCs w:val="16"/>
        </w:rPr>
        <w:t>=0..3: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parts[0].trim() → {{FAQ_[i+1]_Q}}</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parts[1].trim() → {{FAQ_[i+1]_A}}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{{SCHEMA_SERVICE}} → JSON-LD Service schema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{{SCHEMA_FAQ}} → JSON-LD </w:t>
      </w:r>
      <w:proofErr w:type="spellStart"/>
      <w:r>
        <w:rPr>
          <w:rFonts w:ascii="Courier New" w:eastAsia="Courier New" w:hAnsi="Courier New" w:cs="Courier New"/>
          <w:color w:val="1B2A4A"/>
          <w:sz w:val="16"/>
          <w:szCs w:val="16"/>
        </w:rPr>
        <w:t>FAQPage</w:t>
      </w:r>
      <w:proofErr w:type="spellEnd"/>
      <w:r>
        <w:rPr>
          <w:rFonts w:ascii="Courier New" w:eastAsia="Courier New" w:hAnsi="Courier New" w:cs="Courier New"/>
          <w:color w:val="1B2A4A"/>
          <w:sz w:val="16"/>
          <w:szCs w:val="16"/>
        </w:rPr>
        <w:t xml:space="preserve"> schema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 Scan remaining {{ }}: replace empty, log warning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 Write file. Log: Created: [path]</w:t>
      </w:r>
    </w:p>
    <w:p w:rsidR="000C205B" w:rsidRDefault="000C205B">
      <w:pPr>
        <w:shd w:val="clear" w:color="auto" w:fill="F0F0F0"/>
        <w:spacing w:before="14" w:after="14"/>
        <w:ind w:left="360"/>
      </w:pPr>
    </w:p>
    <w:p w:rsidR="000C205B" w:rsidRDefault="00000000">
      <w:pPr>
        <w:shd w:val="clear" w:color="auto" w:fill="F0F0F0"/>
        <w:spacing w:before="14" w:after="14"/>
        <w:ind w:left="360"/>
      </w:pPr>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STEP 3 — SITEMAP + NAV</w:t>
      </w:r>
    </w:p>
    <w:p w:rsidR="000C205B" w:rsidRDefault="00000000">
      <w:pPr>
        <w:shd w:val="clear" w:color="auto" w:fill="F0F0F0"/>
        <w:spacing w:before="14" w:after="14"/>
        <w:ind w:left="360"/>
      </w:pPr>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Add all 20 URLs to sitemap.xml (priority 0.7).</w:t>
      </w:r>
    </w:p>
    <w:p w:rsidR="000C205B" w:rsidRDefault="00000000">
      <w:pPr>
        <w:shd w:val="clear" w:color="auto" w:fill="F0F0F0"/>
        <w:spacing w:before="14" w:after="14"/>
        <w:ind w:left="360"/>
      </w:pPr>
      <w:r>
        <w:rPr>
          <w:rFonts w:ascii="Courier New" w:eastAsia="Courier New" w:hAnsi="Courier New" w:cs="Courier New"/>
          <w:color w:val="1B2A4A"/>
          <w:sz w:val="16"/>
          <w:szCs w:val="16"/>
        </w:rPr>
        <w:t>Update industries nav dropdown. Do not remove existing.</w:t>
      </w:r>
    </w:p>
    <w:p w:rsidR="000C205B" w:rsidRDefault="000C205B">
      <w:pPr>
        <w:shd w:val="clear" w:color="auto" w:fill="F0F0F0"/>
        <w:spacing w:before="14" w:after="14"/>
        <w:ind w:left="360"/>
      </w:pPr>
    </w:p>
    <w:p w:rsidR="000C205B" w:rsidRDefault="00000000">
      <w:pPr>
        <w:shd w:val="clear" w:color="auto" w:fill="F0F0F0"/>
        <w:spacing w:before="14" w:after="14"/>
        <w:ind w:left="360"/>
      </w:pPr>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STEP 4 — CONFIRM</w:t>
      </w:r>
    </w:p>
    <w:p w:rsidR="000C205B" w:rsidRDefault="00000000">
      <w:pPr>
        <w:shd w:val="clear" w:color="auto" w:fill="F0F0F0"/>
        <w:spacing w:before="14" w:after="14"/>
        <w:ind w:left="360"/>
      </w:pPr>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Pages created: [N] — must equal 20</w:t>
      </w:r>
    </w:p>
    <w:p w:rsidR="000C205B" w:rsidRDefault="00000000">
      <w:pPr>
        <w:shd w:val="clear" w:color="auto" w:fill="F0F0F0"/>
        <w:spacing w:before="14" w:after="14"/>
        <w:ind w:left="360"/>
      </w:pPr>
      <w:r>
        <w:rPr>
          <w:rFonts w:ascii="Courier New" w:eastAsia="Courier New" w:hAnsi="Courier New" w:cs="Courier New"/>
          <w:color w:val="1B2A4A"/>
          <w:sz w:val="16"/>
          <w:szCs w:val="16"/>
        </w:rPr>
        <w:t>Full list of all 20 file paths</w:t>
      </w:r>
    </w:p>
    <w:p w:rsidR="000C205B" w:rsidRDefault="00000000">
      <w:pPr>
        <w:shd w:val="clear" w:color="auto" w:fill="F0F0F0"/>
        <w:spacing w:before="14" w:after="14"/>
        <w:ind w:left="360"/>
      </w:pPr>
      <w:r>
        <w:rPr>
          <w:rFonts w:ascii="Courier New" w:eastAsia="Courier New" w:hAnsi="Courier New" w:cs="Courier New"/>
          <w:color w:val="1B2A4A"/>
          <w:sz w:val="16"/>
          <w:szCs w:val="16"/>
        </w:rPr>
        <w:t>Token warnings count</w:t>
      </w:r>
    </w:p>
    <w:p w:rsidR="000C205B" w:rsidRDefault="00000000">
      <w:pPr>
        <w:shd w:val="clear" w:color="auto" w:fill="F0F0F0"/>
        <w:spacing w:before="14" w:after="14"/>
        <w:ind w:left="360"/>
      </w:pPr>
      <w:r>
        <w:rPr>
          <w:rFonts w:ascii="Courier New" w:eastAsia="Courier New" w:hAnsi="Courier New" w:cs="Courier New"/>
          <w:color w:val="1B2A4A"/>
          <w:sz w:val="16"/>
          <w:szCs w:val="16"/>
        </w:rPr>
        <w:t>Sitemap updated: yes/no</w:t>
      </w:r>
    </w:p>
    <w:p w:rsidR="000C205B" w:rsidRDefault="00000000">
      <w:pPr>
        <w:shd w:val="clear" w:color="auto" w:fill="F0F0F0"/>
        <w:spacing w:before="14" w:after="14"/>
        <w:ind w:left="360"/>
      </w:pPr>
      <w:r>
        <w:rPr>
          <w:rFonts w:ascii="Courier New" w:eastAsia="Courier New" w:hAnsi="Courier New" w:cs="Courier New"/>
          <w:color w:val="1B2A4A"/>
          <w:sz w:val="16"/>
          <w:szCs w:val="16"/>
        </w:rPr>
        <w:t>Navigation updated: yes/no</w:t>
      </w:r>
    </w:p>
    <w:p w:rsidR="000C205B" w:rsidRDefault="00000000">
      <w:pPr>
        <w:shd w:val="clear" w:color="auto" w:fill="F0F0F0"/>
        <w:spacing w:before="14" w:after="14"/>
        <w:ind w:left="360"/>
      </w:pPr>
      <w:r>
        <w:rPr>
          <w:rFonts w:ascii="Courier New" w:eastAsia="Courier New" w:hAnsi="Courier New" w:cs="Courier New"/>
          <w:color w:val="1B2A4A"/>
          <w:sz w:val="16"/>
          <w:szCs w:val="16"/>
        </w:rPr>
        <w:t>Any failures with exact reason</w:t>
      </w:r>
    </w:p>
    <w:p w:rsidR="000C205B" w:rsidRDefault="000C205B">
      <w:pPr>
        <w:shd w:val="clear" w:color="auto" w:fill="F0F0F0"/>
        <w:spacing w:before="14" w:after="14"/>
        <w:ind w:left="360"/>
      </w:pPr>
    </w:p>
    <w:p w:rsidR="000C205B" w:rsidRDefault="00000000">
      <w:pPr>
        <w:shd w:val="clear" w:color="auto" w:fill="F0F0F0"/>
        <w:spacing w:before="14" w:after="14"/>
        <w:ind w:left="360"/>
      </w:pPr>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DO NOT write scripts. DO NOT rebuild existing pages.</w:t>
      </w:r>
    </w:p>
    <w:p w:rsidR="000C205B" w:rsidRDefault="00000000">
      <w:pPr>
        <w:shd w:val="clear" w:color="auto" w:fill="F0F0F0"/>
        <w:spacing w:before="14" w:after="14"/>
        <w:ind w:left="360"/>
      </w:pPr>
      <w:r>
        <w:rPr>
          <w:rFonts w:ascii="Courier New" w:eastAsia="Courier New" w:hAnsi="Courier New" w:cs="Courier New"/>
          <w:color w:val="1B2A4A"/>
          <w:sz w:val="16"/>
          <w:szCs w:val="16"/>
        </w:rPr>
        <w:t>Read JSON. Loop. Replace tokens. Write files.</w:t>
      </w:r>
    </w:p>
    <w:p w:rsidR="000C205B" w:rsidRDefault="00000000">
      <w:pPr>
        <w:shd w:val="clear" w:color="auto" w:fill="F0F0F0"/>
        <w:spacing w:before="14" w:after="14"/>
        <w:ind w:left="360"/>
      </w:pPr>
      <w:r>
        <w:rPr>
          <w:rFonts w:ascii="Courier New" w:eastAsia="Courier New" w:hAnsi="Courier New" w:cs="Courier New"/>
          <w:color w:val="1B2A4A"/>
          <w:sz w:val="16"/>
          <w:szCs w:val="16"/>
        </w:rPr>
        <w:t>===================================================</w:t>
      </w:r>
    </w:p>
    <w:p w:rsidR="000C205B" w:rsidRDefault="000C205B">
      <w:pPr>
        <w:pBdr>
          <w:bottom w:val="single" w:sz="8" w:space="1" w:color="1B2A4A"/>
        </w:pBdr>
        <w:spacing w:before="200" w:after="200"/>
      </w:pPr>
    </w:p>
    <w:p w:rsidR="000C205B" w:rsidRDefault="00000000">
      <w:pPr>
        <w:pStyle w:val="Heading1"/>
      </w:pPr>
      <w:r>
        <w:lastRenderedPageBreak/>
        <w:t>Section 3: JSON appendix — save as data/industry-pages-batch17.json</w:t>
      </w:r>
    </w:p>
    <w:p w:rsidR="000C205B" w:rsidRDefault="00000000">
      <w:pPr>
        <w:spacing w:before="60" w:after="60"/>
      </w:pPr>
      <w:r>
        <w:rPr>
          <w:i/>
          <w:iCs/>
          <w:color w:val="666666"/>
          <w:sz w:val="18"/>
          <w:szCs w:val="18"/>
        </w:rPr>
        <w:t xml:space="preserve">20 page objects. Copy and save as data/industry-pages-batch17.json in </w:t>
      </w:r>
      <w:proofErr w:type="spellStart"/>
      <w:r>
        <w:rPr>
          <w:i/>
          <w:iCs/>
          <w:color w:val="666666"/>
          <w:sz w:val="18"/>
          <w:szCs w:val="18"/>
        </w:rPr>
        <w:t>Replit</w:t>
      </w:r>
      <w:proofErr w:type="spellEnd"/>
      <w:r>
        <w:rPr>
          <w:i/>
          <w:iCs/>
          <w:color w:val="666666"/>
          <w:sz w:val="18"/>
          <w:szCs w:val="18"/>
        </w:rPr>
        <w:t>.</w:t>
      </w:r>
    </w:p>
    <w:p w:rsidR="000C205B" w:rsidRDefault="000C205B">
      <w:pPr>
        <w:spacing w:before="80" w:after="40"/>
      </w:pPr>
    </w:p>
    <w:p w:rsidR="000C205B" w:rsidRDefault="00000000">
      <w:pPr>
        <w:shd w:val="clear" w:color="auto" w:fill="F0F0F0"/>
        <w:spacing w:before="14" w:after="14"/>
        <w:ind w:left="360"/>
      </w:pPr>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-telecom-market-entry",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Telecom &amp; Connectivity Market Entry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telecom companies, network equipment vendors, and connectivity technology businesses enter India with market entry strategy, DoT regulatory mapping, and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"India telecom and connectivity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network technology to Indian connectivity deployment — strategy for telecom companies entering India.",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telecom market is undergoing a once-in-a-generation transformation — with 5G rollout creating network equipment replacement cycles worth $30B+, Jio and Airtel competing aggressively on coverage and capacity creating sustained capex, the government's </w:t>
      </w:r>
      <w:proofErr w:type="spellStart"/>
      <w:r>
        <w:rPr>
          <w:rFonts w:ascii="Courier New" w:eastAsia="Courier New" w:hAnsi="Courier New" w:cs="Courier New"/>
          <w:color w:val="1B2A4A"/>
          <w:sz w:val="16"/>
          <w:szCs w:val="16"/>
        </w:rPr>
        <w:t>BharatNet</w:t>
      </w:r>
      <w:proofErr w:type="spellEnd"/>
      <w:r>
        <w:rPr>
          <w:rFonts w:ascii="Courier New" w:eastAsia="Courier New" w:hAnsi="Courier New" w:cs="Courier New"/>
          <w:color w:val="1B2A4A"/>
          <w:sz w:val="16"/>
          <w:szCs w:val="16"/>
        </w:rPr>
        <w:t xml:space="preserve"> programme connecting 600,000 villages creating rural connectivity infrastructure demand, and India's aspirations for domestic telecom manufacturing creating supply chain opportunities. International network equipment vendors, telecom software companies, connectivity technology businesses, and telecom infrastructure providers are all evaluating India as a priority telecom market. GreyRadius helps telecom companies validate Indian operator and government demand, navigate DoT and TRAI regulatory requirements, identify partners, and execute market entry.",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"India's 5G rollout is accelerating — Jio and Airtel have collectively deployed 250,000+ 5G base stations and are actively procuring network equipment, software, and services to complete national coverage by 2026. </w:t>
      </w:r>
      <w:proofErr w:type="spellStart"/>
      <w:r>
        <w:rPr>
          <w:rFonts w:ascii="Courier New" w:eastAsia="Courier New" w:hAnsi="Courier New" w:cs="Courier New"/>
          <w:color w:val="1B2A4A"/>
          <w:sz w:val="16"/>
          <w:szCs w:val="16"/>
        </w:rPr>
        <w:t>BharatNet</w:t>
      </w:r>
      <w:proofErr w:type="spellEnd"/>
      <w:r>
        <w:rPr>
          <w:rFonts w:ascii="Courier New" w:eastAsia="Courier New" w:hAnsi="Courier New" w:cs="Courier New"/>
          <w:color w:val="1B2A4A"/>
          <w:sz w:val="16"/>
          <w:szCs w:val="16"/>
        </w:rPr>
        <w:t xml:space="preserve"> Phase 3 is creating rural connectivity infrastructure procurement. The telecom companies establishing Indian operator relationships in 2024–2026 will capture the equipment and software replacement cycles that will continue through 2030.",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telecom equipment and services market is projected to reach $25B by 2027 — growing at 15% annually as 5G rollout, network virtualisation, and rural connectivity investment all drive demand.",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has the world's second-largest 5G rollout by base station count — Jio and Airtel deploying 5G at extraordinary speed creating significant network equipment and software procurement.",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BharatNet</w:t>
      </w:r>
      <w:proofErr w:type="spellEnd"/>
      <w:r>
        <w:rPr>
          <w:rFonts w:ascii="Courier New" w:eastAsia="Courier New" w:hAnsi="Courier New" w:cs="Courier New"/>
          <w:color w:val="1B2A4A"/>
          <w:sz w:val="16"/>
          <w:szCs w:val="16"/>
        </w:rPr>
        <w:t xml:space="preserve"> is connecting 600,000 Indian villages — creating government broadband infrastructure procurement that international fibre, equipment, and software companies can access.",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telecom sector is pursuing network virtualisation aggressively — Open RAN, </w:t>
      </w:r>
      <w:proofErr w:type="spellStart"/>
      <w:r>
        <w:rPr>
          <w:rFonts w:ascii="Courier New" w:eastAsia="Courier New" w:hAnsi="Courier New" w:cs="Courier New"/>
          <w:color w:val="1B2A4A"/>
          <w:sz w:val="16"/>
          <w:szCs w:val="16"/>
        </w:rPr>
        <w:t>vRAN</w:t>
      </w:r>
      <w:proofErr w:type="spellEnd"/>
      <w:r>
        <w:rPr>
          <w:rFonts w:ascii="Courier New" w:eastAsia="Courier New" w:hAnsi="Courier New" w:cs="Courier New"/>
          <w:color w:val="1B2A4A"/>
          <w:sz w:val="16"/>
          <w:szCs w:val="16"/>
        </w:rPr>
        <w:t>, and cloud-native network functions are all being evaluated by Indian operators creating software-defined networking opportunity."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telecom equipment market has trusted vendor sensitivities — post-Huawei restrictions, Indian operators are evaluating vendor diversification but have specific security and performance requirements.",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"DoT equipment approval is required for network deployment — all telecom equipment deployed in India requires DoT approval including security certification under the Trusted Telecom Portal.",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"Indian operators are price-sensitive on capex — network equipment pricing in India requires aggressive adaptation from international list prices to compete with Chinese and Korean alternatives.",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"Telecom PLI scheme requires domestic manufacturing — to access government support and preference, telecom equipment companies must establish India manufacturing under the PLI scheme."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telecom market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Indian operator and government demand for your telecom technology and understand DoT approval requirements for your equipment category.",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"DoT Trusted Telecom Portal and approval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DoT equipment approval, security certification, and Trusted Telecom Portal registration requirements for your telecom products.",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telecom operator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Jio, Airtel, and BSNL technology procurement contacts and systems integrator partners as commercial channels.",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telecom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go-to-market plan covering 5G equipment, software, and services across operator and </w:t>
      </w:r>
      <w:proofErr w:type="spellStart"/>
      <w:r>
        <w:rPr>
          <w:rFonts w:ascii="Courier New" w:eastAsia="Courier New" w:hAnsi="Courier New" w:cs="Courier New"/>
          <w:color w:val="1B2A4A"/>
          <w:sz w:val="16"/>
          <w:szCs w:val="16"/>
        </w:rPr>
        <w:t>BharatNet</w:t>
      </w:r>
      <w:proofErr w:type="spellEnd"/>
      <w:r>
        <w:rPr>
          <w:rFonts w:ascii="Courier New" w:eastAsia="Courier New" w:hAnsi="Courier New" w:cs="Courier New"/>
          <w:color w:val="1B2A4A"/>
          <w:sz w:val="16"/>
          <w:szCs w:val="16"/>
        </w:rPr>
        <w:t xml:space="preserve"> government procurement.",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telecom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need a pitch book grounded in India telecom market data and 5G rollout analysis.",</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"Telecom PLI and manufacturing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understand PLI for telecom and networking products eligibility and manufacturing localisation requirements."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operator and government demand for your telecom technology with DoT regulatory landscape mapping and operator procurement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telecom investment covering DoT compliance cost and operator pricing economics.",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telecom market entry including DoT approval pathway, operator partner identification, and first-deployment milestone.",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telecom GTM team covering Jio, Airtel, and </w:t>
      </w:r>
      <w:proofErr w:type="spellStart"/>
      <w:r>
        <w:rPr>
          <w:rFonts w:ascii="Courier New" w:eastAsia="Courier New" w:hAnsi="Courier New" w:cs="Courier New"/>
          <w:color w:val="1B2A4A"/>
          <w:sz w:val="16"/>
          <w:szCs w:val="16"/>
        </w:rPr>
        <w:t>BharatNet</w:t>
      </w:r>
      <w:proofErr w:type="spellEnd"/>
      <w:r>
        <w:rPr>
          <w:rFonts w:ascii="Courier New" w:eastAsia="Courier New" w:hAnsi="Courier New" w:cs="Courier New"/>
          <w:color w:val="1B2A4A"/>
          <w:sz w:val="16"/>
          <w:szCs w:val="16"/>
        </w:rPr>
        <w:t xml:space="preserve"> procurement outreach.",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telecom investment with 5G rollout and </w:t>
      </w:r>
      <w:proofErr w:type="spellStart"/>
      <w:r>
        <w:rPr>
          <w:rFonts w:ascii="Courier New" w:eastAsia="Courier New" w:hAnsi="Courier New" w:cs="Courier New"/>
          <w:color w:val="1B2A4A"/>
          <w:sz w:val="16"/>
          <w:szCs w:val="16"/>
        </w:rPr>
        <w:t>BharatNet</w:t>
      </w:r>
      <w:proofErr w:type="spellEnd"/>
      <w:r>
        <w:rPr>
          <w:rFonts w:ascii="Courier New" w:eastAsia="Courier New" w:hAnsi="Courier New" w:cs="Courier New"/>
          <w:color w:val="1B2A4A"/>
          <w:sz w:val="16"/>
          <w:szCs w:val="16"/>
        </w:rPr>
        <w:t xml:space="preserve"> demand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Open RAN intelligent controller for Indian network conditions to AI-powered network optimisation."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network equipment vendors or also with telecom software, OSS/BSS, and connectivity technology companies entering India?|All telecom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telecom market entry engagement take?|Typically 8–12 weeks for operator demand research, DoT regulatory mapping, and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Jio and Airtel network equipment procurement contacts?|Yes — operator procurement contact mapping is core to our India telecom market entry service.",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does India's Trusted Telecom Portal affect market entry strategy for international equipment vendors?|DoT Trusted Telecom Portal approval is mandatory before operator deployment — we map the approval pathway and timeline as part of every India telecom engagement."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telecom market entry, India 5G GTM strategy, India network equipment consulting, DoT regulatory advisory, India </w:t>
      </w:r>
      <w:proofErr w:type="spellStart"/>
      <w:r>
        <w:rPr>
          <w:rFonts w:ascii="Courier New" w:eastAsia="Courier New" w:hAnsi="Courier New" w:cs="Courier New"/>
          <w:color w:val="1B2A4A"/>
          <w:sz w:val="16"/>
          <w:szCs w:val="16"/>
        </w:rPr>
        <w:t>BharatNet</w:t>
      </w:r>
      <w:proofErr w:type="spellEnd"/>
      <w:r>
        <w:rPr>
          <w:rFonts w:ascii="Courier New" w:eastAsia="Courier New" w:hAnsi="Courier New" w:cs="Courier New"/>
          <w:color w:val="1B2A4A"/>
          <w:sz w:val="16"/>
          <w:szCs w:val="16"/>
        </w:rPr>
        <w:t xml:space="preserve"> market entry, India telecom technology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Pan-India operator procurement from Mumbai and Delhi NCR; </w:t>
      </w:r>
      <w:proofErr w:type="spellStart"/>
      <w:r>
        <w:rPr>
          <w:rFonts w:ascii="Courier New" w:eastAsia="Courier New" w:hAnsi="Courier New" w:cs="Courier New"/>
          <w:color w:val="1B2A4A"/>
          <w:sz w:val="16"/>
          <w:szCs w:val="16"/>
        </w:rPr>
        <w:t>BharatNet</w:t>
      </w:r>
      <w:proofErr w:type="spellEnd"/>
      <w:r>
        <w:rPr>
          <w:rFonts w:ascii="Courier New" w:eastAsia="Courier New" w:hAnsi="Courier New" w:cs="Courier New"/>
          <w:color w:val="1B2A4A"/>
          <w:sz w:val="16"/>
          <w:szCs w:val="16"/>
        </w:rPr>
        <w:t xml:space="preserve"> across rural India; manufacturing zones in Noida, Chennai, Bengaluru",</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"$25B",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telecom equipment and services market by 2027",</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"5G rollout, network virtualisation, and </w:t>
      </w:r>
      <w:proofErr w:type="spellStart"/>
      <w:r>
        <w:rPr>
          <w:rFonts w:ascii="Courier New" w:eastAsia="Courier New" w:hAnsi="Courier New" w:cs="Courier New"/>
          <w:color w:val="1B2A4A"/>
          <w:sz w:val="16"/>
          <w:szCs w:val="16"/>
        </w:rPr>
        <w:t>BharatNet</w:t>
      </w:r>
      <w:proofErr w:type="spellEnd"/>
      <w:r>
        <w:rPr>
          <w:rFonts w:ascii="Courier New" w:eastAsia="Courier New" w:hAnsi="Courier New" w:cs="Courier New"/>
          <w:color w:val="1B2A4A"/>
          <w:sz w:val="16"/>
          <w:szCs w:val="16"/>
        </w:rPr>
        <w:t xml:space="preserve"> rural connectivity investment all driving sustained telecom procurement.",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telecom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operator network procurement heads, DoT officials, and telecom SI partners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telecom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DoT regulatory mapping and operator demand research delivers India telecom market entry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"gulf-food-security",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agritech</w:t>
      </w:r>
      <w:proofErr w:type="spellEnd"/>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"Gulf Food Security &amp; Agricultural Technology Market Entry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food security technology companies, precision agriculture businesses, and food system innovators enter Gulf markets with market entry strategy, government programme identification, and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"Gulf food security and agricultural technology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food technology to Gulf food security deployment — strategy for food and agricultural technology companies entering the GCC.",</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Gulf's food security agenda is one of the region's most commercially significant — with Gulf states importing 85%+ of their food, governments committing billions to domestic food production and food security technology, vertical farming investments scaling in UAE and Saudi Arabia, and food waste reduction and supply chain technology becoming strategic priorities. International food technology companies, controlled environment agriculture businesses, food supply chain technology providers, and alternative protein companies are all evaluating Gulf food security market entry. GreyRadius helps food technology companies validate Gulf government and institutional demand, access food security programme procurement, identify local partners, and execute entry.",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"Saudi Arabia's National Food Security Strategy and UAE's Food Security Strategy 2051 are both in active implementation — creating government procurement for vertical farming technology, food supply chain management systems, precision agriculture, and food waste reduction that international companies can access in 2024–2027.",</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food security investment is projected to exceed $50B through 2030 — Saudi Arabia, UAE, and Qatar collectively committing to reduce food import dependency through domestic production, technology, and supply chain investment.",</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"UAE's vertical farming market is growing at 35% annually — </w:t>
      </w:r>
      <w:proofErr w:type="spellStart"/>
      <w:r>
        <w:rPr>
          <w:rFonts w:ascii="Courier New" w:eastAsia="Courier New" w:hAnsi="Courier New" w:cs="Courier New"/>
          <w:color w:val="1B2A4A"/>
          <w:sz w:val="16"/>
          <w:szCs w:val="16"/>
        </w:rPr>
        <w:t>Badia</w:t>
      </w:r>
      <w:proofErr w:type="spellEnd"/>
      <w:r>
        <w:rPr>
          <w:rFonts w:ascii="Courier New" w:eastAsia="Courier New" w:hAnsi="Courier New" w:cs="Courier New"/>
          <w:color w:val="1B2A4A"/>
          <w:sz w:val="16"/>
          <w:szCs w:val="16"/>
        </w:rPr>
        <w:t xml:space="preserve"> Farms, Pure Harvest Smart Farms, and government-backed vertical farming investments creating demand for controlled environment agriculture technology.",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Red Sea Food Company and NADA are creating industrial-scale food production that requires precision agriculture technology, supply chain management, and food safety systems.",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food waste reduction is a strategic priority — 45% food waste rate across the Gulf is creating demand for supply chain visibility, cold chain technology, and food rescue platforms."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food technology procurement is heavily government and quasi-government driven — Ministry of Environment and Water, ADAFSA, and SFDA all control key regulatory and procurement decisions.",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"Water scarcity makes some agriculture technology more relevant — Gulf food technology deployment must account for extreme water constraints that affect which agricultural technologies are viable.",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food technology vendors and Chinese agricultural equipment suppliers is intensifying across Gulf food security 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"Cultural preferences for specific food types — rice, lamb, dates, and fresh produce — affect which food technology applications are commercially relevant in Gulf 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food security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Ministry of Food, quasi-government, and private sector demand for your food technology and identify active food security programme procurement.",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food security regulatory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SFDA, ADAFSA, and Ministry of Environment food technology licensing and product approval requirements.",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food security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sovereign investment fund food portfolio companies, agricultural development authorities, and food systems integrators as commercial partners.",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food security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go-to-market plan covering government food security programmes, private agri-food investment, and food retail technology.",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food security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need a pitch book grounded in Gulf food security programme data and government commitment analysis.",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"Food security programme access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specific Saudi and UAE food security programme procurement windows for your technology category."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government and institutional demand for your food technology with food security programme mapping and procurement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food security investment covering regulatory compliance and government programme access economics.",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food security market entry including programme access strategy, government partner identification, and first-deployment milestone.",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food security GTM team covering Ministry and sovereign food portfolio outreach.",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food security investment with national food security strategy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AI-powered water optimisation for Gulf climate agriculture to food supply chain waste prediction."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vertical farming companies or also with food supply chain technology, precision agriculture, and alternative protein companies in the Gulf?|All food and agricultural technology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"Which Gulf food security markets does GreyRadius prioritise?|UAE for vertical farming and food tech innovation, Saudi Arabia for large-scale food security programme procurement.",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food security engagement take?|Typically 8–12 weeks for government programme mapping and institutional demand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Gulf sovereign food investment portfolio contacts and food security programme procurement officials?|Yes."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food security market entry, Saudi Arabia agricultural technology GTM strategy, UAE food tech consulting, Gulf precision agriculture advisory, GCC food security market entry, Gulf vertical farming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"UAE — Abu Dhabi and Dubai food security zones, Saudi Arabia — NADA and Red Sea Food Company, Qatar",</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"$50B+",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food security investment through 2030",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"Saudi Arabia, UAE, and Qatar reducing food import dependency through domestic production, technology, and supply chain investment.",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food security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"stat2b": "Ministry food security officials, sovereign food investment managers, and agricultural technology buyers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food security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food security programme mapping and institutional demand research delivers Gulf food technology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"southeast-</w:t>
      </w:r>
      <w:proofErr w:type="spellStart"/>
      <w:r>
        <w:rPr>
          <w:rFonts w:ascii="Courier New" w:eastAsia="Courier New" w:hAnsi="Courier New" w:cs="Courier New"/>
          <w:color w:val="1B2A4A"/>
          <w:sz w:val="16"/>
          <w:szCs w:val="16"/>
        </w:rPr>
        <w:t>asia</w:t>
      </w:r>
      <w:proofErr w:type="spellEnd"/>
      <w:r>
        <w:rPr>
          <w:rFonts w:ascii="Courier New" w:eastAsia="Courier New" w:hAnsi="Courier New" w:cs="Courier New"/>
          <w:color w:val="1B2A4A"/>
          <w:sz w:val="16"/>
          <w:szCs w:val="16"/>
        </w:rPr>
        <w:t>-manufacturing-technology",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"Southeast Asia Manufacturing Technology Market Entry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manufacturing technology companies enter Southeast Asia with market entry strategy, enterprise buyer research, regulatory mapping, and channel partner identification across Vietnam, Indonesia, and Thailand.",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"Southeast Asia manufacturing technology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manufacturing technology to ASEAN factory deployment — strategy for industrial tech companies entering Southeast Asia.",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"Southeast Asia's manufacturing technology market is growing at extraordinary speed — driven by the world's largest manufacturing FDI influx as companies diversify from China, Vietnam's electronics and semiconductor manufacturing expansion, Indonesia's battery and EV manufacturing investment, and Thailand's automotive and electronics manufacturing digitalisation. International MES providers, industrial IoT companies, quality management software businesses, and manufacturing AI companies are all evaluating Southeast Asia as a high-growth industrial technology market. GreyRadius helps manufacturing technology companies validate enterprise demand, identify channel partners, and execute GTM across priority ASEAN manufacturing 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"Southeast Asia's manufacturing investment cycle is the most active in its history — Apple's Vietnam supply chain expansion, Samsung's Vietnam manufacturing scale, and dozens of China-plus-one manufacturing relocations are all creating greenfield factory installations requiring state-of-the-art manufacturing technology. The industrial technology companies establishing Southeast Asian manufacturer relationships in 2024–2027 will be embedded in facilities that will operate for decades.",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manufacturing technology market is projected to reach $10B by 2027 — growing at 22% annually as manufacturing FDI, factory digitalisation, and Industry 4.0 adoption all drive demand.",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"Vietnam is Southeast Asia's fastest-growing manufacturing technology market — electronics manufacturing growing at 25% annually creating MES, quality, and supply chain technology demand from Apple and Samsung suppliers.",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"Indonesia's EV and battery manufacturing programme is creating industrial technology demand — government-backed battery </w:t>
      </w:r>
      <w:proofErr w:type="spellStart"/>
      <w:r>
        <w:rPr>
          <w:rFonts w:ascii="Courier New" w:eastAsia="Courier New" w:hAnsi="Courier New" w:cs="Courier New"/>
          <w:color w:val="1B2A4A"/>
          <w:sz w:val="16"/>
          <w:szCs w:val="16"/>
        </w:rPr>
        <w:t>gigafactories</w:t>
      </w:r>
      <w:proofErr w:type="spellEnd"/>
      <w:r>
        <w:rPr>
          <w:rFonts w:ascii="Courier New" w:eastAsia="Courier New" w:hAnsi="Courier New" w:cs="Courier New"/>
          <w:color w:val="1B2A4A"/>
          <w:sz w:val="16"/>
          <w:szCs w:val="16"/>
        </w:rPr>
        <w:t xml:space="preserve"> and EV assembly plants all requiring manufacturing execution and quality systems.",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"Thailand's automotive manufacturing sector is digitalising — Japanese and Korean automotive manufacturers in Thailand are all investing in smart factory technology as part of global manufacturing transformation programmes."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"Manufacturing technology procurement in Southeast Asia is relationship-driven — factory managers and operations directors rely on trusted engineering and technology partners for industrial technology decisions.",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"OT-IT integration complexity varies across Southeast Asian factories — legacy PLC and SCADA systems from Japanese and Korean equipment manufacturers require specialised integration expertise.",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"Price sensitivity is significant across most Southeast Asian manufacturing segments — international manufacturing technology pricing must be adapted for Southeast Asian manufacturer budget constraints.",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"Language and cultural diversity across ASEAN — Bahasa Indonesia, Vietnamese, Thai, and Tagalog all require localisation for operator-level technology interfaces."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manufacturing technology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which ASEAN manufacturing segments are actively investing in your technology and what their integration and price requirements are.",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manufacturing technology channel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automation companies, system integrators, and industrial distributors as channel partners in each target market.",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manufacturing technology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Vietnam-first go-to-market plan with Indonesia and Thailand expansion for your manufacturing technology product.",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Southeast Asia manufacturing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need a pitch book grounded in ASEAN manufacturing FDI data and technology adoption analysis.",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"OEM and equipment manufacturer partnership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Japanese, Korean, and local equipment manufacturer integration partnerships as commercial enablers.",</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"Factory FDI programme </w:t>
      </w:r>
      <w:proofErr w:type="spellStart"/>
      <w:r>
        <w:rPr>
          <w:rFonts w:ascii="Courier New" w:eastAsia="Courier New" w:hAnsi="Courier New" w:cs="Courier New"/>
          <w:color w:val="1B2A4A"/>
          <w:sz w:val="16"/>
          <w:szCs w:val="16"/>
        </w:rPr>
        <w:t>access|You</w:t>
      </w:r>
      <w:proofErr w:type="spellEnd"/>
      <w:r>
        <w:rPr>
          <w:rFonts w:ascii="Courier New" w:eastAsia="Courier New" w:hAnsi="Courier New" w:cs="Courier New"/>
          <w:color w:val="1B2A4A"/>
          <w:sz w:val="16"/>
          <w:szCs w:val="16"/>
        </w:rPr>
        <w:t xml:space="preserve"> need to understand how to access manufacturing investment promotion authority procurement across Vietnam, Indonesia, and Thailand."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"Validate Southeast Asian manufacturing enterprise demand with primary research across FDI-driven and domestic manufacturer segments.",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Southeast Asia manufacturing technology investment covering channel economics and localisation cost.",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Southeast Asia manufacturing technology market entry including channel partner identification and first-enterprise-deployment milestone.",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Southeast Asia manufacturing technology GTM team covering factory and SI outreach.",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Southeast Asia manufacturing technology with manufacturing FDI demand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quality vision inspection in Southeast Asian factory conditions to predictive maintenance for high-humidity manufacturing environments."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MES companies or also with </w:t>
      </w:r>
      <w:proofErr w:type="spellStart"/>
      <w:r>
        <w:rPr>
          <w:rFonts w:ascii="Courier New" w:eastAsia="Courier New" w:hAnsi="Courier New" w:cs="Courier New"/>
          <w:color w:val="1B2A4A"/>
          <w:sz w:val="16"/>
          <w:szCs w:val="16"/>
        </w:rPr>
        <w:t>IIoT</w:t>
      </w:r>
      <w:proofErr w:type="spellEnd"/>
      <w:r>
        <w:rPr>
          <w:rFonts w:ascii="Courier New" w:eastAsia="Courier New" w:hAnsi="Courier New" w:cs="Courier New"/>
          <w:color w:val="1B2A4A"/>
          <w:sz w:val="16"/>
          <w:szCs w:val="16"/>
        </w:rPr>
        <w:t>, quality management, and robotics companies entering Southeast Asia?|All manufacturing technology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"Which Southeast Asian markets does GreyRadius prioritise for manufacturing technology?|Vietnam for electronics manufacturing scale, Indonesia for EV and battery manufacturing, Thailand for automotive.",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Southeast Asia manufacturing technology engagement take?|Typically 8–10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industrial automation and SI channel partners across ASEAN?|Yes."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"Southeast Asia manufacturing technology market entry, Vietnam MES GTM strategy, Indonesia industrial IoT consulting, ASEAN manufacturing tech advisory, Southeast Asia Industry 4.0 market entry",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"Vietnam — Hanoi and Ho Chi Minh City manufacturing corridors, Indonesia — Karawang and </w:t>
      </w:r>
      <w:proofErr w:type="spellStart"/>
      <w:r>
        <w:rPr>
          <w:rFonts w:ascii="Courier New" w:eastAsia="Courier New" w:hAnsi="Courier New" w:cs="Courier New"/>
          <w:color w:val="1B2A4A"/>
          <w:sz w:val="16"/>
          <w:szCs w:val="16"/>
        </w:rPr>
        <w:t>Batam</w:t>
      </w:r>
      <w:proofErr w:type="spellEnd"/>
      <w:r>
        <w:rPr>
          <w:rFonts w:ascii="Courier New" w:eastAsia="Courier New" w:hAnsi="Courier New" w:cs="Courier New"/>
          <w:color w:val="1B2A4A"/>
          <w:sz w:val="16"/>
          <w:szCs w:val="16"/>
        </w:rPr>
        <w:t xml:space="preserve"> industrial zones, Thailand — Eastern Economic Corridor",</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"$10B",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"Southeast Asia manufacturing technology market by 2027",</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22% annually as manufacturing FDI, factory digitalisation, and Industry 4.0 adoption drive demand.",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Southeast Asia manufacturing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"stat2b": "Factory directors, plant managers, and industrial SI partners across ASEAN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"Southeast Asia manufacturing technology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FDI programme mapping and manufacturer demand research delivers Southeast Asia manufacturing technology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-renewable-hydrogen",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"renewable-energy",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Green Hydrogen Market Entry Strategy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green hydrogen companies enter India with market entry strategy, National Green Hydrogen Mission access, regulatory mapping, and partner identification for electrolyser, fuel cell, and hydrogen storage businesses.",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"India green hydrogen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hydrogen technology to Indian green hydrogen deployment — strategy for hydrogen companies entering India.",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green hydrogen market is at the frontier of global clean energy development — with the National Green Hydrogen Mission committing $2.4B in government support, a 5 MTPA production target by 2030, SECI conducting India's first green hydrogen tenders, and Indian industry including steel, fertiliser, and refining all beginning hydrogen pilot programmes. International electrolyser manufacturers, hydrogen storage technology companies, fuel cell businesses, and green hydrogen project developers are all evaluating India as a strategic green hydrogen market. GreyRadius helps hydrogen companies validate Indian demand, access National Green Hydrogen Mission incentives, identify partners, and raise capital.",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"India's NGHM incentive application windows are open — the Strategic Interventions for Green Hydrogen Transition (SIGHT) programme is actively disbursing incentives for electrolyser manufacturing and green hydrogen production with defined application timelines in 2024–2026. The hydrogen technology companies that access NGHM incentives in this window will have competitive cost advantages that persist through the decade.",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green hydrogen market is projected to reach $8B by 2030 — growing from near zero as NGHM incentives, industrial demand, and declining electrolyser cost all combine to make green hydrogen commercially viable.",</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"India's SIGHT scheme offers production-linked incentives for electrolyser manufacturing — creating the world's most significant government co-investment in domestic electrolyser production outside China.",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fertiliser sector is the world's largest captive green hydrogen demand opportunity — 8 million tonnes of grey hydrogen currently used in fertiliser production can be replaced by green hydrogen at competitive cost.",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steel sector green hydrogen pilot programmes are accelerating — JSW, Tata Steel, and SAIL are all running green hydrogen steel trials that create near-term demand for hydrogen technology."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"Green hydrogen cost competitiveness is still developing — without NGHM incentives, Indian green hydrogen is not yet cost-competitive with grey hydrogen requiring careful incentive programme navigation.",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"Electrolyser supply chain in India is nascent — components, membranes, and manufacturing expertise for electrolyser production at scale require significant supply chain development investment.",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"Water availability for green hydrogen production is constrained in many locations — India's water scarcity conflicts with electrolyser water requirements requiring careful site selection.",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"NGHM incentive disbursement timelines can be slower than announced — government programme execution pace requires conservative financial planning."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green hydrogen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industrial and government demand for green hydrogen in India and identify active SECI tender and NGHM programme opportunities.",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"NGHM SIGHT incentive access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understand SIGHT electrolyser manufacturing incentive eligibility, application requirements, and approval timelines.",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green hydrogen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Indian industrial conglomerates, EPC contractors, and state government energy agencies as project partners.",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green hydrogen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go-to-market plan covering SECI tender participation, industrial offtake development, and SIGHT programme access.",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green hydrogen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need a pitch book grounded in NGHM incentive data and Indian industrial demand analysis.",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"Site selection and water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green hydrogen production site selection framework that balances renewable energy access with water availability constraints."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industrial and government green hydrogen demand with NGHM programme mapping and SECI tender pipeline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green hydrogen investment including SIGHT incentive modelling and production cost analysis.",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green hydrogen market entry including SIGHT application strategy, industrial offtake partner identification, and first-production milestone.",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green hydrogen GTM team covering SECI, industrial sector, and NGHM programme outreach.",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green hydrogen investment with NGHM incentive and industrial demand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green hydrogen plant efficiency optimisation to hydrogen storage safety monitoring systems."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electrolyser manufacturers or also with fuel cell, hydrogen storage, and green hydrogen project developer companies entering India?|All green hydrogen technology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green hydrogen engagement take?|Typically 8–12 weeks for industrial demand research, NGHM programme mapping, and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SIGHT programme applications for electrolyser companies?|We map eligibility and prepare market analysis — formal SIGHT applications are submitted by the company.",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"What makes India attractive for green hydrogen investment?|NGHM SIGHT incentives, large captive industrial demand in fertiliser and steel, competitive renewable energy cost, and government 2030 target all combine to create compelling investment case."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green hydrogen market entry, India NGHM GTM strategy, India electrolyser consulting, SIGHT programme advisory, India hydrogen technology market entry, India green hydrogen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Rajasthan and Gujarat for solar green hydrogen, Tamil Nadu for wind hydrogen, Odisha and Jharkhand for industrial steel demand",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"5 MTPA",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green hydrogen production target by 2030",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"NGHM SIGHT incentives, industrial captive demand in fertiliser and steel, and competitive renewable energy cost creating compelling investment case.",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"stat2l": "Primary interviews per India green hydrogen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"stat2b": "Industrial offtake heads, SECI programme officials, and NGHM policy makers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green hydrogen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NGHM programme mapping and industrial demand research delivers India green hydrogen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"gulf-sustainability-financing",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"carbon-markets",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"Gulf Sustainability Financing &amp; Green Finance Market Entry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green finance companies, sustainability financing platforms, and ESG capital markets businesses enter Gulf markets with market entry strategy, regulatory mapping, and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"Gulf sustainability financing and green finance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green finance to Gulf sustainable capital markets — strategy for sustainability financing companies entering the GCC.",</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Gulf's green finance market is growing at extraordinary speed — with UAE positioning as a global green finance hub hosting COP28, Saudi Arabia's SAR 100B+ green bond market developing, Qatar's sustainable finance framework advancing, and Gulf sovereign wealth funds integrating ESG into multi-trillion dollar investment mandates. International green bond platforms, sustainability-linked loan arrangers, green sukuk structuring advisories, ESG rating companies, and impact investment platforms are all evaluating Gulf green finance market entry. GreyRadius helps green finance companies validate Gulf institutional demand, navigate capital markets regulatory requirements, identify bank and sovereign fund partners, and execute entry.",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"Gulf green finance regulatory frameworks are crystallising — UAE's Sustainable Finance Working Group, Saudi Arabia's CMA green bond framework, and Bahrain's green sukuk guidelines are all creating defined regulatory pathways that international green finance companies can now plan against. The COP28 UAE legacy investment is creating sustained green finance infrastructure demand.",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green finance market is projected to reach $100B in annual issuance by 2028 — growing from $15B in 2022 as government commitments, corporate net-zero pledges, and regulatory frameworks all drive green capital markets activity.",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"UAE issued $15B+ in green bonds and sukuk in 2023 alone — making it the Gulf's most active green capital markets jurisdiction and the natural first market for international green finance companies.",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Green Finance Framework and Vision 2030 sustainability commitments are creating sovereign green bond issuance demand — Aramco, STC, and SABIC all issuing sustainability-linked bonds creating rating and verification demand.",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Islamic green finance is a unique and growing category — green sukuk combining Islamic finance principles with environmental impact is the world's fastest-growing sustainable finance instrument."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capital markets are highly relationship-driven — green finance advisory and arrangement mandates depend on senior relationships with CFOs and treasurers at Gulf corporations and sovereigns.",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"Arabic language documentation requirements apply to Gulf capital markets issuance — green bond prospectuses and sustainability reports all require Arabic translation and culturally appropriate framing.",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approval processes for new green finance instruments are slow — green sukuk structures and innovative sustainable finance instruments may require regulatory pre-approval from CBUAE, CMA, or QFMA.",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global investment banks — HSBC, Standard Chartered, and regional banks — with Gulf capital markets relationships is intense across green bond arrangement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green finance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Gulf corporate and sovereign demand for your green finance product and understand which regulatory frameworks apply.",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capital markets regulatory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CBUAE, CMA, and Tadawul green finance frameworks and product approval requirements.",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green finance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Gulf investment banks, Islamic finance institutions, and sustainability offices of sovereigns and corporates as commercial partners.",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green finance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go-to-market plan covering sovereign green bond arrangement, corporate sustainability-linked loans, and green sukuk structuring.",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or securing mandates for Gulf green </w:t>
      </w:r>
      <w:proofErr w:type="spellStart"/>
      <w:r>
        <w:rPr>
          <w:rFonts w:ascii="Courier New" w:eastAsia="Courier New" w:hAnsi="Courier New" w:cs="Courier New"/>
          <w:color w:val="1B2A4A"/>
          <w:sz w:val="16"/>
          <w:szCs w:val="16"/>
        </w:rPr>
        <w:t>finance|You</w:t>
      </w:r>
      <w:proofErr w:type="spellEnd"/>
      <w:r>
        <w:rPr>
          <w:rFonts w:ascii="Courier New" w:eastAsia="Courier New" w:hAnsi="Courier New" w:cs="Courier New"/>
          <w:color w:val="1B2A4A"/>
          <w:sz w:val="16"/>
          <w:szCs w:val="16"/>
        </w:rPr>
        <w:t xml:space="preserve"> need a business development approach grounded in Gulf green finance market data and issuer pipeline analysis.",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"Green sukuk innovation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understand the green sukuk market structure, Shariah compatibility requirements, and Islamic ESG investor base."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corporate and sovereign demand for your green finance product with primary research and capital markets regulatory mapping.",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green finance investment covering regulatory compliance and relationship development economics.",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green finance market entry including regulatory pathway, investment bank partner identification, and first-mandate milestone.",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green finance GTM team covering sovereign, corporate, and institutional investor outreach.",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or business development materials for Gulf green finance expansion.",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automated Islamic ESG screening to green bond impact reporting automation."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green bond arrangement companies or also with ESG rating, sustainability reporting, and impact investment platform companies in the Gulf?|All green finance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"Which Gulf green finance markets does GreyRadius prioritise?|UAE for established green capital markets volume, Saudi Arabia for sovereign green issuance scale.",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green finance engagement take?|Typically 8–12 weeks for regulatory mapping and institutional demand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Gulf sovereign treasury and corporate CFO contacts for green finance companies?|Yes — sovereign and corporate green finance buyer identification are core to our Gulf green finance service."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green finance market entry, UAE sustainable financing GTM strategy, Saudi Arabia green bond consulting, Gulf ESG capital markets advisory, GCC green finance market entry, Gulf sukuk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"UAE — DIFC Dubai and ADGM Abu Dhabi, Saudi Arabia — Riyadh CMA, Qatar — QFCRA, Bahrain",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"$100B",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annual green finance issuance by 2028",</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from $15B in 2022 as government commitments, corporate net-zero pledges, and regulatory frameworks drive green capital markets activity.",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green finance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"stat2b": "Gulf corporate treasurers, sovereign wealth fund ESG teams, and capital markets regulators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sustainability financing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Gulf capital markets regulatory mapping and institutional demand research delivers Gulf green finance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africa</w:t>
      </w:r>
      <w:proofErr w:type="spellEnd"/>
      <w:r>
        <w:rPr>
          <w:rFonts w:ascii="Courier New" w:eastAsia="Courier New" w:hAnsi="Courier New" w:cs="Courier New"/>
          <w:color w:val="1B2A4A"/>
          <w:sz w:val="16"/>
          <w:szCs w:val="16"/>
        </w:rPr>
        <w:t>-solar-energy-scale",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"renewable-energy",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Utility-Scale Solar Energy Market Entry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utility-scale solar companies enter Africa with market entry strategy, IPP licensing, DFI programme identification, PPA framework access, and project developer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"Africa utility-scale solar energy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solar technology to African grid power — strategy for utility-scale solar companies entering Africa.",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"Africa's utility-scale solar market is growing at extraordinary speed — with South Africa's REIPPPP creating the continent's most sophisticated renewable energy procurement framework, Morocco's solar megaprojects demonstrating African utility-scale solar excellence, Kenya and Egypt both running competitive solar tenders, and governments across Africa committing to renewable energy targets that require gigawatt-scale solar investment. International solar project developers, EPC contractors, solar equipment manufacturers, and solar financing companies are all evaluating Africa as a utility-scale solar investment destination. GreyRadius helps solar companies validate African project demand, access government tender programmes, navigate IPP frameworks, identify partners, and raise capital.",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"African solar tender pipelines are active across multiple markets simultaneously — South Africa's REIPPPP Round 7, Egypt's FIT programme, Kenya's competitive solar tenders, and Morocco's ongoing solar expansion are all procuring in 2024–2027. The solar companies establishing African project developer and utility relationships now will capture project awards across the continent's most commercially attractive 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"Africa's utility-scale solar market is projected to reach $20B annually by 2028 — growing at 25% as government renewable targets, improving project finance, and declining solar costs all make large-scale solar viable across the continent.",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"South Africa's REIPPPP has created Africa's most bankable renewable energy procurement framework — 130+ projects financed under REIPPPP demonstrating that South African solar projects can access international project finance.",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"Morocco's Noor solar programme is Africa's largest solar installation — demonstrating that utility-scale solar at gigawatt scale is operationally and commercially viable in African conditions.",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"Egypt's renewable energy market is growing at 20% annually — 42 GW renewable energy target and competitive tender programmes creating significant project development and equipment supply opportunity."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"African IPP frameworks vary significantly in bankability — South Africa's REIPPPP is world-class while some African markets have PPAs that are too weak to support international project finance.",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"Currency risk on PPA revenues is the most significant project finance challenge — PPAs denominated in local currency with government utilities create currency mismatch with hard currency project finance.",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"Grid connection infrastructure is insufficient in many African markets — transmission capacity is often the binding constraint on how much solar can be connected in priority 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"Procurement processes are slow — African solar tender timelines from announcement to financial close can be 24–48 months requiring patience and sustained engagement."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"Africa utility-scale solar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active solar tender pipelines and utility offtake capacity across priority African markets for your project development or equipment supply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"IPP licensing and PPA framework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need to understand IPP licensing requirements, PPA bankability, and grid connection processes in each target African solar market.",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"Africa solar project developer and utility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project developer joint venture partners, EPC contractors, and utility offtake counterparties in each target market.",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"Africa solar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market-by-market tender participation plan or equipment supply strategy for African utility-scale solar procurement.",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Africa solar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need a pitch book grounded in Africa solar tender pipeline data and DFI financing landscape.",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"DFI financing programme access for Africa </w:t>
      </w:r>
      <w:proofErr w:type="spellStart"/>
      <w:r>
        <w:rPr>
          <w:rFonts w:ascii="Courier New" w:eastAsia="Courier New" w:hAnsi="Courier New" w:cs="Courier New"/>
          <w:color w:val="1B2A4A"/>
          <w:sz w:val="16"/>
          <w:szCs w:val="16"/>
        </w:rPr>
        <w:t>solar|You</w:t>
      </w:r>
      <w:proofErr w:type="spellEnd"/>
      <w:r>
        <w:rPr>
          <w:rFonts w:ascii="Courier New" w:eastAsia="Courier New" w:hAnsi="Courier New" w:cs="Courier New"/>
          <w:color w:val="1B2A4A"/>
          <w:sz w:val="16"/>
          <w:szCs w:val="16"/>
        </w:rPr>
        <w:t xml:space="preserve"> need to identify IFC, AfDB, and bilateral solar financing programme opportunities for project bankability."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"Validate African solar tender demand across priority markets with pipeline mapping and utility procurement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Africa utility-scale solar investment covering PPA bankability and DFI financing structure.",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Africa solar market entry including IPP licence pathway, project developer partner identification, and tender participation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Africa solar GTM team covering government utility and project developer outreach.",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Africa solar investment with DFI co-financing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solar yield prediction for African climate conditions to grid stability management for variable renewable integration."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solar project developers or also with EPC contractors, solar equipment suppliers, and solar financing companies entering Africa?|All utility-scale solar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"Which African solar markets does GreyRadius prioritise?|South Africa for REIPPPP bankability, Egypt for scale, Kenya for established IPP framework, Morocco for quality track record.",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Africa solar market entry engagement take?|Typically 8–12 weeks for solar tender pipeline mapping, IPP framework assessment, and project developer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DFI financing programme access for African solar projects?|Yes — DFI programme identification and project finance structure guidance are core to our Africa solar market entry service."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solar energy market entry, South Africa REIPPPP GTM strategy, Egypt solar consulting, Africa IPP advisory, Africa renewable energy project development, Sub-Saharan solar market entry",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 Africa, Egypt, Morocco, Kenya, Nigeria, Ghana, Senegal",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"$20B",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"Africa utility-scale solar market annually by 2028",</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"Government renewable targets, improving project finance, and declining solar costs making gigawatt-scale solar commercially viable across Africa.",</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Africa solar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"stat2b": "Government energy procurement officials, project developers, and DFI programme managers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"Africa utility-scale solar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tender pipeline mapping and IPP framework research delivers Africa solar energy market entry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"southeast-</w:t>
      </w:r>
      <w:proofErr w:type="spellStart"/>
      <w:r>
        <w:rPr>
          <w:rFonts w:ascii="Courier New" w:eastAsia="Courier New" w:hAnsi="Courier New" w:cs="Courier New"/>
          <w:color w:val="1B2A4A"/>
          <w:sz w:val="16"/>
          <w:szCs w:val="16"/>
        </w:rPr>
        <w:t>asia</w:t>
      </w:r>
      <w:proofErr w:type="spellEnd"/>
      <w:r>
        <w:rPr>
          <w:rFonts w:ascii="Courier New" w:eastAsia="Courier New" w:hAnsi="Courier New" w:cs="Courier New"/>
          <w:color w:val="1B2A4A"/>
          <w:sz w:val="16"/>
          <w:szCs w:val="16"/>
        </w:rPr>
        <w:t>-</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"Southeast Asia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Market Entry Strategy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government technology companies enter Southeast Asia with market entry strategy, government programme identification, regulatory mapping, and partner identification across Indonesia, Vietnam, and Philippines.",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"Southeast Asia government technology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product to Southeast Asian government deployment — strategy for government technology companies entering ASEAN.",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"Southeast Asia's government technology market is growing at extraordinary speed — with Indonesia's Palapa Ring creating national digital government infrastructure, Vietnam's digital government programme investing $3B+, Philippines' </w:t>
      </w:r>
      <w:proofErr w:type="spellStart"/>
      <w:r>
        <w:rPr>
          <w:rFonts w:ascii="Courier New" w:eastAsia="Courier New" w:hAnsi="Courier New" w:cs="Courier New"/>
          <w:color w:val="1B2A4A"/>
          <w:sz w:val="16"/>
          <w:szCs w:val="16"/>
        </w:rPr>
        <w:t>eGov</w:t>
      </w:r>
      <w:proofErr w:type="spellEnd"/>
      <w:r>
        <w:rPr>
          <w:rFonts w:ascii="Courier New" w:eastAsia="Courier New" w:hAnsi="Courier New" w:cs="Courier New"/>
          <w:color w:val="1B2A4A"/>
          <w:sz w:val="16"/>
          <w:szCs w:val="16"/>
        </w:rPr>
        <w:t xml:space="preserve"> Super App initiative, and Singapore's Smart Nation programme all creating significant procurement for digital identity, citizen services, government analytics, and public sector digital transformation. International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companies across digital identity, tax administration technology, e-government platforms, government analytics, and public service delivery technology are all evaluating Southeast Asia as a government technology market. GreyRadius helps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companies validate Southeast Asian government demand, navigate procurement frameworks, identify local partners, and execute market entry.",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"Southeast Asia's government technology investment is at record levels — Indonesia's Satu Data Indonesia, Vietnam's National Data System, and Philippines' </w:t>
      </w:r>
      <w:proofErr w:type="spellStart"/>
      <w:r>
        <w:rPr>
          <w:rFonts w:ascii="Courier New" w:eastAsia="Courier New" w:hAnsi="Courier New" w:cs="Courier New"/>
          <w:color w:val="1B2A4A"/>
          <w:sz w:val="16"/>
          <w:szCs w:val="16"/>
        </w:rPr>
        <w:t>eGov</w:t>
      </w:r>
      <w:proofErr w:type="spellEnd"/>
      <w:r>
        <w:rPr>
          <w:rFonts w:ascii="Courier New" w:eastAsia="Courier New" w:hAnsi="Courier New" w:cs="Courier New"/>
          <w:color w:val="1B2A4A"/>
          <w:sz w:val="16"/>
          <w:szCs w:val="16"/>
        </w:rPr>
        <w:t xml:space="preserve"> programme are all in active procurement phases in 2024–2027. The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companies establishing Southeast Asian government relationships in this window will capture multi-year licence and implementation contracts.",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market is projected to reach $8B by 2027 — growing at 18% annually as government digitalisation investment, digital citizen services, and national data infrastructure all scale.",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"Indonesia's government technology procurement is the region's largest — 270 million citizens requiring digital government services across 38 provinces creating enormous national digitalisation demand.",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"Vietnam's digital government programme has committed $3B+ through 2025 — creating active procurement for digital identity, government data management, and citizen service platforms.",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"Singapore's Smart Nation programme has created a model that all ASEAN governments are following — Singapore's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agency is actively helping other ASEAN nations adopt Singapore-developed government technology."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procurement in Southeast Asia is slow and complex — national government tender processes can take 18–36 months from announcement to contract award.",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"Local partner requirements are often mandatory — government technology contracts in Indonesia, Vietnam, and Philippines frequently require local company consortium participation.",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"Data sovereignty requirements affect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architecture — each Southeast Asian government has specific requirements about where citizen data is stored and how it is processed.",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regional technology companies — Telkom Indonesia, FPT Group, and established government IT integrators — with deep government relationships is intense across all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which ASEAN government technology programmes are actively procuring your solution and what local partnership and regulatory requirements apply.",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procurement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national tender processes, government IT framework agreements, and procurement timelines in each target market.",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"Local partner and consortium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qualified local technology companies as consortium partners for government procurement in each market.",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Singapore-led go-to-market plan with Indonesia, Vietnam, and Philippines expansion for your government technology solution.",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Southeast Asia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need a pitch book grounded in ASEAN government technology market data.",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"Data sovereignty and localisation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government data architecture that meets each Southeast Asian market's sovereignty requirements."</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"Validate Southeast Asian government demand for your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product with programme pipeline mapping and government buyer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Southeast Asia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investment covering procurement timeline economics and local partner costs.",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Southeast Asia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market entry including tender participation strategy, local partner identification, and first-government-contract milestone.",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Southeast Asia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GTM team covering government programme and local partner outreach.",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Southeast Asia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investment with government digitalisation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multilingual Southeast Asian government chatbots to AI-powered tax administration and fraud detection."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digital identity companies or also with e-government platforms, government analytics, and tax administration technology companies in Southeast Asia?|All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"Which Southeast Asian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markets does GreyRadius prioritise?|Indonesia for scale, Singapore for Smart Nation model validation, Vietnam for active programme investment.",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Southeast Asia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engagement take?|Typically 8–12 weeks for government programme mapping and local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local technology consortium partners for government procurement in ASEAN?|Yes — local partner identification for government consortium requirements is core to our Southeast Asia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service."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"Southeast Asia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market entry, Indonesia government technology GTM strategy, Vietnam digital government consulting, ASEAN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advisory, Southeast Asia public sector technology market entry",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"Indonesia, Vietnam, Philippines, Thailand, Malaysia, Singapore",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"$8B",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"Southeast Asia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market by 2027",</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18% annually as government digitalisation investment, digital citizen services, and national data infrastructure all scale.",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Southeast Asia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"stat2b": "Government CIOs, procurement officials, and local technology integrators across ASEAN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"Southeast Asia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government programme pipeline mapping and procurement research delivers Southeast Asia </w:t>
      </w:r>
      <w:proofErr w:type="spellStart"/>
      <w:r>
        <w:rPr>
          <w:rFonts w:ascii="Courier New" w:eastAsia="Courier New" w:hAnsi="Courier New" w:cs="Courier New"/>
          <w:color w:val="1B2A4A"/>
          <w:sz w:val="16"/>
          <w:szCs w:val="16"/>
        </w:rPr>
        <w:t>GovTech</w:t>
      </w:r>
      <w:proofErr w:type="spellEnd"/>
      <w:r>
        <w:rPr>
          <w:rFonts w:ascii="Courier New" w:eastAsia="Courier New" w:hAnsi="Courier New" w:cs="Courier New"/>
          <w:color w:val="1B2A4A"/>
          <w:sz w:val="16"/>
          <w:szCs w:val="16"/>
        </w:rPr>
        <w:t xml:space="preserve">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-coastal-infrastructure",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Coastal &amp; Port Infrastructure Market Entry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coastal infrastructure companies, port technology businesses, and maritime service providers enter India with market entry strategy, </w:t>
      </w:r>
      <w:proofErr w:type="spellStart"/>
      <w:r>
        <w:rPr>
          <w:rFonts w:ascii="Courier New" w:eastAsia="Courier New" w:hAnsi="Courier New" w:cs="Courier New"/>
          <w:color w:val="1B2A4A"/>
          <w:sz w:val="16"/>
          <w:szCs w:val="16"/>
        </w:rPr>
        <w:t>Sagarmala</w:t>
      </w:r>
      <w:proofErr w:type="spellEnd"/>
      <w:r>
        <w:rPr>
          <w:rFonts w:ascii="Courier New" w:eastAsia="Courier New" w:hAnsi="Courier New" w:cs="Courier New"/>
          <w:color w:val="1B2A4A"/>
          <w:sz w:val="16"/>
          <w:szCs w:val="16"/>
        </w:rPr>
        <w:t xml:space="preserve"> programme access, regulatory mapping, and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"India coastal and port infrastructure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maritime technology to Indian port deployment — strategy for coastal infrastructure companies entering India.",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coastal and port infrastructure market is undergoing a historic transformation — with the </w:t>
      </w:r>
      <w:proofErr w:type="spellStart"/>
      <w:r>
        <w:rPr>
          <w:rFonts w:ascii="Courier New" w:eastAsia="Courier New" w:hAnsi="Courier New" w:cs="Courier New"/>
          <w:color w:val="1B2A4A"/>
          <w:sz w:val="16"/>
          <w:szCs w:val="16"/>
        </w:rPr>
        <w:t>Sagarmala</w:t>
      </w:r>
      <w:proofErr w:type="spellEnd"/>
      <w:r>
        <w:rPr>
          <w:rFonts w:ascii="Courier New" w:eastAsia="Courier New" w:hAnsi="Courier New" w:cs="Courier New"/>
          <w:color w:val="1B2A4A"/>
          <w:sz w:val="16"/>
          <w:szCs w:val="16"/>
        </w:rPr>
        <w:t xml:space="preserve"> programme investing $82B in port modernisation, coastal connectivity, and maritime logistics, India's container port throughput targeting 3 billion tonnes by 2025, major port development at </w:t>
      </w:r>
      <w:proofErr w:type="spellStart"/>
      <w:r>
        <w:rPr>
          <w:rFonts w:ascii="Courier New" w:eastAsia="Courier New" w:hAnsi="Courier New" w:cs="Courier New"/>
          <w:color w:val="1B2A4A"/>
          <w:sz w:val="16"/>
          <w:szCs w:val="16"/>
        </w:rPr>
        <w:t>Vadhavan</w:t>
      </w:r>
      <w:proofErr w:type="spellEnd"/>
      <w:r>
        <w:rPr>
          <w:rFonts w:ascii="Courier New" w:eastAsia="Courier New" w:hAnsi="Courier New" w:cs="Courier New"/>
          <w:color w:val="1B2A4A"/>
          <w:sz w:val="16"/>
          <w:szCs w:val="16"/>
        </w:rPr>
        <w:t xml:space="preserve"> and </w:t>
      </w:r>
      <w:proofErr w:type="spellStart"/>
      <w:r>
        <w:rPr>
          <w:rFonts w:ascii="Courier New" w:eastAsia="Courier New" w:hAnsi="Courier New" w:cs="Courier New"/>
          <w:color w:val="1B2A4A"/>
          <w:sz w:val="16"/>
          <w:szCs w:val="16"/>
        </w:rPr>
        <w:t>Vizhinjam</w:t>
      </w:r>
      <w:proofErr w:type="spellEnd"/>
      <w:r>
        <w:rPr>
          <w:rFonts w:ascii="Courier New" w:eastAsia="Courier New" w:hAnsi="Courier New" w:cs="Courier New"/>
          <w:color w:val="1B2A4A"/>
          <w:sz w:val="16"/>
          <w:szCs w:val="16"/>
        </w:rPr>
        <w:t xml:space="preserve"> creating new </w:t>
      </w:r>
      <w:proofErr w:type="spellStart"/>
      <w:r>
        <w:rPr>
          <w:rFonts w:ascii="Courier New" w:eastAsia="Courier New" w:hAnsi="Courier New" w:cs="Courier New"/>
          <w:color w:val="1B2A4A"/>
          <w:sz w:val="16"/>
          <w:szCs w:val="16"/>
        </w:rPr>
        <w:t>deepwater</w:t>
      </w:r>
      <w:proofErr w:type="spellEnd"/>
      <w:r>
        <w:rPr>
          <w:rFonts w:ascii="Courier New" w:eastAsia="Courier New" w:hAnsi="Courier New" w:cs="Courier New"/>
          <w:color w:val="1B2A4A"/>
          <w:sz w:val="16"/>
          <w:szCs w:val="16"/>
        </w:rPr>
        <w:t xml:space="preserve"> port capacity, and coastal shipping revival creating demand for maritime technology and services. International port technology companies, marine engineering businesses, coastal infrastructure developers, and maritime logistics technology providers are all evaluating India as a priority coastal infrastructure market. GreyRadius helps coastal infrastructure companies validate Indian government and port authority demand, access </w:t>
      </w:r>
      <w:proofErr w:type="spellStart"/>
      <w:r>
        <w:rPr>
          <w:rFonts w:ascii="Courier New" w:eastAsia="Courier New" w:hAnsi="Courier New" w:cs="Courier New"/>
          <w:color w:val="1B2A4A"/>
          <w:sz w:val="16"/>
          <w:szCs w:val="16"/>
        </w:rPr>
        <w:t>Sagarmala</w:t>
      </w:r>
      <w:proofErr w:type="spellEnd"/>
      <w:r>
        <w:rPr>
          <w:rFonts w:ascii="Courier New" w:eastAsia="Courier New" w:hAnsi="Courier New" w:cs="Courier New"/>
          <w:color w:val="1B2A4A"/>
          <w:sz w:val="16"/>
          <w:szCs w:val="16"/>
        </w:rPr>
        <w:t xml:space="preserve"> programme procurement, navigate regulatory requirements, and identify partners.",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w:t>
      </w:r>
      <w:proofErr w:type="spellStart"/>
      <w:r>
        <w:rPr>
          <w:rFonts w:ascii="Courier New" w:eastAsia="Courier New" w:hAnsi="Courier New" w:cs="Courier New"/>
          <w:color w:val="1B2A4A"/>
          <w:sz w:val="16"/>
          <w:szCs w:val="16"/>
        </w:rPr>
        <w:t>Sagarmala</w:t>
      </w:r>
      <w:proofErr w:type="spellEnd"/>
      <w:r>
        <w:rPr>
          <w:rFonts w:ascii="Courier New" w:eastAsia="Courier New" w:hAnsi="Courier New" w:cs="Courier New"/>
          <w:color w:val="1B2A4A"/>
          <w:sz w:val="16"/>
          <w:szCs w:val="16"/>
        </w:rPr>
        <w:t xml:space="preserve"> Phase 3 procurement is active — port modernisation, coastal economic zones, and inland waterway development projects are all in tender phases in 2024–2027. </w:t>
      </w:r>
      <w:proofErr w:type="spellStart"/>
      <w:r>
        <w:rPr>
          <w:rFonts w:ascii="Courier New" w:eastAsia="Courier New" w:hAnsi="Courier New" w:cs="Courier New"/>
          <w:color w:val="1B2A4A"/>
          <w:sz w:val="16"/>
          <w:szCs w:val="16"/>
        </w:rPr>
        <w:t>Vadhavan</w:t>
      </w:r>
      <w:proofErr w:type="spellEnd"/>
      <w:r>
        <w:rPr>
          <w:rFonts w:ascii="Courier New" w:eastAsia="Courier New" w:hAnsi="Courier New" w:cs="Courier New"/>
          <w:color w:val="1B2A4A"/>
          <w:sz w:val="16"/>
          <w:szCs w:val="16"/>
        </w:rPr>
        <w:t xml:space="preserve"> port construction — India's largest greenfield port — and </w:t>
      </w:r>
      <w:proofErr w:type="spellStart"/>
      <w:r>
        <w:rPr>
          <w:rFonts w:ascii="Courier New" w:eastAsia="Courier New" w:hAnsi="Courier New" w:cs="Courier New"/>
          <w:color w:val="1B2A4A"/>
          <w:sz w:val="16"/>
          <w:szCs w:val="16"/>
        </w:rPr>
        <w:t>Vizhinjam's</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deepwater</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transshipment</w:t>
      </w:r>
      <w:proofErr w:type="spellEnd"/>
      <w:r>
        <w:rPr>
          <w:rFonts w:ascii="Courier New" w:eastAsia="Courier New" w:hAnsi="Courier New" w:cs="Courier New"/>
          <w:color w:val="1B2A4A"/>
          <w:sz w:val="16"/>
          <w:szCs w:val="16"/>
        </w:rPr>
        <w:t xml:space="preserve"> terminal are both creating significant supply and technology procurement windows.",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port and maritime infrastructure investment is projected at $82B under </w:t>
      </w:r>
      <w:proofErr w:type="spellStart"/>
      <w:r>
        <w:rPr>
          <w:rFonts w:ascii="Courier New" w:eastAsia="Courier New" w:hAnsi="Courier New" w:cs="Courier New"/>
          <w:color w:val="1B2A4A"/>
          <w:sz w:val="16"/>
          <w:szCs w:val="16"/>
        </w:rPr>
        <w:t>Sagarmala</w:t>
      </w:r>
      <w:proofErr w:type="spellEnd"/>
      <w:r>
        <w:rPr>
          <w:rFonts w:ascii="Courier New" w:eastAsia="Courier New" w:hAnsi="Courier New" w:cs="Courier New"/>
          <w:color w:val="1B2A4A"/>
          <w:sz w:val="16"/>
          <w:szCs w:val="16"/>
        </w:rPr>
        <w:t xml:space="preserve"> — creating one of the world's largest port modernisation and coastal development programmes with significant technology and service procurement.",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"India's container throughput is growing at 8% annually — 12 major ports handling 700 million tonnes annually with modernisation and capacity expansion all creating equipment and technology demand.",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Vadhavan</w:t>
      </w:r>
      <w:proofErr w:type="spellEnd"/>
      <w:r>
        <w:rPr>
          <w:rFonts w:ascii="Courier New" w:eastAsia="Courier New" w:hAnsi="Courier New" w:cs="Courier New"/>
          <w:color w:val="1B2A4A"/>
          <w:sz w:val="16"/>
          <w:szCs w:val="16"/>
        </w:rPr>
        <w:t xml:space="preserve"> port will be India's largest container port — creating $9B+ in infrastructure investment that requires port equipment, technology, and engineering services procurement from international companies.",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coastal shipping programme is creating new maritime logistics demand — </w:t>
      </w:r>
      <w:proofErr w:type="spellStart"/>
      <w:r>
        <w:rPr>
          <w:rFonts w:ascii="Courier New" w:eastAsia="Courier New" w:hAnsi="Courier New" w:cs="Courier New"/>
          <w:color w:val="1B2A4A"/>
          <w:sz w:val="16"/>
          <w:szCs w:val="16"/>
        </w:rPr>
        <w:t>Sagarmala's</w:t>
      </w:r>
      <w:proofErr w:type="spellEnd"/>
      <w:r>
        <w:rPr>
          <w:rFonts w:ascii="Courier New" w:eastAsia="Courier New" w:hAnsi="Courier New" w:cs="Courier New"/>
          <w:color w:val="1B2A4A"/>
          <w:sz w:val="16"/>
          <w:szCs w:val="16"/>
        </w:rPr>
        <w:t xml:space="preserve"> coastal shipping revival targets moving 500 million tonnes by coastal vessels annually by 2030."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"Port authority procurement in India is government-controlled — Ministry of Ports, Shipping, and Waterways and individual port trusts all have complex procurement processes requiring sustained relationship development.",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"DGFT and customs requirements for port equipment are complex — import duties, licensing, and customs clearance for maritime equipment require specialist customs expertise.",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port equipment manufacturers — Liebherr, Konecranes, and Cargotec — with existing port authority relationships is intense across Indian port equipment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"Project finance for large port infrastructure requires patient capital — greenfield port development has long construction timelines and revenue ramp-up periods requiring DFI-compatible capital structures."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coastal infrastructure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Ministry of Ports, port authority, and coastal economic zone demand for your port technology or maritime service.",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Sagarmala</w:t>
      </w:r>
      <w:proofErr w:type="spellEnd"/>
      <w:r>
        <w:rPr>
          <w:rFonts w:ascii="Courier New" w:eastAsia="Courier New" w:hAnsi="Courier New" w:cs="Courier New"/>
          <w:color w:val="1B2A4A"/>
          <w:sz w:val="16"/>
          <w:szCs w:val="16"/>
        </w:rPr>
        <w:t xml:space="preserve"> programme access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map active </w:t>
      </w:r>
      <w:proofErr w:type="spellStart"/>
      <w:r>
        <w:rPr>
          <w:rFonts w:ascii="Courier New" w:eastAsia="Courier New" w:hAnsi="Courier New" w:cs="Courier New"/>
          <w:color w:val="1B2A4A"/>
          <w:sz w:val="16"/>
          <w:szCs w:val="16"/>
        </w:rPr>
        <w:t>Sagarmala</w:t>
      </w:r>
      <w:proofErr w:type="spellEnd"/>
      <w:r>
        <w:rPr>
          <w:rFonts w:ascii="Courier New" w:eastAsia="Courier New" w:hAnsi="Courier New" w:cs="Courier New"/>
          <w:color w:val="1B2A4A"/>
          <w:sz w:val="16"/>
          <w:szCs w:val="16"/>
        </w:rPr>
        <w:t xml:space="preserve"> project tenders and identify which port modernisation and coastal connectivity projects are procuring your technology category.",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port and maritime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port authority technology heads, maritime engineering companies, and coastal logistics operators as commercial partners.",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coastal infrastructure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go-to-market plan covering major port modernisation, </w:t>
      </w:r>
      <w:proofErr w:type="spellStart"/>
      <w:r>
        <w:rPr>
          <w:rFonts w:ascii="Courier New" w:eastAsia="Courier New" w:hAnsi="Courier New" w:cs="Courier New"/>
          <w:color w:val="1B2A4A"/>
          <w:sz w:val="16"/>
          <w:szCs w:val="16"/>
        </w:rPr>
        <w:t>Sagarmala</w:t>
      </w:r>
      <w:proofErr w:type="spellEnd"/>
      <w:r>
        <w:rPr>
          <w:rFonts w:ascii="Courier New" w:eastAsia="Courier New" w:hAnsi="Courier New" w:cs="Courier New"/>
          <w:color w:val="1B2A4A"/>
          <w:sz w:val="16"/>
          <w:szCs w:val="16"/>
        </w:rPr>
        <w:t xml:space="preserve"> programme access, and coastal shipping logistics.",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coastal infrastructure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need a pitch book grounded in </w:t>
      </w:r>
      <w:proofErr w:type="spellStart"/>
      <w:r>
        <w:rPr>
          <w:rFonts w:ascii="Courier New" w:eastAsia="Courier New" w:hAnsi="Courier New" w:cs="Courier New"/>
          <w:color w:val="1B2A4A"/>
          <w:sz w:val="16"/>
          <w:szCs w:val="16"/>
        </w:rPr>
        <w:t>Sagarmala</w:t>
      </w:r>
      <w:proofErr w:type="spellEnd"/>
      <w:r>
        <w:rPr>
          <w:rFonts w:ascii="Courier New" w:eastAsia="Courier New" w:hAnsi="Courier New" w:cs="Courier New"/>
          <w:color w:val="1B2A4A"/>
          <w:sz w:val="16"/>
          <w:szCs w:val="16"/>
        </w:rPr>
        <w:t xml:space="preserve"> programme data and port throughput growth analysis.",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"Customs and regulatory pathway for maritime </w:t>
      </w:r>
      <w:proofErr w:type="spellStart"/>
      <w:r>
        <w:rPr>
          <w:rFonts w:ascii="Courier New" w:eastAsia="Courier New" w:hAnsi="Courier New" w:cs="Courier New"/>
          <w:color w:val="1B2A4A"/>
          <w:sz w:val="16"/>
          <w:szCs w:val="16"/>
        </w:rPr>
        <w:t>equipment|You</w:t>
      </w:r>
      <w:proofErr w:type="spellEnd"/>
      <w:r>
        <w:rPr>
          <w:rFonts w:ascii="Courier New" w:eastAsia="Courier New" w:hAnsi="Courier New" w:cs="Courier New"/>
          <w:color w:val="1B2A4A"/>
          <w:sz w:val="16"/>
          <w:szCs w:val="16"/>
        </w:rPr>
        <w:t xml:space="preserve"> need to understand import duties, equipment certification, and customs clearance requirements for your maritime technology in India."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port authority and government demand for your coastal infrastructure technology with </w:t>
      </w:r>
      <w:proofErr w:type="spellStart"/>
      <w:r>
        <w:rPr>
          <w:rFonts w:ascii="Courier New" w:eastAsia="Courier New" w:hAnsi="Courier New" w:cs="Courier New"/>
          <w:color w:val="1B2A4A"/>
          <w:sz w:val="16"/>
          <w:szCs w:val="16"/>
        </w:rPr>
        <w:t>Sagarmala</w:t>
      </w:r>
      <w:proofErr w:type="spellEnd"/>
      <w:r>
        <w:rPr>
          <w:rFonts w:ascii="Courier New" w:eastAsia="Courier New" w:hAnsi="Courier New" w:cs="Courier New"/>
          <w:color w:val="1B2A4A"/>
          <w:sz w:val="16"/>
          <w:szCs w:val="16"/>
        </w:rPr>
        <w:t xml:space="preserve"> programme mapping.",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coastal infrastructure investment covering government procurement timelines and port economics.",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coastal infrastructure market entry including </w:t>
      </w:r>
      <w:proofErr w:type="spellStart"/>
      <w:r>
        <w:rPr>
          <w:rFonts w:ascii="Courier New" w:eastAsia="Courier New" w:hAnsi="Courier New" w:cs="Courier New"/>
          <w:color w:val="1B2A4A"/>
          <w:sz w:val="16"/>
          <w:szCs w:val="16"/>
        </w:rPr>
        <w:t>Sagarmala</w:t>
      </w:r>
      <w:proofErr w:type="spellEnd"/>
      <w:r>
        <w:rPr>
          <w:rFonts w:ascii="Courier New" w:eastAsia="Courier New" w:hAnsi="Courier New" w:cs="Courier New"/>
          <w:color w:val="1B2A4A"/>
          <w:sz w:val="16"/>
          <w:szCs w:val="16"/>
        </w:rPr>
        <w:t xml:space="preserve"> access strategy, port authority partner identification, and first-contract milestone.",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coastal infrastructure GTM team covering Ministry and port authority outreach.",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coastal infrastructure investment with </w:t>
      </w:r>
      <w:proofErr w:type="spellStart"/>
      <w:r>
        <w:rPr>
          <w:rFonts w:ascii="Courier New" w:eastAsia="Courier New" w:hAnsi="Courier New" w:cs="Courier New"/>
          <w:color w:val="1B2A4A"/>
          <w:sz w:val="16"/>
          <w:szCs w:val="16"/>
        </w:rPr>
        <w:t>Sagarmala</w:t>
      </w:r>
      <w:proofErr w:type="spellEnd"/>
      <w:r>
        <w:rPr>
          <w:rFonts w:ascii="Courier New" w:eastAsia="Courier New" w:hAnsi="Courier New" w:cs="Courier New"/>
          <w:color w:val="1B2A4A"/>
          <w:sz w:val="16"/>
          <w:szCs w:val="16"/>
        </w:rPr>
        <w:t xml:space="preserve"> programme and port throughput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AI-powered port equipment scheduling to predictive maintenance for Indian coastal infrastructure."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port equipment companies or also with port technology software, maritime engineering, and coastal logistics companies entering India?|All coastal infrastructure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coastal infrastructure engagement take?|Typically 8–12 weeks for </w:t>
      </w:r>
      <w:proofErr w:type="spellStart"/>
      <w:r>
        <w:rPr>
          <w:rFonts w:ascii="Courier New" w:eastAsia="Courier New" w:hAnsi="Courier New" w:cs="Courier New"/>
          <w:color w:val="1B2A4A"/>
          <w:sz w:val="16"/>
          <w:szCs w:val="16"/>
        </w:rPr>
        <w:t>Sagarmala</w:t>
      </w:r>
      <w:proofErr w:type="spellEnd"/>
      <w:r>
        <w:rPr>
          <w:rFonts w:ascii="Courier New" w:eastAsia="Courier New" w:hAnsi="Courier New" w:cs="Courier New"/>
          <w:color w:val="1B2A4A"/>
          <w:sz w:val="16"/>
          <w:szCs w:val="16"/>
        </w:rPr>
        <w:t xml:space="preserve"> programme mapping and port authority demand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Ministry of Ports and port trust procurement contacts?|Yes — Ministry and port authority procurement contact mapping are core to our India coastal infrastructure service.",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does </w:t>
      </w:r>
      <w:proofErr w:type="spellStart"/>
      <w:r>
        <w:rPr>
          <w:rFonts w:ascii="Courier New" w:eastAsia="Courier New" w:hAnsi="Courier New" w:cs="Courier New"/>
          <w:color w:val="1B2A4A"/>
          <w:sz w:val="16"/>
          <w:szCs w:val="16"/>
        </w:rPr>
        <w:t>Vadhavan</w:t>
      </w:r>
      <w:proofErr w:type="spellEnd"/>
      <w:r>
        <w:rPr>
          <w:rFonts w:ascii="Courier New" w:eastAsia="Courier New" w:hAnsi="Courier New" w:cs="Courier New"/>
          <w:color w:val="1B2A4A"/>
          <w:sz w:val="16"/>
          <w:szCs w:val="16"/>
        </w:rPr>
        <w:t xml:space="preserve"> port create procurement opportunity for international companies?|</w:t>
      </w:r>
      <w:proofErr w:type="spellStart"/>
      <w:r>
        <w:rPr>
          <w:rFonts w:ascii="Courier New" w:eastAsia="Courier New" w:hAnsi="Courier New" w:cs="Courier New"/>
          <w:color w:val="1B2A4A"/>
          <w:sz w:val="16"/>
          <w:szCs w:val="16"/>
        </w:rPr>
        <w:t>Vadhavan's</w:t>
      </w:r>
      <w:proofErr w:type="spellEnd"/>
      <w:r>
        <w:rPr>
          <w:rFonts w:ascii="Courier New" w:eastAsia="Courier New" w:hAnsi="Courier New" w:cs="Courier New"/>
          <w:color w:val="1B2A4A"/>
          <w:sz w:val="16"/>
          <w:szCs w:val="16"/>
        </w:rPr>
        <w:t xml:space="preserve"> $9B+ greenfield investment requires international port equipment, technology, and engineering services — we map </w:t>
      </w:r>
      <w:proofErr w:type="spellStart"/>
      <w:r>
        <w:rPr>
          <w:rFonts w:ascii="Courier New" w:eastAsia="Courier New" w:hAnsi="Courier New" w:cs="Courier New"/>
          <w:color w:val="1B2A4A"/>
          <w:sz w:val="16"/>
          <w:szCs w:val="16"/>
        </w:rPr>
        <w:t>Vadhavan</w:t>
      </w:r>
      <w:proofErr w:type="spellEnd"/>
      <w:r>
        <w:rPr>
          <w:rFonts w:ascii="Courier New" w:eastAsia="Courier New" w:hAnsi="Courier New" w:cs="Courier New"/>
          <w:color w:val="1B2A4A"/>
          <w:sz w:val="16"/>
          <w:szCs w:val="16"/>
        </w:rPr>
        <w:t xml:space="preserve"> procurement windows in every coastal infrastructure engagement."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port infrastructure market entry, India </w:t>
      </w:r>
      <w:proofErr w:type="spellStart"/>
      <w:r>
        <w:rPr>
          <w:rFonts w:ascii="Courier New" w:eastAsia="Courier New" w:hAnsi="Courier New" w:cs="Courier New"/>
          <w:color w:val="1B2A4A"/>
          <w:sz w:val="16"/>
          <w:szCs w:val="16"/>
        </w:rPr>
        <w:t>Sagarmala</w:t>
      </w:r>
      <w:proofErr w:type="spellEnd"/>
      <w:r>
        <w:rPr>
          <w:rFonts w:ascii="Courier New" w:eastAsia="Courier New" w:hAnsi="Courier New" w:cs="Courier New"/>
          <w:color w:val="1B2A4A"/>
          <w:sz w:val="16"/>
          <w:szCs w:val="16"/>
        </w:rPr>
        <w:t xml:space="preserve"> GTM strategy, India maritime technology consulting, India port authority advisory, India coastal development market entry, India maritime logistics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Mumbai, Chennai, Visakhapatnam, Kochi, </w:t>
      </w:r>
      <w:proofErr w:type="spellStart"/>
      <w:r>
        <w:rPr>
          <w:rFonts w:ascii="Courier New" w:eastAsia="Courier New" w:hAnsi="Courier New" w:cs="Courier New"/>
          <w:color w:val="1B2A4A"/>
          <w:sz w:val="16"/>
          <w:szCs w:val="16"/>
        </w:rPr>
        <w:t>Vadhavan</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Vizhinjam</w:t>
      </w:r>
      <w:proofErr w:type="spellEnd"/>
      <w:r>
        <w:rPr>
          <w:rFonts w:ascii="Courier New" w:eastAsia="Courier New" w:hAnsi="Courier New" w:cs="Courier New"/>
          <w:color w:val="1B2A4A"/>
          <w:sz w:val="16"/>
          <w:szCs w:val="16"/>
        </w:rPr>
        <w:t>, Inland Waterway Development Authority",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"$82B",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w:t>
      </w:r>
      <w:proofErr w:type="spellStart"/>
      <w:r>
        <w:rPr>
          <w:rFonts w:ascii="Courier New" w:eastAsia="Courier New" w:hAnsi="Courier New" w:cs="Courier New"/>
          <w:color w:val="1B2A4A"/>
          <w:sz w:val="16"/>
          <w:szCs w:val="16"/>
        </w:rPr>
        <w:t>Sagarmala</w:t>
      </w:r>
      <w:proofErr w:type="spellEnd"/>
      <w:r>
        <w:rPr>
          <w:rFonts w:ascii="Courier New" w:eastAsia="Courier New" w:hAnsi="Courier New" w:cs="Courier New"/>
          <w:color w:val="1B2A4A"/>
          <w:sz w:val="16"/>
          <w:szCs w:val="16"/>
        </w:rPr>
        <w:t xml:space="preserve"> programme investment",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"One of the world's largest port modernisation programmes — port equipment, technology, and engineering services procurement across 12 major ports and new greenfield capacity.",</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coastal infrastructure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"stat2b": "Ministry of Ports officials, port authority technology heads, and maritime engineering firms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coastal infrastructure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w:t>
      </w:r>
      <w:proofErr w:type="spellStart"/>
      <w:r>
        <w:rPr>
          <w:rFonts w:ascii="Courier New" w:eastAsia="Courier New" w:hAnsi="Courier New" w:cs="Courier New"/>
          <w:color w:val="1B2A4A"/>
          <w:sz w:val="16"/>
          <w:szCs w:val="16"/>
        </w:rPr>
        <w:t>Sagarmala</w:t>
      </w:r>
      <w:proofErr w:type="spellEnd"/>
      <w:r>
        <w:rPr>
          <w:rFonts w:ascii="Courier New" w:eastAsia="Courier New" w:hAnsi="Courier New" w:cs="Courier New"/>
          <w:color w:val="1B2A4A"/>
          <w:sz w:val="16"/>
          <w:szCs w:val="16"/>
        </w:rPr>
        <w:t xml:space="preserve"> programme mapping and port authority research delivers India coastal infrastructure market entry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"gulf-water-technology",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"Gulf Water Technology &amp; Desalination Market Entry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water technology companies, desalination businesses, and water management technology providers enter Gulf markets with market entry strategy, regulatory mapping, and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"Gulf water technology and desalination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water technology to Gulf water security — strategy for water technology companies entering the GCC.",</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Gulf's water technology market is among the world's most commercially significant — with no natural freshwater rivers, the world's highest per-capita water consumption, governments operating the largest desalination capacity on earth, and Vision 2030 programmes investing in water security, water reuse, and smart water management. International desalination technology companies, water treatment businesses, smart water management platforms, water reuse technology providers, and water conservation technology companies are all evaluating Gulf water technology market entry. GreyRadius helps water technology companies validate Gulf utility and government demand, access water security programme procurement, identify partners, and execute entry.",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"Gulf water infrastructure investment is accelerating — Saudi Arabia's water mega-projects including NEOM's water supply system, UAE's expanded desalination capacity, and Qatar's water security programme are all creating active procurement in 2024–2027. Water reuse and conservation technology is becoming a political priority as Gulf governments recognise water scarcity as a strategic risk.",</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water technology market is projected to reach $15B by 2028 — growing at 12% annually as desalination capacity expansion, water reuse investment, and smart water management all drive procurement.",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 operates 30% of the world's desalination capacity — SWPC and NWC together procuring billions in desalination technology, water treatment chemicals, and operations technology annually.",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"UAE's water reuse target of 95% by 2036 is creating significant wastewater treatment and water reuse technology demand — among the world's most ambitious water recycling programmes.",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smart water management is growing at 20% annually — advanced metering infrastructure, leak detection, and network monitoring technology all seeing rapid adoption from Gulf water utilities."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water utility procurement is dominated by government entities — SWPC, NWC, DEWA, and FEWA all have complex government procurement processes requiring sustained relationship development.",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"Desalination technology has high barriers to entry — proven track record at scale, performance guarantees, and long-term O&amp;M commitments are all required for major desalination project awards.",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"ICV requirements apply to Gulf water sector contracts — Saudi Arabia's in-country value requirements affect water technology supply chain localisation.",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desalination technology leaders — SUEZ, Veolia, and ACCIONA — with Gulf utility relationships is intense across major desalination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water technology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SWPC, NWC, DEWA, and private sector demand for your water technology and map active procurement programmes.",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water utility regulatory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water sector regulation, desalination licensing, and water reuse technology approval requirements.",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water technology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Gulf water utility technology heads, EPC contractors specialising in water, and government water authority contacts.",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water technology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go-to-market plan covering SWPC, DEWA, and NWC procurement alongside smaller Gulf water utility opportunities.",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water technology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need a pitch book grounded in Gulf water security demand data and government commitment analysis.",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"ICV and localisation strategy for Gulf </w:t>
      </w:r>
      <w:proofErr w:type="spellStart"/>
      <w:r>
        <w:rPr>
          <w:rFonts w:ascii="Courier New" w:eastAsia="Courier New" w:hAnsi="Courier New" w:cs="Courier New"/>
          <w:color w:val="1B2A4A"/>
          <w:sz w:val="16"/>
          <w:szCs w:val="16"/>
        </w:rPr>
        <w:t>water|You</w:t>
      </w:r>
      <w:proofErr w:type="spellEnd"/>
      <w:r>
        <w:rPr>
          <w:rFonts w:ascii="Courier New" w:eastAsia="Courier New" w:hAnsi="Courier New" w:cs="Courier New"/>
          <w:color w:val="1B2A4A"/>
          <w:sz w:val="16"/>
          <w:szCs w:val="16"/>
        </w:rPr>
        <w:t xml:space="preserve"> need an in-country value strategy for Gulf water technology supply and services contracts."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"Validate Gulf water utility and government demand for your water technology with programme mapping and procurement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water technology investment covering ICV compliance and government procurement economics.",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water technology market entry including utility partner identification and first-contract milestone.",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water technology GTM team covering SWPC, NWC, and UAE utility outreach.",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water technology investment with water security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AI-powered desalination energy optimisation to smart water network leak prediction."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desalination technology companies or also with water treatment, smart metering, and water reuse technology companies in the Gulf?|All water technology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"Which Gulf water markets does GreyRadius prioritise?|Saudi Arabia for SWPC and NWC procurement scale, UAE for DEWA smart water and water reuse technology.",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water technology engagement take?|Typically 8–12 weeks for utility demand research, ICV mapping, and procurement pathway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SWPC and NWC procurement contacts for water technology companies?|Yes — utility procurement contact mapping is core to our Gulf water technology service."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water technology market entry, Saudi Arabia desalination GTM strategy, UAE water management consulting, Gulf SWPC advisory, GCC water market entry, Gulf water reuse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"Saudi Arabia — SWPC and NWC across Kingdom, UAE — DEWA Dubai and FEWA Northern Emirates, Qatar, Kuwait",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"$15B",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water technology market by 2028",</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"Desalination capacity expansion, water reuse investment, and smart water management all driving procurement across the Gulf's water-scarce economies.",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water technology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"stat2b": "Gulf water utility procurement heads, government water authority officials, and water EPC contractors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water technology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utility procurement mapping and water security demand research delivers Gulf water technology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-supply-chain-resilience",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"logistics-supply-chain",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Supply Chain Resilience &amp; Diversification Strategy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develop India supply chain diversification and China-plus-one manufacturing strategies with market entry support, supplier identification, and investment facilitation.",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"India supply chain resilience and China-plus-one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China supply chain dependency to India manufacturing resilience — strategy for companies diversifying into India.",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"India is the world's most commercially significant China-plus-one manufacturing destination — combining competitive labour cost, English language business environment, democratic governance, PLI incentive programmes, and a government committed to making India a global manufacturing hub. International companies across electronics, pharmaceuticals, chemicals, automotive components, textiles, and industrial goods are all evaluating India as a supply chain diversification destination following COVID supply chain disruption and geopolitical risk from China concentration. GreyRadius helps companies assess India manufacturing feasibility, identify local manufacturing partners, navigate PLI programmes, and execute supply chain diversification strategies.",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"The China-plus-one supply chain diversification window is active — Apple, Samsung, and dozens of global manufacturers have already committed to India manufacturing, creating supplier ecosystem development that makes India manufacturing progressively more viable. PLI incentives are time-limited — companies that access PLI in 2024–2026 will receive government co-investment that later entrants will not qualify for at the same terms.",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has attracted $35B+ in PLI-driven manufacturing investment commitments — across electronics, pharmaceuticals, textiles, automotive, and food processing creating a rapidly developing manufacturing ecosystem.",</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manufacturing labour cost is 15–20% below China and falling further in relative terms as China wages rise — creating improving cost competitiveness that compounds over time.",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manufacturing supply chain ecosystem is developing rapidly — component suppliers, tooling manufacturers, and precision engineering companies are all scaling in Pune, Chennai, and Bengaluru.",</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"India's democratic governance and English language environment create operational predictability that other low-cost manufacturing destinations cannot match."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manufacturing requires significant supplier development investment — unlike China where mature supplier ecosystems exist, India's component and materials supply chains require 12–24 months of development investment.",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"Infrastructure quality is uneven — power reliability, road connectivity, and port access vary significantly by state and location requiring careful site selection.",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"Skilled technical workforce availability is constrained outside major metros — finding quality control engineers, production supervisors, and skilled operators requires advance hiring and training planning.",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"PLI scheme compliance is administratively complex — production targets, domestic value addition requirements, and annual reporting obligations all require dedicated compliance management."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supply chain feasibility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need a rigorous assessment of India manufacturing feasibility for your product including cost competitiveness, supply chain availability, and infrastructure quality at specific sites.",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"PLI programme eligibility and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understand which PLI scheme applies to your product, what incentive levels are available, and what compliance obligations are required.",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manufacturing partner and supplier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contract manufacturers, component suppliers, and logistics providers as your India supply chain partners.",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site selection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the optimal Indian state and industrial zone for your manufacturing investment based on labour, infrastructure, supply chain, and incentives.",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manufacturing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need a pitch book grounded in India manufacturing cost analysis and PLI incentive modelling.",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"Manufacturing transfer and technology </w:t>
      </w:r>
      <w:proofErr w:type="spellStart"/>
      <w:r>
        <w:rPr>
          <w:rFonts w:ascii="Courier New" w:eastAsia="Courier New" w:hAnsi="Courier New" w:cs="Courier New"/>
          <w:color w:val="1B2A4A"/>
          <w:sz w:val="16"/>
          <w:szCs w:val="16"/>
        </w:rPr>
        <w:t>roadmap|You</w:t>
      </w:r>
      <w:proofErr w:type="spellEnd"/>
      <w:r>
        <w:rPr>
          <w:rFonts w:ascii="Courier New" w:eastAsia="Courier New" w:hAnsi="Courier New" w:cs="Courier New"/>
          <w:color w:val="1B2A4A"/>
          <w:sz w:val="16"/>
          <w:szCs w:val="16"/>
        </w:rPr>
        <w:t xml:space="preserve"> need a phased plan for transferring manufacturing capability from existing locations to India while maintaining quality and continuity."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"Full India manufacturing feasibility assessment covering cost, supply chain, infrastructure, and labour quality for your specific product at target Indian locations.",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"PLI scheme eligibility analysis covering applicable incentive rates, domestic value addition requirements, and compliance obligations.",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supply chain diversification support including site selection, contract manufacturer identification, and PLI application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supply chain team covering manufacturer and supplier outreach and qualification.",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manufacturing investment with PLI incentive and cost competitiveness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supply chain risk monitoring for India manufacturing to quality management automation for PLI compliance."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electronics manufacturers or also with pharmaceutical, textile, and automotive component companies diversifying into India?|All manufacturing sectors considering China-plus-one diversification.",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supply chain feasibility engagement take?|Typically 8–12 weeks for cost analysis, site assessment, and contract manufacturer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contract manufacturers and component suppliers for China-plus-one companies entering India?|Yes — manufacturer and supplier identification are core to our India supply chain diversification service.",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does PLI affect the China-plus-one India manufacturing economics?|PLI incentives of 4–12% of incremental sales significantly improve India manufacturing economics — we model PLI impact in every supply chain feasibility assessment."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China plus one strategy, India supply chain diversification, India manufacturing market entry, PLI programme consulting, India contract manufacturing advisory, India supply chain resilience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Pune, Chennai, Bengaluru, Hyderabad, Noida, Ahmedabad, Surat, Sanand — sector-specific manufacturing zones",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"$35B+",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"PLI-driven manufacturing commitments in India",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"Apple, Samsung, and global manufacturers establishing India supply chains — creating supplier ecosystem development that makes India manufacturing progressively more viable.",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supply chain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contract manufacturers, component suppliers, and PLI compliance experts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"stat3l": "India supply chain diversification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site selection analysis and contract manufacturer identification delivers India supply chain diversification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"gulf-healthcare-investment",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"healthcare-life-sciences",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"Gulf Healthcare Investment &amp; Hospital Development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healthcare investors, hospital developers, and healthcare real estate companies enter Gulf markets with market entry strategy, regulatory mapping, investment feasibility, and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"Gulf healthcare investment and hospital development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healthcare capital to Gulf hospital development — strategy for healthcare investors entering the GCC.",</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Gulf's healthcare investment market is one of the world's most commercially attractive — with Saudi Arabia's plan to privatise 290 government hospitals, UAE's healthcare real estate expansion creating premium hospital facilities, government health insurance schemes creating stable patient revenue, and Vision 2030 healthcare quality improvement driving investment in private healthcare capacity. International healthcare investors, hospital developers, healthcare real estate companies, and healthcare private equity firms are all evaluating Gulf healthcare investment. GreyRadius helps healthcare investors validate Gulf healthcare demand, navigate MOH and healthcare regulatory requirements, identify development partners, and raise capital for Gulf healthcare investment.",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"Saudi Arabia's hospital privatisation programme is the world's largest healthcare privatisation in history — 290 government hospitals being transferred to private sector management creating development, investment, and operational opportunity for international healthcare companies. UAE's new hospital construction activity and Abu Dhabi's healthcare cluster development are both creating parallel investment demand.",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healthcare investment market is projected to reach $100B in asset value by 2030 — driven by Saudi hospital privatisation, UAE premium healthcare expansion, and growing private health insurance penetration.",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hospital privatisation will transfer 290 hospitals — creating management contracts, real estate investment, and technology upgrade opportunities across the world's largest single-country healthcare privatisation.",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private health insurance penetration is growing at 15% annually — stable payer revenue from insurance companies makes Gulf private healthcare investment economics increasingly attractive.",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"Healthcare real estate in Gulf prime locations is achieving premium yields — 7–9% cap rates for healthcare properties outperforming commercial real estate across all Gulf 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"Healthcare facility licensing is complex and time-consuming — MOH facility licences, professional registration, and clinical accreditation all require 12–24 months before operations.",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"Medical workforce recruitment is competitive — specialist physicians, nursing staff, and healthcare managers are in high demand across Gulf markets requiring premium compensation.",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"Cultural requirements affect healthcare design and operations — gender-segregated facilities, prayer space requirements, and Arabic language clinical services all affect facility development and operational costs.",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healthcare groups — NMC Health, Mediclinic, and Saudi German Hospital — with existing Gulf licences and patient relationships is intense."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healthcare investment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patient demand, payer coverage, and competitive landscape for healthcare investment in target Gulf locations.",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"MOH facility licensing and regulatory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MOH facility licence requirements, clinical accreditation standards, and healthcare professional registration timelines.",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healthcare development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hospital operating partners, healthcare real estate developers, and clinical management companies as investment partners.",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healthcare investment </w:t>
      </w:r>
      <w:proofErr w:type="spellStart"/>
      <w:r>
        <w:rPr>
          <w:rFonts w:ascii="Courier New" w:eastAsia="Courier New" w:hAnsi="Courier New" w:cs="Courier New"/>
          <w:color w:val="1B2A4A"/>
          <w:sz w:val="16"/>
          <w:szCs w:val="16"/>
        </w:rPr>
        <w:t>feasibility|You</w:t>
      </w:r>
      <w:proofErr w:type="spellEnd"/>
      <w:r>
        <w:rPr>
          <w:rFonts w:ascii="Courier New" w:eastAsia="Courier New" w:hAnsi="Courier New" w:cs="Courier New"/>
          <w:color w:val="1B2A4A"/>
          <w:sz w:val="16"/>
          <w:szCs w:val="16"/>
        </w:rPr>
        <w:t xml:space="preserve"> need a comprehensive financial feasibility for your Gulf healthcare investment including payer mix, occupancy projections, and regulatory compliance cost.",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healthcare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need a pitch book grounded in Gulf healthcare demand data and privatisation opportunity analysis.",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"Saudi hospital privatisation opportunity </w:t>
      </w:r>
      <w:proofErr w:type="spellStart"/>
      <w:r>
        <w:rPr>
          <w:rFonts w:ascii="Courier New" w:eastAsia="Courier New" w:hAnsi="Courier New" w:cs="Courier New"/>
          <w:color w:val="1B2A4A"/>
          <w:sz w:val="16"/>
          <w:szCs w:val="16"/>
        </w:rPr>
        <w:t>access|You</w:t>
      </w:r>
      <w:proofErr w:type="spellEnd"/>
      <w:r>
        <w:rPr>
          <w:rFonts w:ascii="Courier New" w:eastAsia="Courier New" w:hAnsi="Courier New" w:cs="Courier New"/>
          <w:color w:val="1B2A4A"/>
          <w:sz w:val="16"/>
          <w:szCs w:val="16"/>
        </w:rPr>
        <w:t xml:space="preserve"> need to understand how to participate in Saudi Arabia's hospital privatisation programme through management contracts, joint ventures, or real estate investment."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patient and payer demand for your healthcare investment with primary research and competitive landscape analysis.",</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"Full financial feasibility for Gulf healthcare investment covering MOH compliance, workforce, and payer mix economics.",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healthcare investment support including regulatory pathway, development partner identification, and investment milestones.",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healthcare investment team covering MOH, privatisation programme, and developer outreach.",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healthcare investment with Saudi privatisation and UAE healthcare expansion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AI-powered Gulf patient demand forecasting to healthcare facility operational efficiency optimisation."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hospital operators or also with healthcare real estate investors and healthcare private equity firms evaluating the Gulf?|All healthcare investment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"Which Gulf healthcare investment markets does GreyRadius prioritise?|Saudi Arabia for privatisation opportunity scale, UAE for premium private healthcare demand.",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healthcare investment engagement take?|Typically 10–14 weeks for demand validation, regulatory mapping, and development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Gulf hospital operating partners and healthcare real estate developers?|Yes — operating partner and developer identification are core to our Gulf healthcare investment service."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healthcare investment market entry, Saudi Arabia hospital development GTM strategy, UAE healthcare real estate consulting, Gulf hospital privatisation advisory, GCC healthcare investment market entry",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"Saudi Arabia — Riyadh, Jeddah, and hospital privatisation programme; UAE — Dubai and Abu Dhabi healthcare clusters; Qatar",</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"$100B",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healthcare investment asset value by 2030",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"Saudi hospital privatisation, UAE premium healthcare expansion, and growing private health insurance creating compelling Gulf healthcare investment opportunity.",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healthcare investment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"stat2b": "MOH officials, hospital operators, and healthcare real estate developers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"10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healthcare investment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patient demand modelling and privatisation programme mapping delivers Gulf healthcare investment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-gulf-</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-combined",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cpg</w:t>
      </w:r>
      <w:proofErr w:type="spellEnd"/>
      <w:r>
        <w:rPr>
          <w:rFonts w:ascii="Courier New" w:eastAsia="Courier New" w:hAnsi="Courier New" w:cs="Courier New"/>
          <w:color w:val="1B2A4A"/>
          <w:sz w:val="16"/>
          <w:szCs w:val="16"/>
        </w:rPr>
        <w:t>-</w:t>
      </w:r>
      <w:proofErr w:type="spellStart"/>
      <w:r>
        <w:rPr>
          <w:rFonts w:ascii="Courier New" w:eastAsia="Courier New" w:hAnsi="Courier New" w:cs="Courier New"/>
          <w:color w:val="1B2A4A"/>
          <w:sz w:val="16"/>
          <w:szCs w:val="16"/>
        </w:rPr>
        <w:t>fmcg</w:t>
      </w:r>
      <w:proofErr w:type="spellEnd"/>
      <w:r>
        <w:rPr>
          <w:rFonts w:ascii="Courier New" w:eastAsia="Courier New" w:hAnsi="Courier New" w:cs="Courier New"/>
          <w:color w:val="1B2A4A"/>
          <w:sz w:val="16"/>
          <w:szCs w:val="16"/>
        </w:rPr>
        <w:t>-retail",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Market Re-Entry &amp; Growth Strategy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that have previously entered India revisit and accelerate their India market strategy with demand re-assessment, channel optimisation, and growth acceleration support.",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"India market re-entry and growth acceleration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stalled India presence to renewed India growth — strategy for companies re-energising their India market position.",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"Many international companies entered India over the past decade, established initial market positions, and then saw growth plateau — due to pricing misalignment, channel strategy errors, regulatory changes, or simply a market that evolved faster than their India strategy. India's market has transformed significantly since 2020 — UPI has changed consumer payment behaviour, ONDC has opened new distribution channels, Ayushman Bharat has changed healthcare procurement, CERT-In has changed cybersecurity investment, and PLI has changed manufacturing economics. GreyRadius helps companies with existing India positions assess what has changed, where growth opportunities now exist, and how to re-accelerate India revenue from an existing base.",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"India's post-COVID economic acceleration is creating growth opportunities that did not exist at the time of initial India entry for many companies — the digital infrastructure, consumer income levels, and enterprise technology maturity have all improved significantly. Companies that made their first India investments in 2015–2020 are now operating in a meaningfully different market and should reassess their India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digital economy has grown 4x since 2019 — companies that entered India before UPI maturation, Jio data price drops, and ONDC launch are operating with outdated distribution and channel assumptions.",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enterprise technology maturity has significantly improved — Indian enterprises that were using on-premise ERP in 2018 are now evaluating cloud-native SaaS making enterprise software GTM fundamentally different.",</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"India's regulatory environment has evolved significantly — DPDP, CERT-In, Ayushman Bharat expansion, and PLI have all changed the commercial landscape in ways that companies must reassess.",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consumer income levels and aspirations have grown — Tier 2 and 3 city consumers who were not addressable in 2018 are now actively purchasing international brand products online."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"Organisational memory of initial India strategy decisions is often incomplete — teams have changed and the rationale for initial channel and pricing decisions is not always accessible.",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"Incumbency in the wrong segment or channel is hard to escape — companies that entered India through the wrong channel or at the wrong price point face significant restructuring challenges.",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"New competitive entrants since initial market entry have changed dynamics — Indian </w:t>
      </w:r>
      <w:proofErr w:type="spellStart"/>
      <w:r>
        <w:rPr>
          <w:rFonts w:ascii="Courier New" w:eastAsia="Courier New" w:hAnsi="Courier New" w:cs="Courier New"/>
          <w:color w:val="1B2A4A"/>
          <w:sz w:val="16"/>
          <w:szCs w:val="16"/>
        </w:rPr>
        <w:t>startups</w:t>
      </w:r>
      <w:proofErr w:type="spellEnd"/>
      <w:r>
        <w:rPr>
          <w:rFonts w:ascii="Courier New" w:eastAsia="Courier New" w:hAnsi="Courier New" w:cs="Courier New"/>
          <w:color w:val="1B2A4A"/>
          <w:sz w:val="16"/>
          <w:szCs w:val="16"/>
        </w:rPr>
        <w:t xml:space="preserve"> and international companies that entered later with better market understanding have often taken market share.",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market investment fatigue — after initial investment that did not generate expected returns, internal stakeholder support for renewed India investment requires compelling evidence."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market </w:t>
      </w:r>
      <w:proofErr w:type="spellStart"/>
      <w:r>
        <w:rPr>
          <w:rFonts w:ascii="Courier New" w:eastAsia="Courier New" w:hAnsi="Courier New" w:cs="Courier New"/>
          <w:color w:val="1B2A4A"/>
          <w:sz w:val="16"/>
          <w:szCs w:val="16"/>
        </w:rPr>
        <w:t>re-assessment|You</w:t>
      </w:r>
      <w:proofErr w:type="spellEnd"/>
      <w:r>
        <w:rPr>
          <w:rFonts w:ascii="Courier New" w:eastAsia="Courier New" w:hAnsi="Courier New" w:cs="Courier New"/>
          <w:color w:val="1B2A4A"/>
          <w:sz w:val="16"/>
          <w:szCs w:val="16"/>
        </w:rPr>
        <w:t xml:space="preserve"> need a rigorous current-state assessment of your India market position including what has changed since initial entry and where the real growth opportunities now exist.",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"Channel and pricing </w:t>
      </w:r>
      <w:proofErr w:type="spellStart"/>
      <w:r>
        <w:rPr>
          <w:rFonts w:ascii="Courier New" w:eastAsia="Courier New" w:hAnsi="Courier New" w:cs="Courier New"/>
          <w:color w:val="1B2A4A"/>
          <w:sz w:val="16"/>
          <w:szCs w:val="16"/>
        </w:rPr>
        <w:t>re-alignment|You</w:t>
      </w:r>
      <w:proofErr w:type="spellEnd"/>
      <w:r>
        <w:rPr>
          <w:rFonts w:ascii="Courier New" w:eastAsia="Courier New" w:hAnsi="Courier New" w:cs="Courier New"/>
          <w:color w:val="1B2A4A"/>
          <w:sz w:val="16"/>
          <w:szCs w:val="16"/>
        </w:rPr>
        <w:t xml:space="preserve"> need to assess whether your current India channel strategy and pricing are aligned with how the India market has evolved since your initial entry.",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growth acceleration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specific plan for re-accelerating India revenue from your existing market position leveraging new channels, segments, and regulatory environments.",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competitive intelligence </w:t>
      </w:r>
      <w:proofErr w:type="spellStart"/>
      <w:r>
        <w:rPr>
          <w:rFonts w:ascii="Courier New" w:eastAsia="Courier New" w:hAnsi="Courier New" w:cs="Courier New"/>
          <w:color w:val="1B2A4A"/>
          <w:sz w:val="16"/>
          <w:szCs w:val="16"/>
        </w:rPr>
        <w:t>update|You</w:t>
      </w:r>
      <w:proofErr w:type="spellEnd"/>
      <w:r>
        <w:rPr>
          <w:rFonts w:ascii="Courier New" w:eastAsia="Courier New" w:hAnsi="Courier New" w:cs="Courier New"/>
          <w:color w:val="1B2A4A"/>
          <w:sz w:val="16"/>
          <w:szCs w:val="16"/>
        </w:rPr>
        <w:t xml:space="preserve"> need to understand how your competitive position in India has changed and which new entrants you are now competing with.",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"Internal stakeholder re-investment </w:t>
      </w:r>
      <w:proofErr w:type="spellStart"/>
      <w:r>
        <w:rPr>
          <w:rFonts w:ascii="Courier New" w:eastAsia="Courier New" w:hAnsi="Courier New" w:cs="Courier New"/>
          <w:color w:val="1B2A4A"/>
          <w:sz w:val="16"/>
          <w:szCs w:val="16"/>
        </w:rPr>
        <w:t>case|You</w:t>
      </w:r>
      <w:proofErr w:type="spellEnd"/>
      <w:r>
        <w:rPr>
          <w:rFonts w:ascii="Courier New" w:eastAsia="Courier New" w:hAnsi="Courier New" w:cs="Courier New"/>
          <w:color w:val="1B2A4A"/>
          <w:sz w:val="16"/>
          <w:szCs w:val="16"/>
        </w:rPr>
        <w:t xml:space="preserve"> need an evidence-based case for renewed India investment that addresses the concerns of stakeholders who are fatigued by earlier India investment.",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team and partner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need an assessment of whether your current India team, distributor, and channel partner network is the right one for your next phase of India growth."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market re-assessment covering current-state analysis, market evolution since initial entry, and opportunity identification with prioritisation.",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channel and pricing strategy review covering current versus optimal channel mix and pricing alignment with evolved Indian market realities.",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growth acceleration plan covering specific commercial initiatives for re-accelerating India revenue from existing market position.",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competitive intelligence update covering new entrant analysis and competitive position assessment.",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"Internal investment case development covering stakeholder communication strategy and evidence base for renewed India commitment.",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partner and team assessment covering distributor and channel partner quality evaluation and team capability gap analysis."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technology companies re-energising their India position or also with FMCG, healthcare, and financial services companies?|All sectors — we work with any international company that has an existing India position and wants to accelerate growth.",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market re-entry engagement take?|Typically 8–10 weeks for current-state assessment, market evolution analysis, and growth acceleration plan.",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help assess whether existing India channel partners are the right ones for the next growth phase?|Yes — channel partner quality assessment and re-alignment are core to our India market re-entry service.",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"What typically causes India market growth to plateau for international companies?|Most commonly: pricing that does not reflect Indian market evolution, channel partners that were right for initial entry but wrong for scale, and product localisation gaps that Indian competitors have filled."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market re-entry strategy, India growth acceleration consulting, India market reassessment, India channel optimisation advisory, India competitive position review, India market renewal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assessment covers all markets relevant to the company's existing India presence",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"4x",</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digital economy growth since 2019",</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"Companies that entered India before UPI maturation and Jio data price drops are operating with outdated market assumptions that a re-entry strategy must address.",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re-entry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"stat2b": "Indian enterprise buyers, consumer segments, and channel partners — every re-entry engagement grounded in direct current-state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market re-entry and growth acceleration",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market evolution analysis and competitive intelligence delivers India market re-entry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"gulf-ai-national-strategy",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"Gulf National AI Strategy &amp; Government AI Advisory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AI strategy consultancies, national AI programme advisories, and government AI implementation companies access Gulf national AI strategy mandates with market entry strategy and government relationship development.",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"Gulf national AI strategy and government AI advisory market entry",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AI strategy expertise to Gulf government mandate — strategy for AI advisory companies entering GCC government AI programmes.",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Gulf's national AI strategy market is one of the world's most commercially significant government advisory opportunities — with Saudi Arabia's SDAIA managing the world's most ambitious national AI programme, UAE's AI Ministry coordinating digital economy AI strategy, Qatar's QF AI investments, and all Gulf governments racing to define and implement national AI visions. International AI strategy consultancies, national AI programme advisors, government AI capability builders, and AI governance experts are all evaluating Gulf government AI programme access as mandates grow. GreyRadius helps AI advisory companies access Gulf national AI programme procurement, identify government relationships, and execute entry.",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"Gulf national AI programme mandates are at peak value — SDAIA's National AI Strategy Phase 2 implementation, UAE AI Ministry's 2031 AI strategy execution, and QF's AI programme are all in active advisory procurement phases in 2024–2027. The AI advisory companies establishing senior Gulf government AI relationships in this window will capture multi-year strategy and implementation mandates.",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government AI advisory market is projected to reach $3B annually by 2027 — growing at 30% as national AI strategy implementation, government AI capability building, and AI governance advisory all scale.",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"SDAIA is the world's most active government AI strategy buyer — managing Saudi Arabia's 96 AI use cases across 16 government sectors with dedicated programme offices requiring continuous advisory support.",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"UAE AI Ministry is unique globally — a ministerial-level AI government office with direct budget authority and multi-year AI programme mandates creates a structured advisory procurement pathway.",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government AI ethics and governance advisory is an emerging category — all Gulf governments are developing AI governance frameworks creating demand for specialist advisory that few companies currently provide."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government AI programme access requires senior relationships — SDAIA, UAE AI Ministry, and QF all make advisory mandate decisions through senior relationship-driven processes not formal tender.",</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"Arabic language AI strategy documentation is required — national AI strategy documents, government AI playbooks, and programme reports all require Arabic language capability.",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global strategy consultancies — McKinsey Digital, BCG Gamma, and Deloitte AI — with established Gulf government relationships is intense across national AI strategy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"Government AI programme timelines are unpredictable — mandate scopes, budget approvals, and programme structures can change as government AI priorities evolve."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government AI advisory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which SDAIA, UAE AI Ministry, and Gulf government AI programme offices are actively procuring advisory services in your AI expertise area.",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government AI relationship development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senior relationship development plan targeting SDAIA programme directors, UAE AI Ministry officials, and QF AI leadership.",</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government AI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local Gulf AI companies, government technology integrators, and Arabic language content partners as consortium members for government mandates.",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government AI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go-to-market plan covering SDAIA national AI strategy, UAE AI programme, and Gulf sector-specific AI advisory procurement.",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or securing mandates for Gulf government </w:t>
      </w:r>
      <w:proofErr w:type="spellStart"/>
      <w:r>
        <w:rPr>
          <w:rFonts w:ascii="Courier New" w:eastAsia="Courier New" w:hAnsi="Courier New" w:cs="Courier New"/>
          <w:color w:val="1B2A4A"/>
          <w:sz w:val="16"/>
          <w:szCs w:val="16"/>
        </w:rPr>
        <w:t>AI|You</w:t>
      </w:r>
      <w:proofErr w:type="spellEnd"/>
      <w:r>
        <w:rPr>
          <w:rFonts w:ascii="Courier New" w:eastAsia="Courier New" w:hAnsi="Courier New" w:cs="Courier New"/>
          <w:color w:val="1B2A4A"/>
          <w:sz w:val="16"/>
          <w:szCs w:val="16"/>
        </w:rPr>
        <w:t xml:space="preserve"> need a business development approach grounded in Gulf government AI programme data and mandate pipeline analysis.",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"Arabic AI governance and strategy </w:t>
      </w:r>
      <w:proofErr w:type="spellStart"/>
      <w:r>
        <w:rPr>
          <w:rFonts w:ascii="Courier New" w:eastAsia="Courier New" w:hAnsi="Courier New" w:cs="Courier New"/>
          <w:color w:val="1B2A4A"/>
          <w:sz w:val="16"/>
          <w:szCs w:val="16"/>
        </w:rPr>
        <w:t>capability|You</w:t>
      </w:r>
      <w:proofErr w:type="spellEnd"/>
      <w:r>
        <w:rPr>
          <w:rFonts w:ascii="Courier New" w:eastAsia="Courier New" w:hAnsi="Courier New" w:cs="Courier New"/>
          <w:color w:val="1B2A4A"/>
          <w:sz w:val="16"/>
          <w:szCs w:val="16"/>
        </w:rPr>
        <w:t xml:space="preserve"> need to develop or demonstrate Arabic language AI strategy and governance capability required for Gulf government AI mandates."</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government AI programme procurement demand with SDAIA, UAE AI Ministry, and QF programme pipeline mapping.",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"Full business case for Gulf government AI advisory investment covering relationship development timelines and mandate economics.",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government AI market entry including relationship development strategy, local partner identification, and first-mandate milestone.",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government AI GTM team covering SDAIA, UAE AI Ministry, and Gulf sector government AI office outreach.",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"Business development materials for Gulf government AI advisory with national AI programme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"Arabic AI governance strategy development — building the Arabic language AI strategy and governance capability required for Gulf government mandates."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AI strategy consultancies or also with national AI programme implementation, AI governance, and government AI capability building companies in the Gulf?|All government AI advisory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"Which Gulf government AI markets does GreyRadius prioritise?|Saudi Arabia for SDAIA mandate scale, UAE for AI Ministry programme access.",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government AI advisory market entry engagement take?|Typically 8–12 weeks for programme pipeline mapping and relationship development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SDAIA and UAE AI Ministry programme contacts?|Yes — senior government AI programme contact mapping is core to our Gulf national AI strategy service."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national AI strategy market entry, Saudi Arabia SDAIA advisory GTM strategy, UAE AI Ministry consulting, Gulf government AI advisory, GCC AI programme market entry, Gulf AI governance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"Saudi Arabia — SDAIA Riyadh, UAE — AI Ministry Dubai and Abu Dhabi, Qatar — Qatar Foundation",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"$3B",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government AI advisory market by 2027",</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30% as SDAIA, UAE AI Ministry, and Gulf sector AI programmes all scale their advisory and implementation procurement.",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government AI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"stat2b": "SDAIA programme directors, UAE AI Ministry officials, and Gulf government AI procurement heads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national AI strategy market entry",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government programme pipeline mapping delivers Gulf national AI strategy advisory market entry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africa</w:t>
      </w:r>
      <w:proofErr w:type="spellEnd"/>
      <w:r>
        <w:rPr>
          <w:rFonts w:ascii="Courier New" w:eastAsia="Courier New" w:hAnsi="Courier New" w:cs="Courier New"/>
          <w:color w:val="1B2A4A"/>
          <w:sz w:val="16"/>
          <w:szCs w:val="16"/>
        </w:rPr>
        <w:t>-payment-infrastructure",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Payment Infrastructure Market Entry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payment infrastructure companies, switching technology businesses, and cross-border payment providers enter Africa with market entry strategy, central bank regulatory mapping, and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"Africa payment infrastructure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payment technology to African transaction rails — strategy for payment infrastructure companies entering Africa.",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"Africa's payment infrastructure market is at a historic transformation point — with PAPSS creating pan-African real-time payment interoperability, mobile money switching networks connecting 700+ mobile money deployments, central banks across Africa implementing open banking regulations, and cross-border payment volumes growing at 20% annually. International payment switching companies, cross-border payment infrastructure businesses, payment gateway technology providers, and core payment system vendors are all evaluating Africa as a priority payment infrastructure market. GreyRadius helps payment infrastructure companies validate African central bank and mobile money operator demand, navigate regulatory requirements, identify partners, and raise capital.",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"PAPSS commercial launch across African markets is creating immediate demand for cross-border payment infrastructure — African commercial banks, mobile money operators, and central banks all need to connect to PAPSS creating payment technology procurement. The payment infrastructure companies establishing African financial system relationships in 2024–2027 will be embedded in continental payment rails serving 1.4 billion people.",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"Africa payment infrastructure market is projected to reach $50B in annual transaction value by 2028 — growing at 20% annually as PAPSS interoperability, mobile money expansion, and digital commerce scale.",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"PAPSS connects 13 African central banks and will expand to 54 — creating continental real-time payment infrastructure that requires technology upgrade and integration across all participating 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"Africa has 700+ mobile money deployments across 47 countries — creating the world's most fragmented payment ecosystem and significant switching and interoperability technology opportunity.",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"Cross-border African remittance volume exceeded $100B in 2023 — with average costs still above 8% there is significant payment technology opportunity to reduce remittance cost across African corridors."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"Central bank regulatory approval for payment infrastructure is mandatory — each African central bank has different payment system licensing, operator requirements, and approval processes.",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"PAPSS integration requires technical and regulatory compliance — connecting to the Pan-African Payment and Settlement System requires both technical integration and regulatory authorisation from participating central banks.",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"Mobile money operator partnerships are relationship-driven — MTN, Airtel, and Safaricom mobile money technology decisions involve long-term partnership negotiations not open procurement.",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African payment infrastructure companies — Interswitch, </w:t>
      </w:r>
      <w:proofErr w:type="spellStart"/>
      <w:r>
        <w:rPr>
          <w:rFonts w:ascii="Courier New" w:eastAsia="Courier New" w:hAnsi="Courier New" w:cs="Courier New"/>
          <w:color w:val="1B2A4A"/>
          <w:sz w:val="16"/>
          <w:szCs w:val="16"/>
        </w:rPr>
        <w:t>Flutterwave</w:t>
      </w:r>
      <w:proofErr w:type="spellEnd"/>
      <w:r>
        <w:rPr>
          <w:rFonts w:ascii="Courier New" w:eastAsia="Courier New" w:hAnsi="Courier New" w:cs="Courier New"/>
          <w:color w:val="1B2A4A"/>
          <w:sz w:val="16"/>
          <w:szCs w:val="16"/>
        </w:rPr>
        <w:t>, and MFS Africa — with deep regulatory and operator relationships is intense."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"Africa payment infrastructure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central bank, commercial bank, and mobile money operator demand for your payment technology across priority African 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"PAPSS integration and regulatory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PAPSS technical integration requirements, participating central bank authorisation, and commercial bank connection process.",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"Africa payment infrastructure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commercial banks, mobile money operators, and central bank technology advisors as commercial partners.",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"Africa payment infrastructure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market-by-market bank and operator acquisition plan for your payment infrastructure product.",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Africa payment </w:t>
      </w:r>
      <w:proofErr w:type="spellStart"/>
      <w:r>
        <w:rPr>
          <w:rFonts w:ascii="Courier New" w:eastAsia="Courier New" w:hAnsi="Courier New" w:cs="Courier New"/>
          <w:color w:val="1B2A4A"/>
          <w:sz w:val="16"/>
          <w:szCs w:val="16"/>
        </w:rPr>
        <w:t>infrastructure|You</w:t>
      </w:r>
      <w:proofErr w:type="spellEnd"/>
      <w:r>
        <w:rPr>
          <w:rFonts w:ascii="Courier New" w:eastAsia="Courier New" w:hAnsi="Courier New" w:cs="Courier New"/>
          <w:color w:val="1B2A4A"/>
          <w:sz w:val="16"/>
          <w:szCs w:val="16"/>
        </w:rPr>
        <w:t xml:space="preserve"> need a pitch book grounded in Africa payment market data and PAPSS interoperability opportunity.",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"Cross-border payment corridor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the highest-volume African remittance corridors where your payment technology creates the most commercial opportunity."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"Validate African central bank and operator payment infrastructure demand with PAPSS programme mapping and bank procurement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Africa payment infrastructure investment covering regulatory compliance and operator partnership economics.",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Africa payment infrastructure market entry including central bank regulatory pathway, PAPSS integration strategy, and first-bank partner milestone.",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Africa payment infrastructure GTM team covering central bank and operator outreach.",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Africa payment infrastructure with PAPSS interoperability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African cross-border payment fraud detection to real-time African FX rate optimisation."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payment switching companies or also with cross-border payment, remittance technology, and payment gateway companies in Africa?|All payment infrastructure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"Which African payment infrastructure markets does GreyRadius prioritise?|Nigeria, Kenya, Ghana, South Africa, and Egypt as the most active PAPSS and mobile money infrastructure 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Africa payment infrastructure engagement take?|Typically 8–12 weeks for central bank regulatory mapping and operator demand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PAPSS integration technical partners and central bank regulatory contacts?|Yes."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payment infrastructure market entry, Nigeria payment technology GTM strategy, Kenya fintech infrastructure consulting, PAPSS advisory, Africa payment switching market entry, Pan-African payment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"Nigeria, Kenya, Ghana, South Africa, Egypt, Tanzania, Senegal",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"$50B",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"Africa payment infrastructure annual transaction value by 2028",</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"PAPSS interoperability, mobile money expansion, and digital commerce scale driving 20% annual growth in African payment infrastructure demand.",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Africa payment infrastructure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"stat2b": "Central bank payment officials, mobile money technology heads, and commercial bank treasury teams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"Africa payment infrastructure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PAPSS programme mapping and payment operator research delivers Africa payment infrastructure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-wealth-management",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Wealth Management &amp; Private Banking Market Entry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wealth management companies, private banks, and investment platform businesses enter India with market entry strategy, SEBI regulatory mapping, HNI demand validation, and distribution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"India wealth management and private banking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wealth management expertise to Indian HNI relationship — strategy for wealth management companies entering India.",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wealth management market is one of the world's most significant and fastest-growing — with 350,000 High Net Worth Individuals holding $1T+ in investable assets, a growing ultra-HNI segment investing internationally, SEBI's Registered Investment Adviser framework creating regulated wealth advice infrastructure, and India's stock market outperformance creating strong equity wealth creation. International private banks, wealth management platforms, family office service providers, and investment advisory businesses are all evaluating India as a wealth management market. GreyRadius helps wealth management companies validate Indian HNI demand, navigate SEBI regulatory requirements, identify distribution partners, and execute market entry.",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"India's HNI population is growing at 11% annually — one of the fastest HNI wealth creation rates globally as equity market outperformance, real estate appreciation, and entrepreneurial exits all create new wealthy individuals at scale. The wealth management companies establishing Indian HNI relationships in 2024–2027 will build AUM that compounds as India's wealth creation continues.",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wealth management market is projected to reach $1.5T in AUM by 2027 — growing at 15% annually as HNI population grows, international investment appetite increases, and regulated wealth advisory scales.",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has 350,000+ HNIs with $1T+ in investable assets — significantly underpenetrated by international wealth management given the sophistication of Indian HNI investment knowledge and risk appetite.",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"SEBI's RIA framework is professionalising wealth advisory — creating regulatory infrastructure that international wealth management companies can use to establish credible, compliant India operations.",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ultra-HNI international investment appetite is growing significantly — Indian HNIs are increasingly interested in offshore equity, real estate, and alternative assets as portfolio diversification."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"SEBI registration requirements for wealth management are mandatory — RIA registration, investment adviser qualification, and compliance requirements all apply to wealth management businesses operating in India.",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"Indian HNI trust is relationship-driven — wealth management relationships in India depend on personal trust built over years through demonstrated performance and cultural credibility.",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Indian wealth managers — Motilal </w:t>
      </w:r>
      <w:proofErr w:type="spellStart"/>
      <w:r>
        <w:rPr>
          <w:rFonts w:ascii="Courier New" w:eastAsia="Courier New" w:hAnsi="Courier New" w:cs="Courier New"/>
          <w:color w:val="1B2A4A"/>
          <w:sz w:val="16"/>
          <w:szCs w:val="16"/>
        </w:rPr>
        <w:t>Oswal</w:t>
      </w:r>
      <w:proofErr w:type="spellEnd"/>
      <w:r>
        <w:rPr>
          <w:rFonts w:ascii="Courier New" w:eastAsia="Courier New" w:hAnsi="Courier New" w:cs="Courier New"/>
          <w:color w:val="1B2A4A"/>
          <w:sz w:val="16"/>
          <w:szCs w:val="16"/>
        </w:rPr>
        <w:t>, Edelweiss, and ICICI Private Banking — with deep HNI relationships is intense across all segments.",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"LRS and FEMA restrictions affect Indian HNI offshore investment — the Liberalised Remittance Scheme $250,000 annual limit and FEMA compliance requirements affect the international investment proposition for Indian HNIs."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HNI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Indian HNI demand for your wealth management product including risk appetite, investment preferences, and service expectations.",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"SEBI RIA regulatory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SEBI Registered Investment Adviser registration, compliance requirements, and operating model obligations for wealth management in India.",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wealth management distribution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RIA networks, private bank distribution partners, and family office service intermediaries as distribution channels.",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wealth management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go-to-market plan covering HNI acquisition, relationship management model, and AUM growth milestones.",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wealth management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need a pitch book grounded in India HNI market data and wealth creation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"LRS and international investment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strategy for accessing Indian HNI offshore investment appetite within LRS and FEMA compliance constraints."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HNI demand for your wealth management product with primary research across HNI segments and investment preference mapping.",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wealth management investment covering SEBI compliance cost and AUM economics.",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wealth management market entry including SEBI RIA pathway, distribution partner identification, and first-AUM milestone.",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wealth management GTM team covering HNI acquisition and distribution partner outreach.",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wealth management investment with HNI growth and wealth creation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personalised Hindi language HNI financial advisory to automated SEBI RIA compliance reporting."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private banking companies or also with investment platforms, family office services, and alternative investment managers entering India?|All wealth management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wealth management engagement take?|Typically 8–12 weeks for HNI demand research, SEBI regulatory mapping, and distribution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SEBI RIA network and private bank distribution partners for wealth management companies?|Yes — distribution partner identification is core to our India wealth management service.",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does India's LRS limit affect international wealth management market entry strategy?|LRS's $250,000 annual offshore limit shapes the international investment product opportunity — we develop an LRS-compliant international investment strategy as part of every India wealth management engagement."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wealth management market entry, India private banking GTM strategy, India HNI consulting, SEBI RIA advisory, India family office market entry, India investment advisory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Mumbai, Delhi NCR, Bengaluru, Hyderabad, Pune — India's primary HNI 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"$1.5T",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wealth management AUM by 2027",</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15% annually as HNI population expands, equity market outperformance creates wealth, and regulated advisory infrastructure scales.",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wealth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HNI investors, SEBI RIA compliance specialists, and private bank distribution heads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wealth management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HNI demand mapping and SEBI RIA regulatory research delivers India wealth management market entry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"southeast-</w:t>
      </w:r>
      <w:proofErr w:type="spellStart"/>
      <w:r>
        <w:rPr>
          <w:rFonts w:ascii="Courier New" w:eastAsia="Courier New" w:hAnsi="Courier New" w:cs="Courier New"/>
          <w:color w:val="1B2A4A"/>
          <w:sz w:val="16"/>
          <w:szCs w:val="16"/>
        </w:rPr>
        <w:t>asia</w:t>
      </w:r>
      <w:proofErr w:type="spellEnd"/>
      <w:r>
        <w:rPr>
          <w:rFonts w:ascii="Courier New" w:eastAsia="Courier New" w:hAnsi="Courier New" w:cs="Courier New"/>
          <w:color w:val="1B2A4A"/>
          <w:sz w:val="16"/>
          <w:szCs w:val="16"/>
        </w:rPr>
        <w:t>-</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-scale",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"Southeast Asia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Scale &amp; Expansion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companies that have launched in one Southeast Asian market scale across ASEAN with multi-market expansion strategy, regulatory pathway per market, and regional partnership development.",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"Southeast Asia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scale and multi-market expansion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first ASEAN market launch to regional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leadership — strategy for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companies scaling across Southeast Asia.",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"Many international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companies have successfully launched in one Southeast Asian market — typically Singapore, Thailand, or Indonesia — and are now evaluating regional expansion across ASEAN. The challenge of scaling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across Southeast Asia is significant — each market has different regulatory requirements, healthcare infrastructure quality, disease burden profiles, and buyer dynamics. GreyRadius helps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companies that have proven their model in one ASEAN market develop rigorous multi-market expansion strategies that sequence additional markets correctly, adapt product for local regulatory and clinical requirements, and identify the right regional partners.",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"Southeast Asia's post-pandemic healthcare investment is creating a window for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companies with proven ASEAN models to expand — governments that adopted telemedicine and digital health during COVID are now formalising regulatory frameworks and making institutional investments. Companies that expand across ASEAN in 2024–2027 will establish regional brand recognition before market consolidation.",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digital health market is growing at 22% annually across all ASEAN markets — creating expansion opportunity for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companies with proven models in first 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"Indonesia's healthcare market is 4x the size of any other ASEAN market — successful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companies that do not enter Indonesia are missing the region's most significant opportunity.",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"Thailand's private healthcare system is ASEAN's most technology-advanced outside Singapore — creating strong adoption dynamics for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that has proven hospital deployment capability.",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"Philippines' universal healthcare implementation is creating government digital health procurement that extends well beyond the private healthcare market that most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companies target initially."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"Each ASEAN market requires separate regulatory approval — FDA Philippines, BPOM Indonesia, FDA Thailand, and MDA Malaysia all have different medical device and digital health classification that requires time and resource investment.",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"Healthcare infrastructure quality varies dramatically across ASEAN — technology that deploys easily in Singapore's world-class hospitals may require significant adaptation for Indonesian public hospitals.",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"Hospital procurement relationships do not transfer across borders — clinical champion relationships in Thailand do not create introductions in Vietnam or Philippines requiring market-specific relationship development.",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"Capital requirements for multi-market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expansion are significant — regulatory compliance, clinical validation, and sales infrastructure in 3-5 ASEAN markets simultaneously requires substantial investment."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"ASEAN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expansion market </w:t>
      </w:r>
      <w:proofErr w:type="spellStart"/>
      <w:r>
        <w:rPr>
          <w:rFonts w:ascii="Courier New" w:eastAsia="Courier New" w:hAnsi="Courier New" w:cs="Courier New"/>
          <w:color w:val="1B2A4A"/>
          <w:sz w:val="16"/>
          <w:szCs w:val="16"/>
        </w:rPr>
        <w:t>prioritisation|You</w:t>
      </w:r>
      <w:proofErr w:type="spellEnd"/>
      <w:r>
        <w:rPr>
          <w:rFonts w:ascii="Courier New" w:eastAsia="Courier New" w:hAnsi="Courier New" w:cs="Courier New"/>
          <w:color w:val="1B2A4A"/>
          <w:sz w:val="16"/>
          <w:szCs w:val="16"/>
        </w:rPr>
        <w:t xml:space="preserve"> need to determine which ASEAN markets to enter next based on your proven model, regulatory pathway complexity, and commercial opportunity sizing.",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"Multi-market regulatory pathway </w:t>
      </w:r>
      <w:proofErr w:type="spellStart"/>
      <w:r>
        <w:rPr>
          <w:rFonts w:ascii="Courier New" w:eastAsia="Courier New" w:hAnsi="Courier New" w:cs="Courier New"/>
          <w:color w:val="1B2A4A"/>
          <w:sz w:val="16"/>
          <w:szCs w:val="16"/>
        </w:rPr>
        <w:t>mapping|You</w:t>
      </w:r>
      <w:proofErr w:type="spellEnd"/>
      <w:r>
        <w:rPr>
          <w:rFonts w:ascii="Courier New" w:eastAsia="Courier New" w:hAnsi="Courier New" w:cs="Courier New"/>
          <w:color w:val="1B2A4A"/>
          <w:sz w:val="16"/>
          <w:szCs w:val="16"/>
        </w:rPr>
        <w:t xml:space="preserve"> need country-specific regulatory pathway maps for FDA Philippines, BPOM Indonesia, FDA Thailand, and other ASEAN medical device and digital health regulators.",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"Regional hospital partner and clinical champion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country-specific hospital group technology buyers and clinical champions in each target expansion market.",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"ASEAN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regional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sequenced multi-market expansion plan covering regulatory, clinical validation, and commercial milestones per market.",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ASEAN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expansion|You</w:t>
      </w:r>
      <w:proofErr w:type="spellEnd"/>
      <w:r>
        <w:rPr>
          <w:rFonts w:ascii="Courier New" w:eastAsia="Courier New" w:hAnsi="Courier New" w:cs="Courier New"/>
          <w:color w:val="1B2A4A"/>
          <w:sz w:val="16"/>
          <w:szCs w:val="16"/>
        </w:rPr>
        <w:t xml:space="preserve"> need a pitch book grounded in multi-market TAM data and expansion economics.",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"Regional partnership and distribution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regional distribution agreements, hospital group frameworks, and government health programme partnerships that can scale across multiple ASEAN 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"Multi-market ASEAN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expansion assessment covering market prioritisation, regulatory pathway mapping, and sequenced entry plan.",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"Country-specific regulatory pathway analysis for each target ASEAN expansion market.",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"Regional hospital partner and clinical champion identification across target expansion 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"ASEAN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expansion capital-raising support covering multi-market TAM and expansion economics.",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ASEAN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expansion team covering regulatory submission support and hospital outreach across 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strategy for ASEAN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scale — from shared AI model architecture across markets to market-specific local language clinical adaptation."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companies expanding from Singapore or also companies expanding from Thailand, Indonesia, or Vietnam as their first market?|All first-market combinations — we assess the right expansion sequencing from wherever you have launched first.",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Southeast Asia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expansion engagement take?|Typically 8–12 weeks for multi-market assessment, regulatory mapping, and regional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hospital partners in each expansion market simultaneously?|Yes — multi-market hospital partner identification is a core capability of our ASEAN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expansion service.",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"What is the recommended ASEAN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expansion sequence for most companies?|Typically Singapore to Indonesia to Thailand or Philippines — Indonesia first after Singapore for volume, Thailand for private hospital technology adoption. Vietnam increasingly viable as regulatory clarity improves."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"Southeast Asia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expansion strategy, ASEAN medical technology scale, Indonesia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GTM, Vietnam digital health consulting, ASEAN multi-market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advisory",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"Indonesia, Vietnam, Thailand, Philippines, Malaysia — expansion from Singapore or existing ASEAN first market",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"22%",</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"Southeast Asia digital health annual growth rate",</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"stat1b": "Growing consistently across all ASEAN markets — creating expansion opportunity for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companies with proven models in first 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ASEAN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expansion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"stat2b": "Hospital CIOs and clinical champions across each expansion market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"Southeast Asia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expansion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multi-market regulatory mapping and hospital partner research delivers ASEAN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expansion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-electric-vehicle-market",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"electric-vehicles",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Electric Vehicle Market Entry Strategy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EV technology companies, battery businesses, and electric mobility companies enter India with market entry strategy, FAME and PLI programme access, regulatory mapping, and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"India electric vehicle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EV technology to India electric mobility deployment — strategy for EV companies entering India.",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electric vehicle market is growing at extraordinary speed — with EV two-wheeler sales growing 50% annually, commercial EV adoption accelerating in last-mile logistics, government FAME subsidies and PLI for battery manufacturing creating market pull, and automakers including Tata, Mahindra, and Bajaj all scaling EV portfolios that require technology and component supply chains. International EV technology companies, battery cell manufacturers, charging infrastructure businesses, EV software companies, and automotive semiconductor suppliers are all evaluating India as a priority EV market. GreyRadius helps EV companies validate Indian demand, access FAME and PLI programmes, navigate regulatory requirements, identify partners, and raise capital.",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"India's EV adoption is crossing the tipping point — EV two-wheelers achieved 5% market share in 2023 and are on track for 25% by 2027. Commercial EV fleet adoption in logistics, food delivery, and public transport is accelerating simultaneously. The EV technology companies establishing Indian automotive manufacturer relationships in 2024–2026 will be embedded in the supply chains that will manufacture 10 million+ EVs annually by 2030.",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EV market is projected to reach $100B by 2030 — growing at 40% annually as FAME subsidies, PLI incentives, fuel cost advantages, and improving EV product quality all drive adoption.",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EV two-wheeler market grew 50% in 2023 — Ola Electric, </w:t>
      </w:r>
      <w:proofErr w:type="spellStart"/>
      <w:r>
        <w:rPr>
          <w:rFonts w:ascii="Courier New" w:eastAsia="Courier New" w:hAnsi="Courier New" w:cs="Courier New"/>
          <w:color w:val="1B2A4A"/>
          <w:sz w:val="16"/>
          <w:szCs w:val="16"/>
        </w:rPr>
        <w:t>Ather</w:t>
      </w:r>
      <w:proofErr w:type="spellEnd"/>
      <w:r>
        <w:rPr>
          <w:rFonts w:ascii="Courier New" w:eastAsia="Courier New" w:hAnsi="Courier New" w:cs="Courier New"/>
          <w:color w:val="1B2A4A"/>
          <w:sz w:val="16"/>
          <w:szCs w:val="16"/>
        </w:rPr>
        <w:t>, and Bajaj all scaling at pace creating battery cell, BMS, motor, and power electronics supply chain demand.",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commercial EV adoption is accelerating — Flipkart, Amazon, and </w:t>
      </w:r>
      <w:proofErr w:type="spellStart"/>
      <w:r>
        <w:rPr>
          <w:rFonts w:ascii="Courier New" w:eastAsia="Courier New" w:hAnsi="Courier New" w:cs="Courier New"/>
          <w:color w:val="1B2A4A"/>
          <w:sz w:val="16"/>
          <w:szCs w:val="16"/>
        </w:rPr>
        <w:t>Swiggy</w:t>
      </w:r>
      <w:proofErr w:type="spellEnd"/>
      <w:r>
        <w:rPr>
          <w:rFonts w:ascii="Courier New" w:eastAsia="Courier New" w:hAnsi="Courier New" w:cs="Courier New"/>
          <w:color w:val="1B2A4A"/>
          <w:sz w:val="16"/>
          <w:szCs w:val="16"/>
        </w:rPr>
        <w:t xml:space="preserve"> fleet electrification plus state government e-bus and e-auto programmes creating fleet EV and charging infrastructure demand.",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"PLI for Advanced Chemistry Cells is creating </w:t>
      </w:r>
      <w:proofErr w:type="spellStart"/>
      <w:r>
        <w:rPr>
          <w:rFonts w:ascii="Courier New" w:eastAsia="Courier New" w:hAnsi="Courier New" w:cs="Courier New"/>
          <w:color w:val="1B2A4A"/>
          <w:sz w:val="16"/>
          <w:szCs w:val="16"/>
        </w:rPr>
        <w:t>gigafactory</w:t>
      </w:r>
      <w:proofErr w:type="spellEnd"/>
      <w:r>
        <w:rPr>
          <w:rFonts w:ascii="Courier New" w:eastAsia="Courier New" w:hAnsi="Courier New" w:cs="Courier New"/>
          <w:color w:val="1B2A4A"/>
          <w:sz w:val="16"/>
          <w:szCs w:val="16"/>
        </w:rPr>
        <w:t xml:space="preserve"> investment — $2.5B in government incentives attracting battery cell manufacturing investment that will require equipment, technology, and components."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"EV market in India is price-sensitive — Indian EV buyers compare TCO against ICE alternatives and require clear cost advantage for premium-priced EV technology to achieve adoption.",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"FAME subsidy phase-out risk — FAME III design and continuation timelines affect market dynamics requiring contingency planning for subsidy-independent commercial models.",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"Charging infrastructure coverage is still limited — range anxiety from insufficient charging density affects premium EV adoption outside major metropolitan areas.",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"Automotive manufacturer procurement is relationship-driven and slow — qualifying as a tier-1 or tier-2 supplier to Tata Motors, Mahindra, or Bajaj requires 12-24 months of qualification."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EV market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OEM and fleet operator demand for your EV technology and understand FAME and PLI programme access for your category.",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"FAME and PLI programme access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understand FAME III subsidy eligibility, PLI for ACC battery manufacturing requirements, and application timelines.",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EV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Indian EV OEMs, commercial fleet operators, and charging infrastructure operators as commercial partners.",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EV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go-to-market plan covering automotive OEM supplier qualification, fleet operator sales, and charging infrastructure deployment.",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EV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need a pitch book grounded in India EV adoption data and PLI incentive analysis.",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"OEM supplier qualification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structured approach to qualifying as a Tata, Mahindra, or Bajaj EV component supplier including quality certification requirements."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OEM and fleet operator demand for your EV technology with primary research across automotive manufacturers and commercial fleet segments.",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EV investment including FAME subsidy modelling and PLI incentive analysis.",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EV market entry including FAME programme access, OEM partner identification, and first-supply-agreement milestone.",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EV GTM team covering OEM procurement and fleet operator outreach.",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EV investment with EV adoption and PLI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battery management system optimisation for Indian climate conditions to EV charging demand prediction."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EV battery companies or also with motor, power electronics, charging infrastructure, and EV software companies entering India?|All EV technology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EV market entry engagement take?|Typically 8–12 weeks for OEM demand research, FAME and PLI mapping, and automotive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Tata, Mahindra, and Bajaj EV procurement contacts for EV technology companies?|Yes — automotive OEM procurement contact mapping is core to our India EV market entry service.",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does FAME III affect India EV market entry strategy?|FAME III design affects which EV categories receive subsidies — we map FAME III eligibility and implications in every India EV engagement."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electric vehicle market entry, India EV GTM strategy, India battery technology consulting, FAME PLI advisory, India EV charging market entry, India electric mobility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Pune automotive cluster, Chennai EV corridor, Delhi NCR for EV policy; Rajasthan and Gujarat for charging infrastructure",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"$100B",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EV market by 2030",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40% annually as FAME subsidies, PLI incentives, fuel cost advantages, and improving product quality all drive adoption.",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EV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EV OEM procurement heads, fleet operators, and charging infrastructure investors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EV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OEM procurement mapping and fleet demand research delivers India EV market entry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africa</w:t>
      </w:r>
      <w:proofErr w:type="spellEnd"/>
      <w:r>
        <w:rPr>
          <w:rFonts w:ascii="Courier New" w:eastAsia="Courier New" w:hAnsi="Courier New" w:cs="Courier New"/>
          <w:color w:val="1B2A4A"/>
          <w:sz w:val="16"/>
          <w:szCs w:val="16"/>
        </w:rPr>
        <w:t>-climate-tech",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"carbon-markets",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Climate Technology Market Entry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climate technology companies enter Africa with market entry strategy, carbon credit programme access, government climate finance identification, and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"Africa climate technology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climate technology to African climate solution — strategy for climate tech companies entering Africa.",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"Africa is simultaneously the continent most vulnerable to climate change and the continent with the greatest climate solution investment opportunity — hosting 17% of global carbon credit origination, significant renewable energy potential, and governments committed to climate adaptation as a development priority. International climate technology companies across carbon monitoring, climate risk analytics, climate adaptation infrastructure, clean cooking, and carbon credit platforms are all evaluating Africa as a climate tech market. GreyRadius helps climate tech companies validate African government and enterprise demand, access carbon credit market infrastructure, identify DFI and climate finance partners, and raise capital.",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"Africa's climate finance market is growing rapidly — Green Climate Fund, Africa Climate Fund, and bilateral climate finance commitments are all creating funded demand channels for climate technology companies. The Article 6 carbon credit framework implementation under the Paris Agreement is creating new international carbon market access for African carbon projects that well-positioned climate tech companies can develop.",</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"Africa generates 17% of global voluntary carbon credits — making it the world's second-largest carbon credit originating continent with significant project development opportunity.",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"Green Climate Fund has committed B+ to African climate projects — creating the world's most significant multilateral climate finance channel for climate technology companies seeking African deployment.",</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"Clean cooking technology is Africa's most significant climate and health intervention — 900 million Africans using solid biomass for cooking creating massive demand for clean cookstove and fuel technology.",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"Africa's climate adaptation market is growing at 20% annually — drought-resistant agriculture, coastal protection, and urban heat management all creating demand for climate adaptation technology."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"African carbon credit quality has faced international scrutiny — several African projects have had credits cancelled creating credibility challenges for carbon platform companies.",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"Climate finance access is complex — GCF, AfDB climate funds, and bilateral climate programmes all have different eligibility criteria, application processes, and disbursement timelines.",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"Enterprise climate technology buyers in Africa have limited budgets — African corporate ESG investment is minimal compared to developed markets requiring DFI and government-funded demand channels.",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"Data quality for climate monitoring in Africa is limited — satellite coverage, ground truth data, and measurement infrastructure gaps affect climate technology accuracy and commercial value."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"Africa climate tech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government, DFI, and enterprise demand for your climate technology across priority African 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"Carbon credit and climate finance </w:t>
      </w:r>
      <w:proofErr w:type="spellStart"/>
      <w:r>
        <w:rPr>
          <w:rFonts w:ascii="Courier New" w:eastAsia="Courier New" w:hAnsi="Courier New" w:cs="Courier New"/>
          <w:color w:val="1B2A4A"/>
          <w:sz w:val="16"/>
          <w:szCs w:val="16"/>
        </w:rPr>
        <w:t>access|You</w:t>
      </w:r>
      <w:proofErr w:type="spellEnd"/>
      <w:r>
        <w:rPr>
          <w:rFonts w:ascii="Courier New" w:eastAsia="Courier New" w:hAnsi="Courier New" w:cs="Courier New"/>
          <w:color w:val="1B2A4A"/>
          <w:sz w:val="16"/>
          <w:szCs w:val="16"/>
        </w:rPr>
        <w:t xml:space="preserve"> need to understand GCF, AfDB, and Article 6 carbon market access pathways for your climate technology.",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"Africa climate tech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African government climate agencies, DFI programme managers, and carbon project developers as commercial partners.",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"Africa climate tech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go-to-market plan covering government climate procurement, DFI programme access, and carbon credit development.",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Africa climate </w:t>
      </w:r>
      <w:proofErr w:type="spellStart"/>
      <w:r>
        <w:rPr>
          <w:rFonts w:ascii="Courier New" w:eastAsia="Courier New" w:hAnsi="Courier New" w:cs="Courier New"/>
          <w:color w:val="1B2A4A"/>
          <w:sz w:val="16"/>
          <w:szCs w:val="16"/>
        </w:rPr>
        <w:t>tech|You</w:t>
      </w:r>
      <w:proofErr w:type="spellEnd"/>
      <w:r>
        <w:rPr>
          <w:rFonts w:ascii="Courier New" w:eastAsia="Courier New" w:hAnsi="Courier New" w:cs="Courier New"/>
          <w:color w:val="1B2A4A"/>
          <w:sz w:val="16"/>
          <w:szCs w:val="16"/>
        </w:rPr>
        <w:t xml:space="preserve"> need a pitch book grounded in Africa climate market data and climate finance landscape.",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"Article 6 and voluntary carbon market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understand how Article 6 bilateral agreements between African countries and developed nations create carbon market opportunity."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"Validate African government and DFI demand for your climate technology with programme mapping and procurement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Africa climate tech investment covering DFI financing structure and carbon credit economics.",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Africa climate tech market entry including climate finance programme access, partner identification, and first-deployment milestone.",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Africa climate tech GTM team covering government, DFI, and carbon developer outreach.",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Africa climate tech with climate finance and carbon market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satellite-based African carbon monitoring to climate risk prediction for African infrastructure."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carbon monitoring companies or also with clean cooking, climate adaptation, and climate finance technology companies in Africa?|All climate tech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"Which African climate tech markets does GreyRadius prioritise?|Kenya, Ethiopia, Ghana, Senegal, and Tanzania as active carbon credit and climate adaptation technology markets.",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Africa climate tech engagement take?|Typically 8–12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GCF programme access and African carbon project development partners?|Yes."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climate technology market entry, Africa carbon market GTM strategy, Africa clean cooking consulting, GCF programme advisory, Africa climate adaptation market entry, Sub-Saharan climate tech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"Kenya, Ethiopia, Ghana, Senegal, Tanzania, South Africa, Rwanda",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"17%",</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"Africa share of global voluntary carbon credits",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"Second-largest carbon credit originating continent — GCF and bilateral climate finance creating funded demand channels for climate technology deployment.",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Africa climate tech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"stat2b": "Government climate officials, DFI programme managers, and carbon project developers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"Africa climate technology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climate finance programme mapping and carbon market research delivers Africa climate tech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"slug": "</w:t>
      </w:r>
      <w:proofErr w:type="spellStart"/>
      <w:r>
        <w:rPr>
          <w:rFonts w:ascii="Courier New" w:eastAsia="Courier New" w:hAnsi="Courier New" w:cs="Courier New"/>
          <w:color w:val="1B2A4A"/>
          <w:sz w:val="16"/>
          <w:szCs w:val="16"/>
        </w:rPr>
        <w:t>india</w:t>
      </w:r>
      <w:proofErr w:type="spellEnd"/>
      <w:r>
        <w:rPr>
          <w:rFonts w:ascii="Courier New" w:eastAsia="Courier New" w:hAnsi="Courier New" w:cs="Courier New"/>
          <w:color w:val="1B2A4A"/>
          <w:sz w:val="16"/>
          <w:szCs w:val="16"/>
        </w:rPr>
        <w:t>-digital-health-platform",</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Digital Health Platform Market Entry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digital health platform companies enter India with market entry strategy, ABDM integration pathway, telemedicine regulatory mapping, consumer demand validation, and partner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"India digital health platform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digital health platform to Indian patient — strategy for digital health companies entering India.",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digital health platform market is growing at extraordinary speed — driven by the Ayushman Bharat Digital Mission creating national digital health identity infrastructure for 600 million Indians, telemedicine normalisation post-COVID, doctor-patient video consultation becoming mainstream, and consumer health apps achieving mass adoption. International telemedicine platforms, digital health aggregators, chronic disease management apps, mental health platforms, and primary care technology companies are all evaluating India as a digital health market. GreyRadius helps digital health companies validate Indian consumer and institutional demand, navigate ABDM integration and telemedicine regulatory requirements, identify distribution partners, and raise capital.",</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"India's ABDM Health ID has enrolled 600 million people — creating the world's largest national digital health identity system and a distribution infrastructure for digital health platforms that international companies can access. ABDM's Health Data Management Policy creates interoperability standards that well-integrated digital health platforms can leverage for nationwide 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"India's digital health platform market is projected to reach 0B by 2027 — growing at 30% annually as ABDM adoption, telemedicine normalisation, and consumer health awareness all accelerate.",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has 600 million ABDM Health IDs — creating a digital patient identity infrastructure that enables personalised digital health platform experiences at national scale.",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"Teleconsultation market is growing at 35% annually — COVID normalised video consultations and post-pandemic Indian patients continue using telemedicine for convenience and cost.",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"Mental health platform demand is growing at 40%+ — India's 150 million people with mental health conditions and growing awareness are creating significant demand for accessible mental health services."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MoHFW</w:t>
      </w:r>
      <w:proofErr w:type="spellEnd"/>
      <w:r>
        <w:rPr>
          <w:rFonts w:ascii="Courier New" w:eastAsia="Courier New" w:hAnsi="Courier New" w:cs="Courier New"/>
          <w:color w:val="1B2A4A"/>
          <w:sz w:val="16"/>
          <w:szCs w:val="16"/>
        </w:rPr>
        <w:t xml:space="preserve"> telemedicine regulations require compliance — Telemedicine Practice Guidelines 2020 and ABDM data standards both create regulatory requirements for digital health platforms operating in India.",</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"Consumer health platform retention is challenging — Indian health app retention rates are low with 70%+ of users churning within 30 days requiring sustained engagement investment.",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"ABDM integration requires technical investment — connecting with Health ID, Health Facility Registry, and Healthcare Professional Registry all require significant API development.",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Indian digital health platforms — </w:t>
      </w:r>
      <w:proofErr w:type="spellStart"/>
      <w:r>
        <w:rPr>
          <w:rFonts w:ascii="Courier New" w:eastAsia="Courier New" w:hAnsi="Courier New" w:cs="Courier New"/>
          <w:color w:val="1B2A4A"/>
          <w:sz w:val="16"/>
          <w:szCs w:val="16"/>
        </w:rPr>
        <w:t>Practo</w:t>
      </w:r>
      <w:proofErr w:type="spellEnd"/>
      <w:r>
        <w:rPr>
          <w:rFonts w:ascii="Courier New" w:eastAsia="Courier New" w:hAnsi="Courier New" w:cs="Courier New"/>
          <w:color w:val="1B2A4A"/>
          <w:sz w:val="16"/>
          <w:szCs w:val="16"/>
        </w:rPr>
        <w:t>, 1mg, and Apollo 247 — with large user bases and deep distribution relationships is intense."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digital health consumer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Indian consumer demand for your digital health platform including willingness to pay, preferred use cases, and channel behaviour.",</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"ABDM integration and </w:t>
      </w:r>
      <w:proofErr w:type="spellStart"/>
      <w:r>
        <w:rPr>
          <w:rFonts w:ascii="Courier New" w:eastAsia="Courier New" w:hAnsi="Courier New" w:cs="Courier New"/>
          <w:color w:val="1B2A4A"/>
          <w:sz w:val="16"/>
          <w:szCs w:val="16"/>
        </w:rPr>
        <w:t>MoHFW</w:t>
      </w:r>
      <w:proofErr w:type="spellEnd"/>
      <w:r>
        <w:rPr>
          <w:rFonts w:ascii="Courier New" w:eastAsia="Courier New" w:hAnsi="Courier New" w:cs="Courier New"/>
          <w:color w:val="1B2A4A"/>
          <w:sz w:val="16"/>
          <w:szCs w:val="16"/>
        </w:rPr>
        <w:t xml:space="preserve"> regulatory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Telemedicine Practice Guidelines compliance, ABDM integration requirements, and health data privacy obligations.",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digital health distribution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telecom operator digital health bundle partners, pharmacy chain digital health integration, and insurance company wellness programme partners.",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"India digital health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go-to-market plan covering consumer acquisition, B2B employer wellness, and government ABDM programme integration.",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digital health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need a pitch book grounded in India digital health market data and ABDM opportunity analysis.",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"ABDM Health ID integration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technical and commercial strategy for integrating with ABDM Health ID to access India's national digital health identity infrastructure."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consumer demand for your digital health platform with consumer surveys and ABDM integration landscape mapping.",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digital health investment covering ABDM compliance cost and consumer acquisition economics.",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digital health market entry including </w:t>
      </w:r>
      <w:proofErr w:type="spellStart"/>
      <w:r>
        <w:rPr>
          <w:rFonts w:ascii="Courier New" w:eastAsia="Courier New" w:hAnsi="Courier New" w:cs="Courier New"/>
          <w:color w:val="1B2A4A"/>
          <w:sz w:val="16"/>
          <w:szCs w:val="16"/>
        </w:rPr>
        <w:t>MoHFW</w:t>
      </w:r>
      <w:proofErr w:type="spellEnd"/>
      <w:r>
        <w:rPr>
          <w:rFonts w:ascii="Courier New" w:eastAsia="Courier New" w:hAnsi="Courier New" w:cs="Courier New"/>
          <w:color w:val="1B2A4A"/>
          <w:sz w:val="16"/>
          <w:szCs w:val="16"/>
        </w:rPr>
        <w:t xml:space="preserve"> regulatory pathway, distribution partner identification, and first-million-users milestone.",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digital health GTM team covering consumer acquisition and institutional partnership outreach.",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"Investor-ready pitch books for India digital health investment with ABDM opportunity and telemedicine growth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Hindi language AI health advisory to ABDM-powered personalised health recommendations."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telemedicine platforms or also with chronic disease management, mental health, and primary care technology companies entering India?|All digital health platform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digital health platform engagement take?|Typically 6–10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telecom bundle and pharmacy distribution partners for digital health platforms in India?|Yes.",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does ABDM change digital health market entry strategy?|ABDM creates interoperability and patient identity infrastructure — we develop the ABDM integration strategy as part of every India digital health engagement."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digital health platform market entry, India telemedicine GTM strategy, India health app consulting, ABDM integration advisory, India mental health platform market entry, India consumer health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Mumbai, Delhi NCR, Bengaluru, Hyderabad, Pune and nationwide via ABDM digital health infrastructure",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"0B",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digital health platform market by 2027",</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30% annually as ABDM adoption, telemedicine normalisation, and consumer health awareness accelerate.",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digital health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consumers, healthcare providers, and ABDM programme officials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digital health platform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ABDM regulatory mapping and consumer demand research delivers India digital health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"slug": "gulf-</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-market-entry",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"title": "Gulf Medical Device &amp; MedTech Market Entry | GreyRadius",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medical device and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companies enter Gulf markets with market entry strategy, SFDA and DHA regulatory mapping, hospital procurement research, and distributor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"h1": "Gulf medical device and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medical device to Gulf clinical deployment — strategy for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companies entering the GCC.",</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Gulf's medical device and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market is one of the world's most commercially significant — combining Vision 2030 hospital privatisation creating new procurement decision-makers, high per-capita healthcare spending, governments actively seeking to improve clinical quality, and a rapidly growing private healthcare sector. International medical device manufacturers, in-vitro diagnostics companies, surgical technology businesses, and medical imaging companies are all evaluating Gulf market entry. GreyRadius helps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companies validate Gulf clinical demand, navigate SFDA and DHA regulatory requirements, identify hospital distributors and clinical champions, and execute market entry.",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"Saudi Arabia's hospital privatisation and UAE's healthcare expansion are both creating new medical device procurement decision-makers — private operators who have replaced government procurement committees have different buying criteria and speed that sophisticated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companies can access more effectively than the government procurement they replaced.",</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medical device market is projected to reach 0B by 2028 — growing at 12% annually as hospital privatisation, healthcare capacity expansion, and clinical quality improvement all drive procurement.",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 is the Gulf's largest medical device market — importing B+ annually with hospital privatisation creating new procurement relationships that international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companies must navigate.",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"UAE's medical hub ambition is creating advanced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adoption — Cleveland Clinic Abu Dhabi and Johns Hopkins Medicine Aramco Healthcare are both procuring advanced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creating reference sites for broader Gulf deployment.",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"Point-of-care diagnostics is the fastest-growing Gulf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category — decentralised testing, rapid diagnostics, and home monitoring all seeing significant adoption as healthcare moves beyond hospital settings."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"SFDA medical device registration is mandatory and time-consuming — Saudi Food and Drug Authority device registration takes 6–18 months depending on risk class and requires clinical evidence.",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"DHA and DOH approvals are separate from SFDA — UAE has market-by-market health authority approvals with Dubai Health Authority and Department of Health Abu Dhabi both requiring separate device registration.",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"Hospital clinical champion development takes time — Gulf clinicians require peer-reviewed evidence, clinical training, and proctor procedures before adopting new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distributor exclusivity requirements — Gulf medical device distributors typically require exclusive distribution agreements that must be negotiated carefully to preserve future channel flexibility."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clinical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Gulf clinical and hospital demand for your medical device and understand SFDA and DHA approval requirements.",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"SFDA and DHA regulatory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SFDA device classification, clinical evidence requirements, and approval timeline alongside DHA and DOH separate approvals.",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distributor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qualified Gulf medical device distributors with strong hospital relationships and clinical support capability in your specialty.",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go-to-market plan covering clinical champion development, distributor onboarding, and hospital formulary listing.",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need a pitch book grounded in Gulf healthcare market data and medical device demand analysis.",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"Gulf clinical evidence and reference site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strategy for developing Gulf clinical evidence and reference sites that support broader hospital adoption."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clinical and hospital demand for your medical device with physician interviews and SFDA regulatory mapping.",</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investment covering SFDA compliance cost and distributor economics.",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market entry including regulatory pathway, distributor identification, and first-hospital-deployment milestone.",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GTM team covering clinical champion and hospital procurement outreach.",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investment with hospital privatisation narrative.",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AI-powered Gulf diagnostic interpretation to medical device performance monitoring in Gulf clinical environments."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surgical device companies or also with diagnostics, imaging, and monitoring technology companies entering the Gulf?|All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categories.",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"Which Gulf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markets does GreyRadius prioritise?|Saudi Arabia for SFDA-registered market scale, UAE for advanced clinical adoption and medical hub ambition.",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engagement take?|Typically 8–12 weeks for clinical demand research, SFDA regulatory mapping, and distributor identification.",</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Gulf medical device distributors in each specialty?|Yes — specialty-specific distributor identification is core to our Gulf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service."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medical device market entry, Saudi Arabia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GTM strategy, UAE medical device consulting, SFDA regulatory advisory, GCC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market entry, Gulf diagnostic technology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"regions": "Saudi Arabia — Riyadh and Jeddah hospital clusters, UAE — Dubai Health City and Abu Dhabi medical hub, Qatar",</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"stat1n": "0B",</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medical device market by 2028",</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"stat1b": "Hospital privatisation, healthcare capacity expansion, and clinical quality improvement driving 12% annual medical device market growth.",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mandate",</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"stat2b": "Gulf clinicians, hospital procurement heads, and SFDA regulatory specialists — every engagement grounded in direct primary research.",</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market entry strategy",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SFDA regulatory mapping and clinical demand research delivers Gulf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 xml:space="preserve"> market entry strategies efficiently."</w:t>
      </w:r>
    </w:p>
    <w:p w:rsidR="000C205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C205B" w:rsidRDefault="00000000">
      <w:pPr>
        <w:shd w:val="clear" w:color="auto" w:fill="F0F0F0"/>
        <w:spacing w:before="14" w:after="14"/>
        <w:ind w:left="360"/>
      </w:pPr>
      <w:r>
        <w:rPr>
          <w:rFonts w:ascii="Courier New" w:eastAsia="Courier New" w:hAnsi="Courier New" w:cs="Courier New"/>
          <w:color w:val="1B2A4A"/>
          <w:sz w:val="16"/>
          <w:szCs w:val="16"/>
        </w:rPr>
        <w:t>]</w:t>
      </w:r>
    </w:p>
    <w:p w:rsidR="000C205B" w:rsidRDefault="000C205B">
      <w:pPr>
        <w:pBdr>
          <w:bottom w:val="single" w:sz="8" w:space="1" w:color="1B2A4A"/>
        </w:pBdr>
        <w:spacing w:before="200" w:after="200"/>
      </w:pPr>
    </w:p>
    <w:p w:rsidR="000C205B" w:rsidRDefault="00000000">
      <w:pPr>
        <w:pStyle w:val="Heading1"/>
      </w:pPr>
      <w:r>
        <w:lastRenderedPageBreak/>
        <w:t>Running total after Batch 17</w:t>
      </w:r>
    </w:p>
    <w:p w:rsidR="000C205B" w:rsidRDefault="00000000">
      <w:pPr>
        <w:spacing w:before="60" w:after="60"/>
      </w:pPr>
      <w:r>
        <w:rPr>
          <w:color w:val="222222"/>
        </w:rPr>
        <w:t>Previous total:  279 pages</w:t>
      </w:r>
    </w:p>
    <w:p w:rsidR="000C205B" w:rsidRDefault="00000000">
      <w:pPr>
        <w:spacing w:before="60" w:after="60"/>
      </w:pPr>
      <w:r>
        <w:rPr>
          <w:color w:val="222222"/>
        </w:rPr>
        <w:t>Batch 17:         20 pages</w:t>
      </w:r>
    </w:p>
    <w:p w:rsidR="000C205B" w:rsidRDefault="00000000">
      <w:pPr>
        <w:spacing w:before="60" w:after="60"/>
      </w:pPr>
      <w:r>
        <w:rPr>
          <w:color w:val="222222"/>
        </w:rPr>
        <w:t>New total:       299 pages fully written</w:t>
      </w:r>
    </w:p>
    <w:p w:rsidR="000C205B" w:rsidRDefault="000C205B">
      <w:pPr>
        <w:spacing w:before="60" w:after="60"/>
      </w:pPr>
    </w:p>
    <w:p w:rsidR="000C205B" w:rsidRDefault="00000000">
      <w:pPr>
        <w:spacing w:before="60" w:after="60"/>
      </w:pPr>
      <w:r>
        <w:rPr>
          <w:color w:val="222222"/>
        </w:rPr>
        <w:t xml:space="preserve">To continue toward 400 pages, start Batch 18. Suggested topics: Africa </w:t>
      </w:r>
      <w:proofErr w:type="spellStart"/>
      <w:r>
        <w:rPr>
          <w:color w:val="222222"/>
        </w:rPr>
        <w:t>medtech</w:t>
      </w:r>
      <w:proofErr w:type="spellEnd"/>
      <w:r>
        <w:rPr>
          <w:color w:val="222222"/>
        </w:rPr>
        <w:t>, India carbon markets deep dive, Gulf smart mobility, Southeast Asia insurance, India genomics, Gulf data centres, Africa edtech, India urban infrastructure, Gulf logistics automation, Southeast Asia climate tech, plus 10 additional combined and sector strategy pages.</w:t>
      </w:r>
    </w:p>
    <w:p w:rsidR="000C205B" w:rsidRDefault="00000000">
      <w:pPr>
        <w:spacing w:before="400"/>
      </w:pPr>
      <w:r>
        <w:rPr>
          <w:i/>
          <w:iCs/>
          <w:color w:val="666666"/>
          <w:sz w:val="16"/>
          <w:szCs w:val="16"/>
        </w:rPr>
        <w:t>GreyRadius Consulting | SEO Build Pack Batch 17 | May 2026 | Confidential</w:t>
      </w:r>
    </w:p>
    <w:sectPr w:rsidR="000C205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CF5CBB"/>
    <w:multiLevelType w:val="hybridMultilevel"/>
    <w:tmpl w:val="868AFEC0"/>
    <w:lvl w:ilvl="0" w:tplc="AC76DEC0">
      <w:start w:val="1"/>
      <w:numFmt w:val="bullet"/>
      <w:lvlText w:val="●"/>
      <w:lvlJc w:val="left"/>
      <w:pPr>
        <w:ind w:left="720" w:hanging="360"/>
      </w:pPr>
    </w:lvl>
    <w:lvl w:ilvl="1" w:tplc="ECBC9D42">
      <w:start w:val="1"/>
      <w:numFmt w:val="bullet"/>
      <w:lvlText w:val="○"/>
      <w:lvlJc w:val="left"/>
      <w:pPr>
        <w:ind w:left="1440" w:hanging="360"/>
      </w:pPr>
    </w:lvl>
    <w:lvl w:ilvl="2" w:tplc="6D68C32C">
      <w:start w:val="1"/>
      <w:numFmt w:val="bullet"/>
      <w:lvlText w:val="■"/>
      <w:lvlJc w:val="left"/>
      <w:pPr>
        <w:ind w:left="2160" w:hanging="360"/>
      </w:pPr>
    </w:lvl>
    <w:lvl w:ilvl="3" w:tplc="E800D9C6">
      <w:start w:val="1"/>
      <w:numFmt w:val="bullet"/>
      <w:lvlText w:val="●"/>
      <w:lvlJc w:val="left"/>
      <w:pPr>
        <w:ind w:left="2880" w:hanging="360"/>
      </w:pPr>
    </w:lvl>
    <w:lvl w:ilvl="4" w:tplc="35AA2F02">
      <w:start w:val="1"/>
      <w:numFmt w:val="bullet"/>
      <w:lvlText w:val="○"/>
      <w:lvlJc w:val="left"/>
      <w:pPr>
        <w:ind w:left="3600" w:hanging="360"/>
      </w:pPr>
    </w:lvl>
    <w:lvl w:ilvl="5" w:tplc="C08E7F94">
      <w:start w:val="1"/>
      <w:numFmt w:val="bullet"/>
      <w:lvlText w:val="■"/>
      <w:lvlJc w:val="left"/>
      <w:pPr>
        <w:ind w:left="4320" w:hanging="360"/>
      </w:pPr>
    </w:lvl>
    <w:lvl w:ilvl="6" w:tplc="C340145A">
      <w:start w:val="1"/>
      <w:numFmt w:val="bullet"/>
      <w:lvlText w:val="●"/>
      <w:lvlJc w:val="left"/>
      <w:pPr>
        <w:ind w:left="5040" w:hanging="360"/>
      </w:pPr>
    </w:lvl>
    <w:lvl w:ilvl="7" w:tplc="30602B66">
      <w:start w:val="1"/>
      <w:numFmt w:val="bullet"/>
      <w:lvlText w:val="●"/>
      <w:lvlJc w:val="left"/>
      <w:pPr>
        <w:ind w:left="5760" w:hanging="360"/>
      </w:pPr>
    </w:lvl>
    <w:lvl w:ilvl="8" w:tplc="618243A8">
      <w:start w:val="1"/>
      <w:numFmt w:val="bullet"/>
      <w:lvlText w:val="●"/>
      <w:lvlJc w:val="left"/>
      <w:pPr>
        <w:ind w:left="6480" w:hanging="360"/>
      </w:pPr>
    </w:lvl>
  </w:abstractNum>
  <w:abstractNum w:abstractNumId="1" w15:restartNumberingAfterBreak="0">
    <w:nsid w:val="75520BAE"/>
    <w:multiLevelType w:val="hybridMultilevel"/>
    <w:tmpl w:val="64D4821A"/>
    <w:lvl w:ilvl="0" w:tplc="BF42F13E">
      <w:start w:val="1"/>
      <w:numFmt w:val="bullet"/>
      <w:lvlText w:val="•"/>
      <w:lvlJc w:val="left"/>
      <w:pPr>
        <w:ind w:left="720" w:hanging="360"/>
      </w:pPr>
    </w:lvl>
    <w:lvl w:ilvl="1" w:tplc="983E2F2A">
      <w:numFmt w:val="decimal"/>
      <w:lvlText w:val=""/>
      <w:lvlJc w:val="left"/>
    </w:lvl>
    <w:lvl w:ilvl="2" w:tplc="C346FFF0">
      <w:numFmt w:val="decimal"/>
      <w:lvlText w:val=""/>
      <w:lvlJc w:val="left"/>
    </w:lvl>
    <w:lvl w:ilvl="3" w:tplc="42F65C26">
      <w:numFmt w:val="decimal"/>
      <w:lvlText w:val=""/>
      <w:lvlJc w:val="left"/>
    </w:lvl>
    <w:lvl w:ilvl="4" w:tplc="7EC266CC">
      <w:numFmt w:val="decimal"/>
      <w:lvlText w:val=""/>
      <w:lvlJc w:val="left"/>
    </w:lvl>
    <w:lvl w:ilvl="5" w:tplc="2FE4931A">
      <w:numFmt w:val="decimal"/>
      <w:lvlText w:val=""/>
      <w:lvlJc w:val="left"/>
    </w:lvl>
    <w:lvl w:ilvl="6" w:tplc="AF8647A0">
      <w:numFmt w:val="decimal"/>
      <w:lvlText w:val=""/>
      <w:lvlJc w:val="left"/>
    </w:lvl>
    <w:lvl w:ilvl="7" w:tplc="38BCEFAE">
      <w:numFmt w:val="decimal"/>
      <w:lvlText w:val=""/>
      <w:lvlJc w:val="left"/>
    </w:lvl>
    <w:lvl w:ilvl="8" w:tplc="918AC5FC">
      <w:numFmt w:val="decimal"/>
      <w:lvlText w:val=""/>
      <w:lvlJc w:val="left"/>
    </w:lvl>
  </w:abstractNum>
  <w:num w:numId="1" w16cid:durableId="1868398460">
    <w:abstractNumId w:val="0"/>
    <w:lvlOverride w:ilvl="0">
      <w:startOverride w:val="1"/>
    </w:lvlOverride>
  </w:num>
  <w:num w:numId="2" w16cid:durableId="2253405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05B"/>
    <w:rsid w:val="000C205B"/>
    <w:rsid w:val="00975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02C42E57-5C3D-2746-8BD8-7D0A1A551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23083</Words>
  <Characters>131576</Characters>
  <Application>Microsoft Office Word</Application>
  <DocSecurity>0</DocSecurity>
  <Lines>1096</Lines>
  <Paragraphs>308</Paragraphs>
  <ScaleCrop>false</ScaleCrop>
  <Company/>
  <LinksUpToDate>false</LinksUpToDate>
  <CharactersWithSpaces>154351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2</cp:revision>
  <dcterms:created xsi:type="dcterms:W3CDTF">2026-06-05T11:33:00Z</dcterms:created>
  <dcterms:modified xsi:type="dcterms:W3CDTF">2026-06-05T11:33:00Z</dcterms:modified>
</cp:coreProperties>
</file>