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SFDA Approval Was Not the Market Entry.</w:t>
      </w:r>
    </w:p>
    <w:p>
      <w:r>
        <w:rPr>
          <w:b/>
        </w:rPr>
        <w:t>How GreyRadius helped a US MedTech company connect regulatory clearance, clinical adoption, and hospital procurement to secure its first Saudi hospital contract.</w:t>
      </w:r>
    </w:p>
    <w:p>
      <w:pPr>
        <w:pStyle w:val="Heading1"/>
      </w:pPr>
      <w:r>
        <w:t>Context</w:t>
      </w:r>
    </w:p>
    <w:p>
      <w:r>
        <w:t>A US medical device and healthcare technology company was preparing to enter Saudi Arabia.</w:t>
      </w:r>
    </w:p>
    <w:p>
      <w:r>
        <w:t>The immediate requirement appeared straightforward: secure Saudi Food and Drug Authority (SFDA) registration and establish the regulatory basis for commercial launch.</w:t>
      </w:r>
    </w:p>
    <w:p>
      <w:r>
        <w:t>But regulatory approval was only one part of the entry equation.</w:t>
      </w:r>
    </w:p>
    <w:p>
      <w:r>
        <w:t>The company also needed to convert clearance into hospital adoption. That meant navigating a second set of dependencies: clinical acceptance, procurement readiness, institutional buying cycles, and the credibility required to win an initial hospital customer.</w:t>
      </w:r>
    </w:p>
    <w:p>
      <w:r>
        <w:t>The commercial timing mattered. Depending on device class and submission complexity, SFDA registration could take approximately 6–12 months. Hospital procurement could add another 3–6 months after regulatory readiness.</w:t>
      </w:r>
    </w:p>
    <w:p>
      <w:r>
        <w:t>If those stages were managed sequentially, the company risked becoming technically approved for the Saudi market without being commercially ready to generate revenue.</w:t>
      </w:r>
    </w:p>
    <w:p>
      <w:pPr>
        <w:pStyle w:val="Heading1"/>
      </w:pPr>
      <w:r>
        <w:t>The Core Challenge</w:t>
      </w:r>
    </w:p>
    <w:p>
      <w:r>
        <w:t>The surface problem was regulatory.</w:t>
      </w:r>
    </w:p>
    <w:p>
      <w:r>
        <w:t>Leadership needed the correct device classification, a viable registration pathway, and SFDA clearance without unnecessary delay.</w:t>
      </w:r>
    </w:p>
    <w:p>
      <w:r>
        <w:t>The structural issue was commercial sequencing.</w:t>
      </w:r>
    </w:p>
    <w:p>
      <w:r>
        <w:t>The entry model treated regulatory approval as the primary market-entry milestone. Hospital procurement and clinical adoption were positioned largely downstream—as activities that would accelerate once registration was secured.</w:t>
      </w:r>
    </w:p>
    <w:p>
      <w:r>
        <w:t>That created a hidden execution dependency.</w:t>
      </w:r>
    </w:p>
    <w:p>
      <w:r>
        <w:t>SFDA clearance could establish the right to enter the market, but it could not create clinical demand, shorten hospital decision cycles, or guarantee procurement access.</w:t>
      </w:r>
    </w:p>
    <w:p>
      <w:r>
        <w:t>A device could therefore move through registration successfully and still face months of commercial inactivity.</w:t>
      </w:r>
    </w:p>
    <w:p>
      <w:r>
        <w:t>The risk was not simply a delayed approval. It was a regulatory-to-revenue gap created by fragmented ownership of regulatory, clinical, and commercial readiness.</w:t>
      </w:r>
    </w:p>
    <w:p>
      <w:r>
        <w:t>The company needed these workstreams to converge around the same launch window rather than operate as separate stages.</w:t>
      </w:r>
    </w:p>
    <w:p>
      <w:pPr>
        <w:pStyle w:val="Heading1"/>
      </w:pPr>
      <w:r>
        <w:t>The Decision Shift</w:t>
      </w:r>
    </w:p>
    <w:p>
      <w:r>
        <w:rPr>
          <w:b/>
        </w:rPr>
        <w:t>The company stopped treating regulatory approval as the end of market entry and started treating it as one gate inside a broader hospital adoption system.</w:t>
      </w:r>
    </w:p>
    <w:p>
      <w:r>
        <w:t>The shift was from:</w:t>
      </w:r>
    </w:p>
    <w:p>
      <w:r>
        <w:rPr>
          <w:b/>
        </w:rPr>
        <w:t>Regulatory-first market entry → approval-and-adoption-led market entry.</w:t>
      </w:r>
    </w:p>
    <w:p>
      <w:r>
        <w:t>This reframed the commercial question.</w:t>
      </w:r>
    </w:p>
    <w:p>
      <w:r>
        <w:t>Instead of asking, “How quickly can the device obtain SFDA clearance?”, the more important question became, “What needs to be true when clearance arrives for a hospital to move toward adoption?”</w:t>
      </w:r>
    </w:p>
    <w:p>
      <w:r>
        <w:t>That changed the logic of entry.</w:t>
      </w:r>
    </w:p>
    <w:p>
      <w:r>
        <w:t>Device classification, regulatory timing, clinical advocacy, hospital prioritization, and procurement readiness became interdependent commercial gates rather than sequential functions.</w:t>
      </w:r>
    </w:p>
    <w:p>
      <w:r>
        <w:t>The first hospital contract—not regulatory approval alone—became the more meaningful measure of entry readiness.</w:t>
      </w:r>
    </w:p>
    <w:p>
      <w:pPr>
        <w:pStyle w:val="Heading1"/>
      </w:pPr>
      <w:r>
        <w:t>What Changed in Execution</w:t>
      </w:r>
    </w:p>
    <w:p>
      <w:r>
        <w:t>Regulatory decisions became linked to commercial sequencing. Device classification and the SFDA pathway were considered in the context of the intended Saudi launch rather than as an isolated compliance requirement.</w:t>
      </w:r>
    </w:p>
    <w:p>
      <w:r>
        <w:t>Hospital prioritization also changed.</w:t>
      </w:r>
    </w:p>
    <w:p>
      <w:r>
        <w:t>The relevant question was no longer simply which institutions represented the largest theoretical opportunity. Targets were assessed against clinical fit and realistic procurement accessibility, improving the connection between market attractiveness and the probability of adoption.</w:t>
      </w:r>
    </w:p>
    <w:p>
      <w:r>
        <w:t>Clinical champions moved earlier in the entry model.</w:t>
      </w:r>
    </w:p>
    <w:p>
      <w:r>
        <w:t>Rather than waiting for registration and then beginning clinical engagement, physician advocacy became an early adoption dependency. This reduced the risk of reaching regulatory clearance without sufficient clinical confidence inside target institutions.</w:t>
      </w:r>
    </w:p>
    <w:p>
      <w:r>
        <w:t>Commercial activation was also synchronized more closely with SFDA clearance and hospital procurement cycles.</w:t>
      </w:r>
    </w:p>
    <w:p>
      <w:r>
        <w:t>The result was greater execution visibility across regulatory and commercial dependencies. Approval, clinical advocacy, and procurement no longer represented disconnected milestones; they became part of one pathway toward first revenue.</w:t>
      </w:r>
    </w:p>
    <w:p>
      <w:pPr>
        <w:pStyle w:val="Heading1"/>
      </w:pPr>
      <w:r>
        <w:t>Business Impact Delivered</w:t>
      </w:r>
    </w:p>
    <w:p>
      <w:r>
        <w:t>The redesigned entry logic reduced the potential gap between regulatory readiness and commercial activation.</w:t>
      </w:r>
    </w:p>
    <w:p>
      <w:r>
        <w:t>For a market where SFDA registration could require approximately 6–12 months, followed by another 3–6 months of hospital procurement depending on the institution and tender requirements, sequencing mattered materially.</w:t>
      </w:r>
    </w:p>
    <w:p>
      <w:r>
        <w:t>The company entered the post-clearance phase with stronger alignment between regulatory status, target hospitals, clinical advocacy, and procurement readiness.</w:t>
      </w:r>
    </w:p>
    <w:p>
      <w:r>
        <w:t>Most importantly, market-entry readiness converted into commercial proof: the company secured its first Saudi hospital contract.</w:t>
      </w:r>
    </w:p>
    <w:p>
      <w:r>
        <w:t>The impact was not simply faster execution. It was greater predictability in moving from regulatory investment toward revenue-generating adoption.</w:t>
      </w:r>
    </w:p>
    <w:p>
      <w:pPr>
        <w:pStyle w:val="Heading1"/>
      </w:pPr>
      <w:r>
        <w:t>Key Outcomes</w:t>
      </w:r>
    </w:p>
    <w:p>
      <w:r>
        <w:rPr>
          <w:b/>
        </w:rPr>
        <w:t>~6–12 months</w:t>
      </w:r>
      <w:r>
        <w:t xml:space="preserve"> — SFDA registration window, depending on device classification and submission complexity.</w:t>
      </w:r>
    </w:p>
    <w:p>
      <w:r>
        <w:rPr>
          <w:b/>
        </w:rPr>
        <w:t>~3–6 months</w:t>
      </w:r>
      <w:r>
        <w:t xml:space="preserve"> — Potential hospital procurement cycle after regulatory readiness, depending on the institution and tender requirements.</w:t>
      </w:r>
    </w:p>
    <w:p>
      <w:r>
        <w:rPr>
          <w:b/>
        </w:rPr>
        <w:t>1 hospital contract secured</w:t>
      </w:r>
      <w:r>
        <w:t xml:space="preserve"> — Converting regulatory readiness into initial Saudi commercial adoption.</w:t>
      </w:r>
    </w:p>
    <w:p>
      <w:r>
        <w:t>For MedTech companies entering Saudi Arabia, regulatory clearance creates permission to compete. It does not create adoption.</w:t>
      </w:r>
    </w:p>
    <w:p>
      <w:r>
        <w:rPr>
          <w:b/>
        </w:rPr>
        <w:t>The real market-entry milestone is when regulatory approval, clinical confidence, and procurement readiness converge closely enough to turn clearance into a hospital contract.</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