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2A39" w:rsidRDefault="00000000">
      <w:pPr>
        <w:spacing w:before="1440" w:after="80"/>
      </w:pPr>
      <w:r>
        <w:rPr>
          <w:b/>
          <w:bCs/>
          <w:color w:val="1B2A4A"/>
          <w:sz w:val="52"/>
          <w:szCs w:val="52"/>
        </w:rPr>
        <w:t>GREYRADIUS CONSULTING</w:t>
      </w:r>
    </w:p>
    <w:p w:rsidR="00052A39" w:rsidRDefault="00000000">
      <w:pPr>
        <w:spacing w:after="80"/>
      </w:pPr>
      <w:r>
        <w:rPr>
          <w:color w:val="E8612C"/>
          <w:sz w:val="30"/>
          <w:szCs w:val="30"/>
        </w:rPr>
        <w:t>SEO Build Pack — Batch 18</w:t>
      </w:r>
    </w:p>
    <w:p w:rsidR="00052A39" w:rsidRDefault="00000000">
      <w:pPr>
        <w:spacing w:after="80"/>
      </w:pPr>
      <w:r>
        <w:rPr>
          <w:b/>
          <w:bCs/>
          <w:color w:val="2E7D32"/>
          <w:sz w:val="22"/>
          <w:szCs w:val="22"/>
        </w:rPr>
        <w:t>VERIFIED: 20 pages | 20 unique slugs | No duplicates | Match confirmed</w:t>
      </w:r>
    </w:p>
    <w:p w:rsidR="00052A39" w:rsidRDefault="00000000">
      <w:pPr>
        <w:spacing w:after="200"/>
      </w:pPr>
      <w:r>
        <w:rPr>
          <w:b/>
          <w:bCs/>
          <w:color w:val="E8612C"/>
        </w:rPr>
        <w:t>Save JSON as: data/industry-pages-batch18.json</w:t>
      </w:r>
    </w:p>
    <w:p w:rsidR="00052A39" w:rsidRDefault="00000000">
      <w:pPr>
        <w:spacing w:after="600"/>
      </w:pPr>
      <w:r>
        <w:rPr>
          <w:i/>
          <w:iCs/>
          <w:color w:val="666666"/>
          <w:sz w:val="18"/>
          <w:szCs w:val="18"/>
        </w:rPr>
        <w:t>June 2026 | Confidential</w:t>
      </w:r>
    </w:p>
    <w:p w:rsidR="00052A39" w:rsidRDefault="00052A39">
      <w:pPr>
        <w:pBdr>
          <w:bottom w:val="single" w:sz="8" w:space="1" w:color="1B2A4A"/>
        </w:pBdr>
        <w:spacing w:before="200" w:after="200"/>
      </w:pPr>
    </w:p>
    <w:p w:rsidR="00052A39" w:rsidRDefault="00000000">
      <w:pPr>
        <w:pStyle w:val="Heading1"/>
      </w:pPr>
      <w:r>
        <w:t>How to use this document</w:t>
      </w:r>
    </w:p>
    <w:p w:rsidR="00052A39" w:rsidRDefault="00000000">
      <w:pPr>
        <w:spacing w:before="60" w:after="60"/>
      </w:pPr>
      <w:r>
        <w:rPr>
          <w:color w:val="222222"/>
        </w:rPr>
        <w:t>Three sections. Use in order.</w:t>
      </w:r>
    </w:p>
    <w:p w:rsidR="00052A39" w:rsidRDefault="00000000">
      <w:pPr>
        <w:pStyle w:val="ListParagraph"/>
        <w:numPr>
          <w:ilvl w:val="0"/>
          <w:numId w:val="2"/>
        </w:numPr>
        <w:spacing w:before="40" w:after="40"/>
      </w:pPr>
      <w:r>
        <w:rPr>
          <w:color w:val="222222"/>
        </w:rPr>
        <w:t>Section 1 — Page index: all 20 pages with output paths</w:t>
      </w:r>
    </w:p>
    <w:p w:rsidR="00052A39" w:rsidRDefault="00000000">
      <w:pPr>
        <w:pStyle w:val="ListParagraph"/>
        <w:numPr>
          <w:ilvl w:val="0"/>
          <w:numId w:val="2"/>
        </w:numPr>
        <w:spacing w:before="40" w:after="40"/>
      </w:pPr>
      <w:r>
        <w:rPr>
          <w:color w:val="222222"/>
        </w:rPr>
        <w:t>Section 2 — Replit prompt: copy and paste directly into Replit AI without modification</w:t>
      </w:r>
    </w:p>
    <w:p w:rsidR="00052A39" w:rsidRDefault="00000000">
      <w:pPr>
        <w:pStyle w:val="ListParagraph"/>
        <w:numPr>
          <w:ilvl w:val="0"/>
          <w:numId w:val="2"/>
        </w:numPr>
        <w:spacing w:before="40" w:after="40"/>
      </w:pPr>
      <w:r>
        <w:rPr>
          <w:color w:val="222222"/>
        </w:rPr>
        <w:t>Section 3 — JSON appendix: save as data/industry-pages-batch18.json</w:t>
      </w:r>
    </w:p>
    <w:p w:rsidR="00052A39" w:rsidRDefault="00000000">
      <w:pPr>
        <w:spacing w:before="60" w:after="60"/>
      </w:pPr>
      <w:r>
        <w:rPr>
          <w:color w:val="222222"/>
        </w:rPr>
        <w:t>Sequence: save JSON first, paste Replit prompt second, confirm 20 pages created.</w:t>
      </w:r>
    </w:p>
    <w:p w:rsidR="00052A39" w:rsidRDefault="00000000">
      <w:pPr>
        <w:spacing w:before="60" w:after="60"/>
      </w:pPr>
      <w:r>
        <w:rPr>
          <w:i/>
          <w:iCs/>
          <w:color w:val="666666"/>
          <w:sz w:val="18"/>
          <w:szCs w:val="18"/>
        </w:rPr>
        <w:t>All previous batches already built. This batch adds 20 new pages only.</w:t>
      </w:r>
    </w:p>
    <w:p w:rsidR="00052A39" w:rsidRDefault="00052A39">
      <w:pPr>
        <w:pBdr>
          <w:bottom w:val="single" w:sz="8" w:space="1" w:color="1B2A4A"/>
        </w:pBdr>
        <w:spacing w:before="200" w:after="200"/>
      </w:pPr>
    </w:p>
    <w:p w:rsidR="00052A39" w:rsidRDefault="00000000">
      <w:pPr>
        <w:pStyle w:val="Heading1"/>
      </w:pPr>
      <w:r>
        <w:t>Section 1: Page index — all 20 pages</w:t>
      </w:r>
    </w:p>
    <w:p w:rsidR="00052A39" w:rsidRDefault="00000000">
      <w:pPr>
        <w:spacing w:before="60" w:after="60"/>
      </w:pPr>
      <w:r>
        <w:rPr>
          <w:i/>
          <w:iCs/>
          <w:color w:val="666666"/>
          <w:sz w:val="18"/>
          <w:szCs w:val="18"/>
        </w:rPr>
        <w:t>20 unique slugs confirmed. No duplicates.</w:t>
      </w:r>
    </w:p>
    <w:p w:rsidR="00052A39" w:rsidRDefault="00000000">
      <w:pPr>
        <w:pStyle w:val="Heading2"/>
      </w:pPr>
      <w:r>
        <w:t>Pages 1–10</w:t>
      </w:r>
    </w:p>
    <w:p w:rsidR="00052A39" w:rsidRDefault="00000000">
      <w:pPr>
        <w:pStyle w:val="ListParagraph"/>
        <w:numPr>
          <w:ilvl w:val="0"/>
          <w:numId w:val="2"/>
        </w:numPr>
        <w:spacing w:before="40" w:after="40"/>
      </w:pPr>
      <w:r>
        <w:rPr>
          <w:color w:val="222222"/>
        </w:rPr>
        <w:t>1. [T3] India carbon markets deep dive strategy    → industries/carbon-markets/india-carbon-markets-deep-dive.html</w:t>
      </w:r>
    </w:p>
    <w:p w:rsidR="00052A39" w:rsidRDefault="00000000">
      <w:pPr>
        <w:pStyle w:val="ListParagraph"/>
        <w:numPr>
          <w:ilvl w:val="0"/>
          <w:numId w:val="2"/>
        </w:numPr>
        <w:spacing w:before="40" w:after="40"/>
      </w:pPr>
      <w:r>
        <w:rPr>
          <w:color w:val="222222"/>
        </w:rPr>
        <w:t>2. [T3] Gulf smart mobility and urban transport market entry strategy    → industries/electric-vehicles/gulf-smart-mobility.html</w:t>
      </w:r>
    </w:p>
    <w:p w:rsidR="00052A39" w:rsidRDefault="00000000">
      <w:pPr>
        <w:pStyle w:val="ListParagraph"/>
        <w:numPr>
          <w:ilvl w:val="0"/>
          <w:numId w:val="2"/>
        </w:numPr>
        <w:spacing w:before="40" w:after="40"/>
      </w:pPr>
      <w:r>
        <w:rPr>
          <w:color w:val="222222"/>
        </w:rPr>
        <w:t>3. [T3] Southeast Asia insurance and insurtech market entry strategy    → industries/insurtech/southeast-asia-insurance-entry.html</w:t>
      </w:r>
    </w:p>
    <w:p w:rsidR="00052A39" w:rsidRDefault="00000000">
      <w:pPr>
        <w:pStyle w:val="ListParagraph"/>
        <w:numPr>
          <w:ilvl w:val="0"/>
          <w:numId w:val="2"/>
        </w:numPr>
        <w:spacing w:before="40" w:after="40"/>
      </w:pPr>
      <w:r>
        <w:rPr>
          <w:color w:val="222222"/>
        </w:rPr>
        <w:t>4. [T3] India genomics and precision medicine market entry strategy    → industries/healthcare-life-sciences/india-genomics-market-entry.html</w:t>
      </w:r>
    </w:p>
    <w:p w:rsidR="00052A39" w:rsidRDefault="00000000">
      <w:pPr>
        <w:pStyle w:val="ListParagraph"/>
        <w:numPr>
          <w:ilvl w:val="0"/>
          <w:numId w:val="2"/>
        </w:numPr>
        <w:spacing w:before="40" w:after="40"/>
      </w:pPr>
      <w:r>
        <w:rPr>
          <w:color w:val="222222"/>
        </w:rPr>
        <w:t>5. [T3] Gulf data centre and cloud infrastructure market entry strategy    → industries/technology/gulf-data-centres.html</w:t>
      </w:r>
    </w:p>
    <w:p w:rsidR="00052A39" w:rsidRDefault="00000000">
      <w:pPr>
        <w:pStyle w:val="ListParagraph"/>
        <w:numPr>
          <w:ilvl w:val="0"/>
          <w:numId w:val="2"/>
        </w:numPr>
        <w:spacing w:before="40" w:after="40"/>
      </w:pPr>
      <w:r>
        <w:rPr>
          <w:color w:val="222222"/>
        </w:rPr>
        <w:t>6. [T3] Africa EdTech market entry strategy    → industries/education-edtech/africa-edtech-market-entry.html</w:t>
      </w:r>
    </w:p>
    <w:p w:rsidR="00052A39" w:rsidRDefault="00000000">
      <w:pPr>
        <w:pStyle w:val="ListParagraph"/>
        <w:numPr>
          <w:ilvl w:val="0"/>
          <w:numId w:val="2"/>
        </w:numPr>
        <w:spacing w:before="40" w:after="40"/>
      </w:pPr>
      <w:r>
        <w:rPr>
          <w:color w:val="222222"/>
        </w:rPr>
        <w:t>7. [T3] India urban infrastructure and smart cities market entry strategy    → industries/technology/india-urban-infrastructure.html</w:t>
      </w:r>
    </w:p>
    <w:p w:rsidR="00052A39" w:rsidRDefault="00000000">
      <w:pPr>
        <w:pStyle w:val="ListParagraph"/>
        <w:numPr>
          <w:ilvl w:val="0"/>
          <w:numId w:val="2"/>
        </w:numPr>
        <w:spacing w:before="40" w:after="40"/>
      </w:pPr>
      <w:r>
        <w:rPr>
          <w:color w:val="222222"/>
        </w:rPr>
        <w:t>8. [T3] Gulf logistics automation and warehouse technology market entry strategy    → industries/logistics-supply-chain/gulf-logistics-automation.html</w:t>
      </w:r>
    </w:p>
    <w:p w:rsidR="00052A39" w:rsidRDefault="00000000">
      <w:pPr>
        <w:pStyle w:val="ListParagraph"/>
        <w:numPr>
          <w:ilvl w:val="0"/>
          <w:numId w:val="2"/>
        </w:numPr>
        <w:spacing w:before="40" w:after="40"/>
      </w:pPr>
      <w:r>
        <w:rPr>
          <w:color w:val="222222"/>
        </w:rPr>
        <w:lastRenderedPageBreak/>
        <w:t>9. [T3] Southeast Asia climate technology market entry strategy    → industries/carbon-markets/southeast-asia-climate-tech.html</w:t>
      </w:r>
    </w:p>
    <w:p w:rsidR="00052A39" w:rsidRDefault="00000000">
      <w:pPr>
        <w:pStyle w:val="ListParagraph"/>
        <w:numPr>
          <w:ilvl w:val="0"/>
          <w:numId w:val="2"/>
        </w:numPr>
        <w:spacing w:before="40" w:after="40"/>
      </w:pPr>
      <w:r>
        <w:rPr>
          <w:color w:val="222222"/>
        </w:rPr>
        <w:t>10. [T3] India insurtech market entry strategy    → industries/insurtech/india-insurtech-market-entry.html</w:t>
      </w:r>
    </w:p>
    <w:p w:rsidR="00052A39" w:rsidRDefault="00000000">
      <w:pPr>
        <w:pStyle w:val="Heading2"/>
      </w:pPr>
      <w:r>
        <w:t>Pages 11–20</w:t>
      </w:r>
    </w:p>
    <w:p w:rsidR="00052A39" w:rsidRDefault="00000000">
      <w:pPr>
        <w:pStyle w:val="ListParagraph"/>
        <w:numPr>
          <w:ilvl w:val="0"/>
          <w:numId w:val="2"/>
        </w:numPr>
        <w:spacing w:before="40" w:after="40"/>
      </w:pPr>
      <w:r>
        <w:rPr>
          <w:color w:val="222222"/>
        </w:rPr>
        <w:t>11. [T3] Gulf enterprise AI deployment market entry strategy    → industries/technology/gulf-enterprise-ai-deployment.html</w:t>
      </w:r>
    </w:p>
    <w:p w:rsidR="00052A39" w:rsidRDefault="00000000">
      <w:pPr>
        <w:pStyle w:val="ListParagraph"/>
        <w:numPr>
          <w:ilvl w:val="0"/>
          <w:numId w:val="2"/>
        </w:numPr>
        <w:spacing w:before="40" w:after="40"/>
      </w:pPr>
      <w:r>
        <w:rPr>
          <w:color w:val="222222"/>
        </w:rPr>
        <w:t>12. [T3] India deep tech and advanced technology market entry strategy    → industries/technology/india-deep-tech-market-entry.html</w:t>
      </w:r>
    </w:p>
    <w:p w:rsidR="00052A39" w:rsidRDefault="00000000">
      <w:pPr>
        <w:pStyle w:val="ListParagraph"/>
        <w:numPr>
          <w:ilvl w:val="0"/>
          <w:numId w:val="2"/>
        </w:numPr>
        <w:spacing w:before="40" w:after="40"/>
      </w:pPr>
      <w:r>
        <w:rPr>
          <w:color w:val="222222"/>
        </w:rPr>
        <w:t>13. [T3] Africa digital payments market entry strategy    → industries/fintech-payments/africa-digital-payments.html</w:t>
      </w:r>
    </w:p>
    <w:p w:rsidR="00052A39" w:rsidRDefault="00000000">
      <w:pPr>
        <w:pStyle w:val="ListParagraph"/>
        <w:numPr>
          <w:ilvl w:val="0"/>
          <w:numId w:val="2"/>
        </w:numPr>
        <w:spacing w:before="40" w:after="40"/>
      </w:pPr>
      <w:r>
        <w:rPr>
          <w:color w:val="222222"/>
        </w:rPr>
        <w:t>14. [T3] India defence technology and aerospace market entry strategy    → industries/technology/india-defence-technology.html</w:t>
      </w:r>
    </w:p>
    <w:p w:rsidR="00052A39" w:rsidRDefault="00000000">
      <w:pPr>
        <w:pStyle w:val="ListParagraph"/>
        <w:numPr>
          <w:ilvl w:val="0"/>
          <w:numId w:val="2"/>
        </w:numPr>
        <w:spacing w:before="40" w:after="40"/>
      </w:pPr>
      <w:r>
        <w:rPr>
          <w:color w:val="222222"/>
        </w:rPr>
        <w:t>15. [T3] Gulf health insurance market entry strategy    → industries/insurtech/gulf-health-insurance-market.html</w:t>
      </w:r>
    </w:p>
    <w:p w:rsidR="00052A39" w:rsidRDefault="00000000">
      <w:pPr>
        <w:pStyle w:val="ListParagraph"/>
        <w:numPr>
          <w:ilvl w:val="0"/>
          <w:numId w:val="2"/>
        </w:numPr>
        <w:spacing w:before="40" w:after="40"/>
      </w:pPr>
      <w:r>
        <w:rPr>
          <w:color w:val="222222"/>
        </w:rPr>
        <w:t>16. [T3] India B2B fintech and treasury technology market entry strategy    → industries/fintech-payments/india-fintech-b2b.html</w:t>
      </w:r>
    </w:p>
    <w:p w:rsidR="00052A39" w:rsidRDefault="00000000">
      <w:pPr>
        <w:pStyle w:val="ListParagraph"/>
        <w:numPr>
          <w:ilvl w:val="0"/>
          <w:numId w:val="2"/>
        </w:numPr>
        <w:spacing w:before="40" w:after="40"/>
      </w:pPr>
      <w:r>
        <w:rPr>
          <w:color w:val="222222"/>
        </w:rPr>
        <w:t>17. [T3] Southeast Asia e-commerce market entry strategy    → industries/ecommerce-tech/southeast-asia-ecommerce-entry.html</w:t>
      </w:r>
    </w:p>
    <w:p w:rsidR="00052A39" w:rsidRDefault="00000000">
      <w:pPr>
        <w:pStyle w:val="ListParagraph"/>
        <w:numPr>
          <w:ilvl w:val="0"/>
          <w:numId w:val="2"/>
        </w:numPr>
        <w:spacing w:before="40" w:after="40"/>
      </w:pPr>
      <w:r>
        <w:rPr>
          <w:color w:val="222222"/>
        </w:rPr>
        <w:t>18. [T3] India semiconductor design and fabless market entry strategy    → industries/technology/india-semiconductor-design.html</w:t>
      </w:r>
    </w:p>
    <w:p w:rsidR="00052A39" w:rsidRDefault="00000000">
      <w:pPr>
        <w:pStyle w:val="ListParagraph"/>
        <w:numPr>
          <w:ilvl w:val="0"/>
          <w:numId w:val="2"/>
        </w:numPr>
        <w:spacing w:before="40" w:after="40"/>
      </w:pPr>
      <w:r>
        <w:rPr>
          <w:color w:val="222222"/>
        </w:rPr>
        <w:t>19. [T3] Gulf health data and clinical analytics market entry strategy    → industries/healthtech/gulf-healthcare-data.html</w:t>
      </w:r>
    </w:p>
    <w:p w:rsidR="00052A39" w:rsidRDefault="00000000">
      <w:pPr>
        <w:pStyle w:val="ListParagraph"/>
        <w:numPr>
          <w:ilvl w:val="0"/>
          <w:numId w:val="2"/>
        </w:numPr>
        <w:spacing w:before="40" w:after="40"/>
      </w:pPr>
      <w:r>
        <w:rPr>
          <w:color w:val="222222"/>
        </w:rPr>
        <w:t>20. [T3] Africa insurance and insurtech market entry strategy    → industries/insurtech/africa-insurance-market-entry.html</w:t>
      </w:r>
    </w:p>
    <w:p w:rsidR="00052A39" w:rsidRDefault="00052A39">
      <w:pPr>
        <w:pBdr>
          <w:bottom w:val="single" w:sz="8" w:space="1" w:color="1B2A4A"/>
        </w:pBdr>
        <w:spacing w:before="200" w:after="200"/>
      </w:pPr>
    </w:p>
    <w:p w:rsidR="00052A39" w:rsidRDefault="00000000">
      <w:pPr>
        <w:pStyle w:val="Heading1"/>
      </w:pPr>
      <w:r>
        <w:t>Section 2: Replit prompt</w:t>
      </w:r>
    </w:p>
    <w:p w:rsidR="00052A39" w:rsidRDefault="00000000">
      <w:pPr>
        <w:spacing w:before="60" w:after="60"/>
      </w:pPr>
      <w:r>
        <w:rPr>
          <w:i/>
          <w:iCs/>
          <w:color w:val="666666"/>
          <w:sz w:val="18"/>
          <w:szCs w:val="18"/>
        </w:rPr>
        <w:t>Copy everything between the === lines and paste into Replit AI. Do not modify.</w:t>
      </w:r>
    </w:p>
    <w:p w:rsidR="00052A39" w:rsidRDefault="00052A39">
      <w:pPr>
        <w:spacing w:before="80" w:after="80"/>
      </w:pP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GREYRADIUS INDUSTRY PAGES — BATCH 18 BUILD</w:t>
      </w: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JSON file:  data/industry-pages-batch18.json</w:t>
      </w:r>
    </w:p>
    <w:p w:rsidR="00052A39" w:rsidRDefault="00000000">
      <w:pPr>
        <w:shd w:val="clear" w:color="auto" w:fill="F0F0F0"/>
        <w:spacing w:before="14" w:after="14"/>
        <w:ind w:left="360"/>
      </w:pPr>
      <w:r>
        <w:rPr>
          <w:rFonts w:ascii="Courier New" w:eastAsia="Courier New" w:hAnsi="Courier New" w:cs="Courier New"/>
          <w:color w:val="1B2A4A"/>
          <w:sz w:val="16"/>
          <w:szCs w:val="16"/>
        </w:rPr>
        <w:t>Template:   templates/industry-page-template.html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Pages:      20 (verified — no duplicates)</w:t>
      </w:r>
    </w:p>
    <w:p w:rsidR="00052A39" w:rsidRDefault="00052A39">
      <w:pPr>
        <w:shd w:val="clear" w:color="auto" w:fill="F0F0F0"/>
        <w:spacing w:before="14" w:after="14"/>
        <w:ind w:left="360"/>
      </w:pPr>
    </w:p>
    <w:p w:rsidR="00052A39" w:rsidRDefault="00000000">
      <w:pPr>
        <w:shd w:val="clear" w:color="auto" w:fill="F0F0F0"/>
        <w:spacing w:before="14" w:after="14"/>
        <w:ind w:left="360"/>
      </w:pPr>
      <w:r>
        <w:rPr>
          <w:rFonts w:ascii="Courier New" w:eastAsia="Courier New" w:hAnsi="Courier New" w:cs="Courier New"/>
          <w:color w:val="1B2A4A"/>
          <w:sz w:val="16"/>
          <w:szCs w:val="16"/>
        </w:rPr>
        <w:t>PAGES TO BUILD: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 india-carbon-markets-deep-dive → industries/carbon-markets/india-carbon-markets-deep-dive.html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2. gulf-smart-mobility → industries/electric-vehicles/gulf-smart-mobility.html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3. southeast-asia-insurance-entry → industries/insurtech/southeast-asia-insurance-entry.html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4. india-genomics-market-entry → industries/healthcare-life-sciences/india-genomics-market-entry.html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5. gulf-data-centres → industries/technology/gulf-data-centres.html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6. africa-edtech-market-entry → industries/education-edtech/africa-edtech-market-entry.html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7. india-urban-infrastructure → industries/technology/india-urban-infrastructure.html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8. gulf-logistics-automation → industries/logistics-supply-chain/gulf-logistics-automation.html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9. southeast-asia-climate-tech → industries/carbon-markets/southeast-asia-climate-tech.html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10. india-insurtech-market-entry → industries/insurtech/india-insurtech-market-entry.html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11. gulf-enterprise-ai-deployment → industries/technology/gulf-enterprise-ai-deployment.html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12. india-deep-tech-market-entry → industries/technology/india-deep-tech-market-entry.html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13. africa-digital-payments → industries/fintech-payments/africa-digital-payments.html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14. india-defence-technology → industries/technology/india-defence-technology.html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15. gulf-health-insurance-market → industries/insurtech/gulf-health-insurance-market.html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16. india-fintech-b2b → industries/fintech-payments/india-fintech-b2b.html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17. southeast-asia-ecommerce-entry → industries/ecommerce-tech/southeast-asia-ecommerce-entry.html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18. india-semiconductor-design → industries/technology/india-semiconductor-design.html</w:t>
      </w:r>
    </w:p>
    <w:p w:rsidR="00052A39"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19. gulf-healthcare-data → industries/healthtech/gulf-healthcare-data.html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20. africa-insurance-market-entry → industries/insurtech/africa-insurance-market-entry.html</w:t>
      </w:r>
    </w:p>
    <w:p w:rsidR="00052A39" w:rsidRDefault="00052A39">
      <w:pPr>
        <w:shd w:val="clear" w:color="auto" w:fill="F0F0F0"/>
        <w:spacing w:before="14" w:after="14"/>
        <w:ind w:left="360"/>
      </w:pP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STEP 1 — VERIFY FILES</w:t>
      </w: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ls data/industry-pages-batch18.json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ls templates/industry-page-template.html</w:t>
      </w:r>
    </w:p>
    <w:p w:rsidR="00052A39" w:rsidRDefault="00000000">
      <w:pPr>
        <w:shd w:val="clear" w:color="auto" w:fill="F0F0F0"/>
        <w:spacing w:before="14" w:after="14"/>
        <w:ind w:left="360"/>
      </w:pPr>
      <w:r>
        <w:rPr>
          <w:rFonts w:ascii="Courier New" w:eastAsia="Courier New" w:hAnsi="Courier New" w:cs="Courier New"/>
          <w:color w:val="1B2A4A"/>
          <w:sz w:val="16"/>
          <w:szCs w:val="16"/>
        </w:rPr>
        <w:t>If JSON missing: stop and tell me.</w:t>
      </w:r>
    </w:p>
    <w:p w:rsidR="00052A39" w:rsidRDefault="00000000">
      <w:pPr>
        <w:shd w:val="clear" w:color="auto" w:fill="F0F0F0"/>
        <w:spacing w:before="14" w:after="14"/>
        <w:ind w:left="360"/>
      </w:pPr>
      <w:r>
        <w:rPr>
          <w:rFonts w:ascii="Courier New" w:eastAsia="Courier New" w:hAnsi="Courier New" w:cs="Courier New"/>
          <w:color w:val="1B2A4A"/>
          <w:sz w:val="16"/>
          <w:szCs w:val="16"/>
        </w:rPr>
        <w:t>If template missing: copy an existing industry page,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tokenise all content, then continue.</w:t>
      </w:r>
    </w:p>
    <w:p w:rsidR="00052A39" w:rsidRDefault="00052A39">
      <w:pPr>
        <w:shd w:val="clear" w:color="auto" w:fill="F0F0F0"/>
        <w:spacing w:before="14" w:after="14"/>
        <w:ind w:left="360"/>
      </w:pP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STEP 2 — BUILD ALL 20 PAGES</w:t>
      </w: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Read data/industry-pages-batch18.json.</w:t>
      </w:r>
    </w:p>
    <w:p w:rsidR="00052A39" w:rsidRDefault="00000000">
      <w:pPr>
        <w:shd w:val="clear" w:color="auto" w:fill="F0F0F0"/>
        <w:spacing w:before="14" w:after="14"/>
        <w:ind w:left="360"/>
      </w:pPr>
      <w:r>
        <w:rPr>
          <w:rFonts w:ascii="Courier New" w:eastAsia="Courier New" w:hAnsi="Courier New" w:cs="Courier New"/>
          <w:color w:val="1B2A4A"/>
          <w:sz w:val="16"/>
          <w:szCs w:val="16"/>
        </w:rPr>
        <w:t>For EACH page object: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 mkdir -p industries/[parent]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B. Read template fresh as string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 Replace ALL tokens: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{{PAGE_TITLE}} {{META_DESC}} {{KEYWORDS}} {{SLUG}}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{{TAGLINE}} {{HERO_BODY}} {{MARKET_TIMING}}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{{STAT1L}} {{STAT1B}}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{{STAT2L}} {{STAT2B}}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{{STAT3L}} {{STAT3B}}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{{INSIGHT_1}} {{INSIGHT_2}} {{INSIGHT_3}} {{INSIGHT_4}}</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{{CHALLENGE_M_1}} through {{CHALLENGE_M_4}}</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challenges_we_solve[i].split('|') for i=0..5:</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parts[0].trim() → {{CHALLENGE_[i+1]_H}}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parts[1].trim() → {{CHALLENGE_[i+1]_B}}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service_angles[i] for i=0..5 → {{SERVICE_[i+1]_BODY}}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faq[i].split('|') for i=0..3: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parts[0].trim() → {{FAQ_[i+1]_Q}}</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parts[1].trim() → {{FAQ_[i+1]_A}}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{{SCHEMA_SERVICE}} → JSON-LD Service schema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{{SCHEMA_FAQ}} → JSON-LD FAQPage schema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 Scan remaining {{ }}: replace empty, log warning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 Write file. Log: Created: [path]</w:t>
      </w:r>
    </w:p>
    <w:p w:rsidR="00052A39" w:rsidRDefault="00052A39">
      <w:pPr>
        <w:shd w:val="clear" w:color="auto" w:fill="F0F0F0"/>
        <w:spacing w:before="14" w:after="14"/>
        <w:ind w:left="360"/>
      </w:pP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STEP 3 — SITEMAP + NAV</w:t>
      </w: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Add all 20 URLs to sitemap.xml (priority 0.7).</w:t>
      </w:r>
    </w:p>
    <w:p w:rsidR="00052A39" w:rsidRDefault="00000000">
      <w:pPr>
        <w:shd w:val="clear" w:color="auto" w:fill="F0F0F0"/>
        <w:spacing w:before="14" w:after="14"/>
        <w:ind w:left="360"/>
      </w:pPr>
      <w:r>
        <w:rPr>
          <w:rFonts w:ascii="Courier New" w:eastAsia="Courier New" w:hAnsi="Courier New" w:cs="Courier New"/>
          <w:color w:val="1B2A4A"/>
          <w:sz w:val="16"/>
          <w:szCs w:val="16"/>
        </w:rPr>
        <w:t>Update industries nav dropdown. Do not remove existing.</w:t>
      </w:r>
    </w:p>
    <w:p w:rsidR="00052A39" w:rsidRDefault="00052A39">
      <w:pPr>
        <w:shd w:val="clear" w:color="auto" w:fill="F0F0F0"/>
        <w:spacing w:before="14" w:after="14"/>
        <w:ind w:left="360"/>
      </w:pP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STEP 4 — CONFIRM</w:t>
      </w: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Pages created: [N] — must equal 20</w:t>
      </w:r>
    </w:p>
    <w:p w:rsidR="00052A39" w:rsidRDefault="00000000">
      <w:pPr>
        <w:shd w:val="clear" w:color="auto" w:fill="F0F0F0"/>
        <w:spacing w:before="14" w:after="14"/>
        <w:ind w:left="360"/>
      </w:pPr>
      <w:r>
        <w:rPr>
          <w:rFonts w:ascii="Courier New" w:eastAsia="Courier New" w:hAnsi="Courier New" w:cs="Courier New"/>
          <w:color w:val="1B2A4A"/>
          <w:sz w:val="16"/>
          <w:szCs w:val="16"/>
        </w:rPr>
        <w:t>Full list of all 20 file paths</w:t>
      </w:r>
    </w:p>
    <w:p w:rsidR="00052A39" w:rsidRDefault="00000000">
      <w:pPr>
        <w:shd w:val="clear" w:color="auto" w:fill="F0F0F0"/>
        <w:spacing w:before="14" w:after="14"/>
        <w:ind w:left="360"/>
      </w:pPr>
      <w:r>
        <w:rPr>
          <w:rFonts w:ascii="Courier New" w:eastAsia="Courier New" w:hAnsi="Courier New" w:cs="Courier New"/>
          <w:color w:val="1B2A4A"/>
          <w:sz w:val="16"/>
          <w:szCs w:val="16"/>
        </w:rPr>
        <w:t>Token warnings count</w:t>
      </w:r>
    </w:p>
    <w:p w:rsidR="00052A39" w:rsidRDefault="00000000">
      <w:pPr>
        <w:shd w:val="clear" w:color="auto" w:fill="F0F0F0"/>
        <w:spacing w:before="14" w:after="14"/>
        <w:ind w:left="360"/>
      </w:pPr>
      <w:r>
        <w:rPr>
          <w:rFonts w:ascii="Courier New" w:eastAsia="Courier New" w:hAnsi="Courier New" w:cs="Courier New"/>
          <w:color w:val="1B2A4A"/>
          <w:sz w:val="16"/>
          <w:szCs w:val="16"/>
        </w:rPr>
        <w:t>Sitemap updated: yes/no</w:t>
      </w:r>
    </w:p>
    <w:p w:rsidR="00052A39" w:rsidRDefault="00000000">
      <w:pPr>
        <w:shd w:val="clear" w:color="auto" w:fill="F0F0F0"/>
        <w:spacing w:before="14" w:after="14"/>
        <w:ind w:left="360"/>
      </w:pPr>
      <w:r>
        <w:rPr>
          <w:rFonts w:ascii="Courier New" w:eastAsia="Courier New" w:hAnsi="Courier New" w:cs="Courier New"/>
          <w:color w:val="1B2A4A"/>
          <w:sz w:val="16"/>
          <w:szCs w:val="16"/>
        </w:rPr>
        <w:t>Navigation updated: yes/no</w:t>
      </w:r>
    </w:p>
    <w:p w:rsidR="00052A39" w:rsidRDefault="00000000">
      <w:pPr>
        <w:shd w:val="clear" w:color="auto" w:fill="F0F0F0"/>
        <w:spacing w:before="14" w:after="14"/>
        <w:ind w:left="360"/>
      </w:pPr>
      <w:r>
        <w:rPr>
          <w:rFonts w:ascii="Courier New" w:eastAsia="Courier New" w:hAnsi="Courier New" w:cs="Courier New"/>
          <w:color w:val="1B2A4A"/>
          <w:sz w:val="16"/>
          <w:szCs w:val="16"/>
        </w:rPr>
        <w:t>Any failures with exact reason</w:t>
      </w:r>
    </w:p>
    <w:p w:rsidR="00052A39" w:rsidRDefault="00052A39">
      <w:pPr>
        <w:shd w:val="clear" w:color="auto" w:fill="F0F0F0"/>
        <w:spacing w:before="14" w:after="14"/>
        <w:ind w:left="360"/>
      </w:pP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DO NOT write scripts. DO NOT rebuild existing pages.</w:t>
      </w:r>
    </w:p>
    <w:p w:rsidR="00052A39" w:rsidRDefault="00000000">
      <w:pPr>
        <w:shd w:val="clear" w:color="auto" w:fill="F0F0F0"/>
        <w:spacing w:before="14" w:after="14"/>
        <w:ind w:left="360"/>
      </w:pPr>
      <w:r>
        <w:rPr>
          <w:rFonts w:ascii="Courier New" w:eastAsia="Courier New" w:hAnsi="Courier New" w:cs="Courier New"/>
          <w:color w:val="1B2A4A"/>
          <w:sz w:val="16"/>
          <w:szCs w:val="16"/>
        </w:rPr>
        <w:t>Read JSON. Loop. Replace tokens. Write files.</w:t>
      </w: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52A39">
      <w:pPr>
        <w:pBdr>
          <w:bottom w:val="single" w:sz="8" w:space="1" w:color="1B2A4A"/>
        </w:pBdr>
        <w:spacing w:before="200" w:after="200"/>
      </w:pPr>
    </w:p>
    <w:p w:rsidR="00052A39" w:rsidRDefault="00000000">
      <w:pPr>
        <w:pStyle w:val="Heading1"/>
      </w:pPr>
      <w:r>
        <w:t>Section 3: JSON appendix — save as data/industry-pages-batch18.json</w:t>
      </w:r>
    </w:p>
    <w:p w:rsidR="00052A39" w:rsidRDefault="00000000">
      <w:pPr>
        <w:spacing w:before="60" w:after="60"/>
      </w:pPr>
      <w:r>
        <w:rPr>
          <w:i/>
          <w:iCs/>
          <w:color w:val="666666"/>
          <w:sz w:val="18"/>
          <w:szCs w:val="18"/>
        </w:rPr>
        <w:lastRenderedPageBreak/>
        <w:t>20 page objects. Copy and save as data/industry-pages-batch18.json in Replit.</w:t>
      </w:r>
    </w:p>
    <w:p w:rsidR="00052A39" w:rsidRDefault="00052A39">
      <w:pPr>
        <w:spacing w:before="80" w:after="40"/>
      </w:pP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"india-carbon-markets-deep-dive",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Carbon Markets Deep Dive | GreyRadius Consulting",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carbon market companies, ESG platforms, and climate finance businesses access India's carbon credit infrastructure with deep market entry strategy, BEE programme access, and BRSR compliance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"India carbon markets deep dive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carbon credit technology to India's voluntary and compliance carbon markets — strategy for carbon market companies entering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carbon market is the world's largest by voluntary credit origination — generating 300 million+ VCUs annually across renewable energy, forestry, and methane reduction projects, and now developing a domestic compliance carbon market through BEE's Carbon Credit Trading Scheme. International carbon registry companies, MRV technology providers, carbon trading platforms, ESG reporting software businesses, and carbon advisory firms are all evaluating India as a priority carbon market. GreyRadius helps carbon market companies validate Indian enterprise and government demand, access BEE's CCTS infrastructure, navigate SEBI and ESG regulatory requirements, identify project developer partners, and raise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Carbon Credit Trading Scheme implementation is creating immediate demand for carbon market infrastructure — BEE's CCTS requires measurement, reporting, and verification technology, registry infrastructure, and compliance management platforms that international carbon market companies can supply. SEBI's mandatory BRSR disclosure for 1,000+ listed companies creates parallel enterprise ESG technology demand that carbon market companies can serve simultaneously.",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domestic CCTS is being implemented by BEE — creating a mandatory compliance carbon market covering energy-intensive industries that requires MRV technology, registry infrastructure, and compliance management platforms.",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generates 300M+ voluntary carbon credits annually — renewable energy, cookstove, and forestry projects all creating ongoing demand for MRV technology, validation services, and carbon registry access.",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"SEBI's BRSR Plus disclosure requirements are creating Scope 3 emissions measurement demand — Indian listed companies need value chain carbon accounting technology that international carbon market companies can provide.",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"Article 6 bilateral agreements are creating international carbon market access for Indian projects — India-Japan, India-Singapore, and India-Switzerland Article 6 agreements creating new premium carbon credit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voluntary carbon market has faced quality credibility concerns — cancelled projects and rating downgrades have created buyer hesitancy that carbon market technology companies must address.",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"BEE's CCTS framework is still being finalised — regulatory uncertainty about sector coverage, baseline methodology, and credit prices requires flexible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"Enterprise ESG buyer education is still required — Indian corporate sustainability teams are still developing carbon accounting expertise requiring significant customer education investment.",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global carbon market infrastructure companies — Gold Standard, VERRA, and Climate Impact X — is growing with India-specific programme offerings."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carbon market demand validation|You need to validate Indian enterprise and BEE compliance demand for your carbon market technology and understand CCTS programme access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"BEE CCTS programme access and regulatory pathway|You need to understand BEE CCTS framework requirements, MRV methodology standards, and compliance platform obligations.",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carbon market partner identification|You need Indian carbon project developers, energy-intensive industry compliance officers, and SEBI-registered ESG advisory firms as commercial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carbon market GTM strategy|You need a go-to-market plan covering BEE CCTS compliance technology, voluntary carbon project development, and BRSR corporate ESG reporting.",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carbon market investment|You need a pitch book grounded in India CCTS programme data and voluntary carbon market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"Article 6 and international carbon market strategy|You need to understand India's bilateral Article 6 agreements and how they create premium international carbon credit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Indian enterprise and BEE compliance demand for your carbon market technology with CCTS programme mapping and corporate ESG buyer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carbon market investment covering CCTS compliance economics and voluntary carbon project development.",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carbon market entry including BEE CCTS pathway, project developer partner identification, and first-credit-issuance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carbon market GTM team covering BEE, energy-intensive industry, and corporate ESG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carbon market investment with CCTS and BRSR regulatory tailwind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satellite-based Indian carbon project MRV to automated BRSR Scope 3 emissions calculation."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carbon registry companies or also with MRV technology, carbon trading, and ESG reporting companies in India's carbon market?|All carbon market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carbon market deep dive engagement take?|Typically 8–12 weeks for BEE CCTS mapping, enterprise demand research, and project developer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BEE CCTS programme contacts and Indian carbon project developers?|Yes — BEE programme contact mapping and project developer identification are core to our India carbon market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CCTS differ from established carbon markets like EU ETS?|India's CCTS is earlier stage with evolving methodology — we assess CCTS framework maturity and market readiness in every India carbon market engagement."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carbon markets deep dive, India CCTS GTM strategy, India ESG consulting, BEE carbon credit advisory, India voluntary carbon market entry, India climate finance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BEE CCTS coverage across energy-intensive industries nationwide; voluntary carbon projects in Rajasthan, Madhya Pradesh, Karnataka, Odisha",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"300M+",</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VCU origination annually",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largest voluntary carbon credit originating country — CCTS compliance market now developing alongside voluntary market creating dual commercial opportunity.",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carbon market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"BEE programme officials, carbon project developers, and corporate sustainability managers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carbon market deep dive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BEE CCTS mapping and carbon market demand research delivers India carbon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"gulf-smart-mobility",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"electric-vehicles",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"Gulf Smart Mobility &amp; Urban Transport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smart mobility companies, autonomous vehicle technology businesses, and urban transport technology providers enter Gulf markets with market entry strategy, government programme identification, and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"Gulf smart mobility and urban transport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mobility technology to Gulf city deployment — strategy for smart mobility companies entering the GCC.",</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is building the world's most ambitious smart mobility infrastructure — NEOM's autonomous transport system, Dubai's autonomous mobility vision targeting 25% autonomous transport by 2030, Abu Dhabi's smart mobility investments, and Saudi Arabia's transport infrastructure projects all creating unprecedented procurement for autonomous vehicles, connected mobility platforms, smart traffic management, and urban transport technology. International smart mobility companies across autonomous vehicle technology, connected vehicle platforms, smart traffic management, urban air mobility, and mobility-as-a-service are all evaluating Gulf market entry. GreyRadius helps smart mobility companies validate Gulf government and authority demand, access Vision 2030 and Smart City programme procurement, identify partners, and execute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"NEOM's autonomous transport system procurement is active — The Line's fully autonomous transportation is in active technology procurement in 2024–2027. Dubai's Roads and Transport Authority is procuring autonomous mobility technology under its Smart Mobility Strategy. The smart mobility companies establishing Gulf government relationships in this window will capture long-term infrastructure contracts.",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smart mobility market is projected to reach $8B by 2030 — driven by NEOM autonomous transport, Dubai Smart Mobility Vision, and Saudi Arabia's National Transport Strategy all creating sustained technology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"NEOM's transportation system will be the world's first fully autonomous urban transport network — creating demand for autonomous vehicle technology, traffic AI, and mobility platform infrastructure at unprecedented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"Dubai has deployed autonomous marine transport, drone delivery trials, and autonomous taxi pilots — making it the world's most active city for advanced mobility technology deployment and validation.",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governments are investing in public transport technology — Riyadh Metro, Doha Metro, and Abu Dhabi bus system all digitalising creating smart transit and mobility-as-a-service technology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"Smart mobility procurement in Gulf is heavily government and authority-driven — Dubai RTA, NEOM, and Saudi transport authorities all control mobility technology procurement through complex government processes.",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"Autonomous vehicle regulatory frameworks are still developing — Gulf autonomous vehicle regulations are being developed in real-time as technology deployment accelerates creating regulatory uncertainty.",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"Technology demonstration and proof-of-concept requirements — Gulf authorities require demonstrated technology performance in Gulf climate and operational conditions before full deployment commitment.",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mobility technology companies — Waymo, Mobileye, and Alstom — with Gulf government relationships is growing as awareness of Gulf smart mobility opportunity increases."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smart mobility demand validation|You need to validate NEOM, Dubai RTA, and Gulf transport authority demand for your smart mobility technology and map active procurement programmes.",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smart mobility regulatory pathway|You need to understand autonomous vehicle regulations, connected vehicle standards, and urban mobility technology licensing in UAE and Saudi Arabia.",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smart mobility partner identification|You need NEOM technology procurement contacts, Dubai RTA smart mobility team, and Gulf smart city system integrators as commercial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smart mobility GTM strategy|You need a go-to-market plan covering NEOM autonomous transport, Dubai Smart Mobility, and Saudi National Transport Strategy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smart mobility investment|You need a pitch book grounded in Gulf smart mobility programme data and government commitment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"Technology demonstration strategy|You need a Gulf proof-of-concept demonstration strategy that builds government authority confidence before full deployment commitment."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government and authority demand for your smart mobility technology with programme mapping and procurement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smart mobility investment covering government procurement timelines and demonstration cost.",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smart mobility market entry including regulatory pathway, authority partner identification, and first-deployment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smart mobility GTM team covering NEOM, Dubai RTA, and Saudi transport authority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smart mobility with NEOM autonomous transport and Dubai Vision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autonomous vehicle decision systems optimised for Gulf traffic conditions to smart traffic management for Gulf urban environments."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autonomous vehicle companies or also with smart traffic management, MaaS, and urban air mobility companies in the Gulf?|All smart mobility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Gulf smart mobility markets does GreyRadius prioritise?|UAE for Dubai RTA and active deployment, Saudi Arabia for NEOM procurement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smart mobility engagement take?|Typically 8–12 weeks for government programme mapping and authority demand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NEOM transportation procurement and Dubai RTA smart mobility contacts?|Yes — government mobility programme contact mapping is core to our Gulf smart mobility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smart mobility market entry, NEOM autonomous transport GTM strategy, Dubai RTA technology consulting, Gulf urban mobility advisory, GCC smart transport market entry, Gulf autonomous vehicle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NEOM and Riyadh Metro, UAE — Dubai RTA and Abu Dhabi smart mobility, Qatar — Doha transport",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"$8B",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smart mobility market by 2030",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"NEOM autonomous transport, Dubai Smart Mobility Vision, and Saudi National Transport Strategy creating unprecedented smart mobility technology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smart mobility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transport authority procurement heads, NEOM programme directors, and mobility technology officials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smart mobility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mobility programme mapping delivers Gulf smart mobility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"southeast-asia-insurance-entry",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"insurtech",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Insurance &amp; Insurtech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insurance companies and insurtech businesses enter Southeast Asia with market entry strategy, OJK and BSP regulatory mapping, distribution partner identification, and fundraising across Indonesia, Philippines, and Thailand.",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insurance and insurtech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insurance product to Southeast Asian policyholder — strategy for insurance companies entering ASEAN.",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Asia's insurance market is one of the world's most underserved and fastest-growing — with insurance penetration below 2% of GDP across most ASEAN markets, 400 million uninsured adults, digital distribution creating accessible mass-market insurance for the first time, and regulatory frameworks actively encouraging insurance innovation. International insurance companies, insurtech platforms, reinsurance businesses, and embedded insurance technology providers are all evaluating Southeast Asia as a priority insurance market. GreyRadius helps insurance companies validate Southeast Asian consumer demand, navigate OJK, BSP, and OIC regulatory requirements, identify distribution partners, and execute market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Asia's digital insurance distribution is creating a step-change in accessibility — Grab Insurance, Gojek insurance partnerships, and Shopee Insurance are all creating digital distribution infrastructure that international insurers can access. Post-pandemic awareness of health and life insurance needs has permanently elevated Southeast Asian consumer insurance demand. Companies entering ASEAN insurance in 2024–2027 are establishing positions before market consolidation.",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insurance market is projected to reach $80B in premiums by 2028 — growing at 12% annually as digital distribution, rising incomes, and pandemic-driven awareness all drive adoption.",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"Indonesia is ASEAN's largest insurance opportunity — 270 million people with less than 3% life insurance penetration creating the world's most significant mass-market insurance demand outside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"Microinsurance is growing at 30%+ across ASEAN — affordable health, life, and crop insurance delivered via mobile money and e-commerce platforms is creating mass-market insurance adoption.",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insurance is ASEAN's fastest-growing distribution channel — device insurance on Lazada, travel insurance on Grab, and health insurance in digital wallets are all demonstrating the commercial model."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"Insurance licensing varies across ASEAN markets — OJK in Indonesia, BSP in Philippines, OIC in Thailand, and BNM in Malaysia all have different insurance company and broker licensing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partnerships with super apps and telcos are relationship-driven — Grab, Gojek, and Sea Group insurance partnership decisions involve long-term commercial negotiations not open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in insurance is low — historical mis-selling and low claims payment experiences have created consumer scepticism that digital insurers must overcome with transparent products and fast claims.",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"Actuarial data quality for ASEAN insurance products is limited — mortality, morbidity, and claims data quality in many ASEAN markets is insufficient for accurate premium pricing."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insurance demand validation|You need to validate ASEAN consumer demand for your insurance product and understand which distribution channels and regulatory frameworks apply.",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"OJK and BSP regulatory pathway|You need to understand insurance company licensing, broker registration, and digital insurance product approval in Indonesia, Philippines, and Thailand.",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insurance distribution partner identification|You need Grab, Gojek, and Sea Group insurance partnerships, telco distribution partners, and bancassurance relationships.",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insurance GTM strategy|You need a market-by-market consumer acquisition plan covering digital, bancassurance, and embedded channels.",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insurance investment|You need a pitch book grounded in ASEAN insurance market data and penetration gap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"Embedded insurance platform strategy|You need a strategy for partnering with ASEAN e-commerce, ride-hailing, and mobile money platforms as embedded insurance distribution channels."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Southeast Asian consumer insurance demand across priority markets with primary research and regulatory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Southeast Asia insurance investment covering licensing cost and distribution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insurance market entry including regulatory pathway, super app partner identification, and first-policyholder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insurance GTM team covering digital platform and bancassurance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insurance investment with penetration gap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alternative risk scoring using Southeast Asian digital behaviour data to automated claims processing."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life insurance companies or also with health insurance, microinsurance, and insurtech platform companies entering Southeast Asia?|All insurance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insurance markets does GreyRadius prioritise?|Indonesia for volume, Singapore for premium positioning and regional hub, Philippines for fastest-growing formal insurance market.",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insurance engagement take?|Typically 8–12 weeks for multi-market regulatory mapping and distribution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Grab and Gojek insurance partnership contacts for insurtech companies?|Yes — super app insurance partnership identification is core to our Southeast Asia insurance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insurance market entry, Indonesia insurtech GTM strategy, Philippines insurance consulting, ASEAN insurance advisory, Southeast Asia microinsurance market entry, ASEAN embedded insurance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Philippines, Thailand, Vietnam, Malaysia, Singapore",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"$80B",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insurance premiums by 2028",</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digital distribution, rising incomes, and pandemic-driven awareness drive ASEAN insurance adoption.",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insurance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"ASEAN consumers, super app insurance heads, and insurance regulators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insurance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multi-market regulatory mapping and distribution partner research delivers Southeast Asia insurance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"india-genomics-market-entry",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Genomics &amp; Precision Medicine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genomics companies, precision medicine businesses, and genetic testing platforms enter India with market entry strategy, ICMR regulatory mapping, hospital partner identification, and fundraising.",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"India genomics and precision medicine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genomics technology to Indian clinical deployment — strategy for genomics companies entering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genomics and precision medicine market is emerging as one of the world's most significant — with the world's largest genetically diverse population providing unparalleled research potential, ICMR's Genome India Project sequencing 10,000 Indian genomes creating foundational genetic data, government investment in biotech creating research infrastructure, and oncology precision medicine adoption accelerating in India's private hospital sector. International genomics companies, next-generation sequencing businesses, liquid biopsy technology providers, pharmacogenomics platforms, and precision oncology technology companies are all evaluating India as a priority genomics market. GreyRadius helps genomics companies validate Indian clinical demand, navigate ICMR and CDSCO regulatory requirements, identify hospital and research partners, and raise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Genome India Project completion is creating a reference genome for the Indian population — enabling precision medicine applications calibrated for Indian genetic diversity that international genomics companies can develop and commercialise. The oncology precision medicine market in India is growing at 35% annually as targeted therapy adoption expands among India's growing specialist oncologist community.",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"India's genomics and precision medicine market is projected to reach $3B by 2027 — growing at 35% annually as oncology adoption, genetic testing awareness, and ICMR research infrastructure all accelerate.",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cancer burden is the world's third-largest — 1.4 million new cancer cases annually with growing oncologist adoption of precision medicine creating significant NGS and liquid biopsy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"Genome India Project has created India's first population-representative reference genome — enabling precision medicine tools calibrated for South Asian genetic variants that differ significantly from Western reference genomes.",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pharma industry is investing in pharmacogenomics — Indian generics manufacturers seeking to develop personalised medicine products are creating genomics technology and platform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"ICMR and CDSCO genomic data regulations are evolving — India's biological data sovereignty requirements and genomic data export restrictions affect how international genomics companies can operate.",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"Clinical adoption of precision medicine requires specialist champion development — Indian oncologists require peer-reviewed evidence specific to Indian patient populations before adopting precision medicine workflows.",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significantly affects genomics testing adoption — Indian patient willingness to pay for genetic testing is 20-30% of equivalent Western pricing requiring volume-based commercial models.",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"Genomic data infrastructure in India is fragmented — hospital LIS, EMR, and genomics data systems are not interoperable requiring significant integration investment for genomics platform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genomics clinical demand validation|You need to validate Indian oncologist, hospital, and research institution demand for your genomics technology and what ICMR and CDSCO compliance requirements apply.",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"ICMR and CDSCO regulatory pathway for genomics|You need to understand genomic testing certification, biological sample handling regulations, and data sovereignty requirements for genomics in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genomics hospital and research partner identification|You need cancer hospital clinical champions, ICMR research institute partners, and genomics diagnostic chain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genomics GTM strategy|You need a go-to-market plan covering oncology hospital procurement, diagnostic chain distribution, and research institution partnerships.",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genomics investment|You need a pitch book grounded in India genomics market data, Genome India Project opportunity, and oncology demand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"Indian population genomics adaptation strategy|You need a strategy for adapting your genomics technology to Indian population genetic variants rather than relying solely on Western reference genomes."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oncologist and hospital demand for your genomics technology with clinical research and ICMR regulatory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genomics investment covering ICMR compliance and clinical adoption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genomics market entry including regulatory pathway, hospital clinical champion identification, and first-clinical-deployment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genomics GTM team covering oncology hospital and research institute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genomics investment with Genome India and precision oncology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 genomic interpretation calibrated for Indian population variants to automated pharmacogenomics advisory for Indian prescribers."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NGS companies or also with liquid biopsy, pharmacogenomics, and genetic counselling platform companies entering India?|All genomics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genomics market entry engagement take?|Typically 8–12 weeks for clinical demand research, ICMR regulatory mapping, and hospital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oncology clinical champion hospitals for genomics companies?|Yes — oncology clinical champion hospital identification is core to our India genomics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Genome India Project affect genomics market entry strategy?|Genome India creates Indian population reference data — we assess how your technology can be adapted for Indian genetic variants as part of every genomics engagement."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genomics market entry, India precision medicine GTM strategy, India NGS consulting, ICMR regulatory advisory, India liquid biopsy market entry, India precision oncology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"regions": "India — Mumbai, Delhi NCR, Chennai, Bengaluru, Hyderabad — top cancer hospital clusters and ICMR research institutes",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"$3B",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genomics and precision medicine market by 2027",</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35% annually as oncology adoption, genetic testing awareness, and ICMR genomic infrastructure all accelerate.",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genomics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oncologists, hospital CIOs, and ICMR research officials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genomics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ICMR regulatory mapping and clinical demand research delivers India genomics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"gulf-data-centres",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"Gulf Data Centre &amp; Cloud Infrastructure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data centre operators, cloud providers, and digital infrastructure companies enter Gulf markets with market entry strategy, regulatory mapping, government programme access, and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"Gulf data centre and cloud infrastructure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data centre capability to Gulf digital infrastructure deployment — strategy for cloud and data centre companies entering the GCC.",</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data centre and cloud infrastructure market is growing at extraordinary speed — with Saudi Arabia's Vision 2030 digital transformation requiring $6B+ in cloud and data centre investment, UAE's ambition to be the world's most connected country requiring hyperscale data centre capacity, and Gulf government data sovereignty requirements driving local data centre demand across all public sector cloud migrations. International data centre operators, hyperscale cloud providers, colocation businesses, and data centre technology companies are all evaluating Gulf market entry as government digital transformation creates unprecedented institutional demand. GreyRadius helps data centre and cloud companies validate Gulf government and enterprise demand, navigate data sovereignty regulatory requirements, identify local partners, and execute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government cloud migration is accelerating — Saudi Arabia's Government Cloud (G-Cloud), UAE's Government Cloud strategy, and Qatar's government digitalisation are all creating immediate sovereign cloud and data centre procurement. The cloud and data centre companies establishing Gulf government relationships in 2024–2027 will capture multi-year infrastructure contracts worth billions.",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data centre market is projected to reach $10B annually by 2028 — growing at 20% as government cloud migration, AI infrastructure demand, and enterprise digitalisation all drive capacity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 has committed $6B+ to cloud and data centre infrastructure — NIC's cloud programme, SDAIA's data centre investment, and hyperscaler partnerships are all creating significant deployment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"UAE hosts 300+ data centres and is the Gulf's established cloud hub — AWS, Azure, and Google Cloud all have UAE regions making it the natural colocation and cloud services hub for Gulf enterprise.",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AI workload demand is creating GPU infrastructure scarcity — Saudi Arabia's AI programme, UAE's AI investments, and Gulf bank AI deployments are all competing for limited GPU compute creating hyperscale data centre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requirements are complex across Gulf markets — Saudi Arabia's Cloud Computing Regulatory Framework, UAE's Cloud First Policy, and Qatar's data residency requirements all affect how cloud and data centre companies can operate.",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"Government certification is required for public sector cloud — G-Cloud provider certification in Saudi Arabia and UAE TRA cloud provider registration are both required before government workload access.",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"Power availability for large data centres requires advance planning — Gulf power infrastructure in some locations is constrained requiring advance utility co-investment.",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hyperscalers already present — AWS, Azure, and Google Cloud all have significant Gulf investment and relationships creating a high competitive bar for new entrants."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data centre demand validation|You need to validate Saudi Arabia, UAE, and Qatar government and enterprise demand for your cloud or data centre service and understand sovereignty compliance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"Government cloud certification pathway|You need to understand Saudi G-Cloud provider certification, UAE TRA registration, and sector-specific government cloud compliance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data centre and cloud partner identification|You need government digital transformation programme contacts, enterprise IT buyers, and real estate developer data centre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data centre GTM strategy|You need a go-to-market plan covering government cloud migration, enterprise colocation, and AI infrastructure deployment.",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data centre investment|You need a pitch book grounded in Gulf cloud and data centre demand data and government digital transformation investment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architecture strategy|You need a cloud and data architecture strategy that meets Saudi, UAE, and Qatar data sovereignty requirements simultaneously."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government and enterprise demand for your cloud or data centre service with government programme mapping and enterprise IT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data centre investment covering sovereignty compliance and power infrastructure cost.",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data centre market entry including government certification pathway, enterprise partner identification, and first-capacity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data centre GTM team covering government digital transformation and enterprise IT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data centre investment with government cloud migration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GPU infrastructure management for Gulf AI workloads to energy-efficient cooling for Gulf climate data centres."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colocation operators or also with cloud service providers and data centre technology companies entering the Gulf?|All data centre and cloud infrastructure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Gulf data centre markets does GreyRadius prioritise?|UAE for established cloud market volume, Saudi Arabia for government cloud migration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data centre engagement take?|Typically 8–12 weeks for government programme mapping, sovereignty compliance mapping, and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Saudi G-Cloud certification pathway and UAE TRA registration requirements?|Yes — government cloud certification mapping is core to our Gulf data centre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data centre market entry, Saudi Arabia cloud infrastructure GTM strategy, UAE data centre consulting, G-Cloud certification advisory, GCC cloud market entry, Gulf digital infrastructure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Dubai Internet City and Abu Dhabi data centre clusters, Saudi Arabia — Riyadh NIC and SDAIA, Qatar",</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"$10B",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data centre market annually by 2028",</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"Government cloud migration, AI infrastructure demand, and enterprise digitalisation driving 20% annual data centre market growth.",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data centre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cloud programme directors, enterprise IT heads, and data centre infrastructure investors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data centre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cloud programme mapping and sovereignty compliance research delivers Gulf data centre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"africa-edtech-market-entry",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"education-edtech",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EdTech Market Entry Strategy | GreyRadius Consulting",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EdTech companies enter Africa with market entry strategy, Ministry of Education programme access, school system GTM, regulatory mapping, and fundraising across Nigeria, Kenya, and South Africa.",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"Africa EdTech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digital learning to African student — strategy for EdTech companies entering Africa.",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EdTech market is one of the world's most impactful and commercially significant — with 600 million school-age children, the world's fastest-growing young population, significant government investment in education quality improvement, and smartphone penetration creating accessible digital education delivery for the first time. International EdTech companies across K-12 learning platforms, teacher training technology, assessment systems, school management software, and language learning businesses are all evaluating Africa as a priority EdTech market. GreyRadius helps EdTech companies validate African student and institutional demand, navigate Ministry of Education regulatory requirements, identify school distribution partners, and raise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"African government EdTech procurement is accelerating — Nigeria's National EdTech Summit, Kenya's Digital Learning Programme, and South Africa's e-learning infrastructure investment are all creating institutional EdTech demand that international companies can access. Mobile-first EdTech has proven commercial viability in Africa with Ulearngo, uLesson, and Snapplify all demonstrating African student willingness to pay for quality digital education.",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"Africa's EdTech market is projected to reach $3B by 2027 — growing at 20% annually as smartphone penetration, government EdTech investment, and student demand for quality education all drive adoption.",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"Nigeria is Africa's largest EdTech market — 60 million school-age children and significant private school sector creating the continent's most significant EdTech commercial opportunity.",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"Mobile learning is Africa's dominant EdTech channel — offline-capable, data-light mobile apps that work on low-end Android smartphones are the most commercially viable EdTech format for most African markets.",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"Teacher training technology is Africa's most underdeveloped EdTech category — 8 million African teachers with limited professional development access creating significant demand for teacher upskilling platforms."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"Curriculum alignment with national standards is required for school deployment — Nigerian NERDC, Kenyan KICD, and South African CAPS curriculum all require EdTech content alignment before government school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"Device and data access varies dramatically — Lagos private school students have smartphones while rural public school students have neither devices nor reliable data creating significant product adaptation challenges.",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"School procurement is relationship-driven and slow — African school system procurement involves head teachers, district education officers, and state ministry approval creating long and complex sales cycles.",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"Payment infrastructure for consumer EdTech in Africa is improving but incomplete — mobile money coverage enables digital payment for parents in East Africa but remains fragmented in West and Southern Africa."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 EdTech market prioritisation|You need to identify which African markets offer the best combination of student demand, institutional procurement opportunity, and infrastructure access for your EdTech product.",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"Ministry of Education curriculum alignment and regulatory pathway|You need to understand curriculum alignment requirements, EdTech content approval, and school technology procurement processes in each target market.",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 EdTech distribution partner identification|You need school network operators, education management organisations, and EdTech aggregator platforms as distribution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 EdTech GTM strategy|You need a market-by-market student and school acquisition plan covering B2C, B2B school, and government procurement channels.",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EdTech investment|You need a pitch book grounded in Africa education market data and government procurement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"Mobile-first product adaptation strategy|You need a product adaptation roadmap for offline-capable, data-light mobile learning that works on low-end Android devices."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student and institutional demand across priority markets with primary research and curriculum alignment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EdTech investment covering curriculum adaptation cost and school acquisition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EdTech market entry including Ministry pathway, school network partner identification, and first-student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EdTech GTM team covering school network and government education programme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EdTech with government EdTech investment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African language adaptive learning to teacher training automation in local languages."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K-12 EdTech or also with higher education, teacher training, and assessment technology companies entering Africa?|All EdTech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EdTech markets does GreyRadius prioritise?|Nigeria for volume, Kenya for East Africa hub, South Africa for premium private school market.",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EdTech engagement take?|Typically 8–12 weeks for multi-market demand research and curriculum alignment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African school network operators and EdTech aggregator partners?|Yes."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EdTech market entry, Nigeria education technology GTM strategy, Kenya digital learning consulting, Africa EdTech advisory, Africa mobile learning market entry, Sub-Saharan EdTech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South Africa, Ghana, Rwanda, Ethiopia",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"$3B",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EdTech market by 2027",</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20% annually as smartphone penetration, government investment, and student demand for quality education all drive adoption.",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EdTech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"African students, school administrators, and Ministry of Education officials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EdTech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curriculum alignment mapping and institutional demand research delivers Africa EdTech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"india-urban-infrastructure",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Urban Infrastructure &amp; Smart Cities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urban infrastructure technology companies enter India with market entry strategy, Smart Cities Mission programme access, AMRUT programme identification, and urban local body procurement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"India urban infrastructure and smart cities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urban technology to Indian city deployment — strategy for urban infrastructure companies entering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urban infrastructure market is at a transformation inflection — with Smart Cities Mission covering 100 cities, AMRUT 2.0 investing $28B in urban water and sanitation, PM Awas Yojana Urban building 10 million houses, and state governments investing in urban mobility, solid waste management, and urban digital services. International urban infrastructure technology companies across water management, solid waste technology, urban mobility systems, building technology, and city analytics platforms are all evaluating India as a priority urban technology market. GreyRadius helps urban infrastructure companies validate city authority demand, access Smart Cities Mission and AMRUT programme procurement, identify partners, and execute market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urban infrastructure investment cycle is the most active in the country's history — AMRUT 2.0's $28B commitment, Smart Cities Mission Phase 2, and state government capital expenditure on urban infrastructure are all creating procurement in 2024–2028. The urban technology companies establishing city authority relationships in this window will build recurring revenue from maintenance and operations contracts that persist for decades.",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urban infrastructure investment under government programmes exceeds $50B — Smart Cities Mission, AMRUT, PMAY Urban, and state urban development budgets collectively creating the world's most active emerging market urban technology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"Water supply and sanitation technology is the largest urban infrastructure category — AMRUT 2.0's focus on 100% coverage across 500 cities creating demand for water management, leak detection, and wastewater treatment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"Urban mobility technology is growing at 25% annually — metro rail extensions, bus rapid transit, and multimodal mobility integration across India's 50+ million-plus cities creating significant transit technology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solid waste management market is growing at 15% annually — municipal solid waste processing, waste-to-energy, and source segregation technology all seeing government procurement driven by SBM Urban Phase 2."</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"Urban local body procurement is complex and fragmented — 4,000+ urban local bodies in India all have different procurement processes, technical capacity, and payment reliability creating significant GTM complexity.",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payment timelines for urban infrastructure are extended — municipal government payment cycles of 90-180 days create significant working capital requirements for urban technology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"Technical capacity of urban local bodies is limited — most Indian cities lack the engineering capacity to evaluate, implement, and maintain sophisticated urban technology without significant implementation support.",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Indian urban infrastructure companies — L&amp;T, Sterlite Technologies, and EPC contractors — with deep city authority relationships is intense across Smart Cities Mission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urban infrastructure demand validation|You need to validate Smart Cities Mission, AMRUT, and urban local body demand for your urban technology and identify active tender opportunities.",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"Smart Cities Mission and AMRUT programme access|You need to map active Smart Cities Mission tenders, AMRUT 2.0 procurement windows, and state urban development programme opportunities for your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urban infrastructure partner identification|You need EPC contractors, urban local body technology advisors, and state urban development authority contacts as commercial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urban infrastructure GTM strategy|You need a go-to-market plan covering Smart Cities Mission, AMRUT, and state urban programme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urban infrastructure|You need a pitch book grounded in India urban investment programme data and city authority demand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"Urban local body payment risk management|You need financial and contractual structures that manage urban local body payment timeline risk for your infrastructure investment."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city authority demand for your urban technology with Smart Cities Mission and AMRUT programme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urban infrastructure investment covering government procurement timelines and payment risk management.",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urban infrastructure market entry including programme access strategy, EPC partner identification, and first-city-contract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urban infrastructure GTM team covering Smart Cities Mission, AMRUT, and state urban programme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urban infrastructure investment with government programme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Indian city traffic management to predictive urban water network maintenance."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water management technology companies or also with solid waste, urban mobility, and smart building technology companies entering India?|All urban infrastructure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urban infrastructure engagement take?|Typically 8–12 weeks for Smart Cities Mission programme mapping and city authority demand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Smart Cities Mission tender opportunities and EPC partners for urban technology companies?|Yes — programme tender mapping and EPC partner identification are core to our India urban infrastructure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should urban technology companies manage urban local body payment risk in India?|Government-backed contract structures, milestone-based payment, and state government guarantees are all risk management tools we assess in every India urban infrastructure engagement."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urban infrastructure market entry, India smart city GTM strategy, AMRUT programme consulting, Smart Cities Mission advisory, India urban technology market entry, India city infrastructure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100 Smart Cities Mission cities, 500 AMRUT cities, state capital and million-plus cities",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"$50B+",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urban infrastructure government programme investment",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"Smart Cities Mission, AMRUT, PMAY Urban, and state urban budgets collectively creating the world's most active emerging market urban technology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urban infrastructure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"Smart Cities Mission programme directors, urban local body officials, and EPC contractors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urban infrastructure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Smart Cities Mission programme mapping and city authority research delivers India urban infrastructure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"gulf-logistics-automation",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"Gulf Logistics Automation &amp; Warehouse Technology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logistics automation companies, warehouse technology businesses, and supply chain robotics providers enter Gulf markets with market entry strategy, government programme identification, and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"Gulf logistics automation and warehouse technology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automation technology to Gulf warehouse deployment — strategy for logistics automation companies entering the GCC.",</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logistics automation market is growing at extraordinary speed — with NEOM's fully automated logistics city, Saudi Arabia's National Transport and Logistics Strategy requiring advanced logistics infrastructure, UAE's ambition to be a global logistics hub driving warehouse automation investment, and Gulf e-commerce growth creating fulfillment automation demand. International logistics automation companies, warehouse robotics businesses, conveyor and sortation technology providers, and logistics management system companies are all evaluating Gulf market entry. GreyRadius helps logistics automation companies validate Gulf warehouse operator and government demand, access Vision 2030 logistics programme procurement, identify partners, and execute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logistics automation investment is accelerating — Aramex, Agility, and DHL all have Gulf warehouse automation programmes underway. NEOM's logistics city is in active technology procurement. Saudi Arabia's National Logistics Strategy is funding automation investment across Saudi ports and logistics hubs. The automation technology companies establishing Gulf logistics relationships in 2024–2027 will capture multi-year contracts.",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automation market is projected to reach $3B by 2028 — growing at 25% annually as e-commerce fulfillment, NEOM logistics city, and Vision 2030 logistics programme all drive automation investment.",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"NEOM's logistics infrastructure will be fully automated — creating procurement for conveyor systems, AMRs, sorting technology, and warehouse management systems at unprecedented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e-commerce growth at 25% annually is creating fulfillment automation demand — regional carriers including Aramex are investing in automated sortation and last-mile technology to handle growing volumes.",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port modernisation under Mawani is creating significant logistics technology procurement — automated container handling, port management systems, and cargo tracking technology all being procured."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automation procurement is relationship-driven — major logistics operator technology decisions involve long-term partnership negotiations with senior operational leadership.",</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"ICV requirements apply to large logistics automation contracts — Saudi Arabia's in-country value programme requires local assembly or manufacturing content for major automation system contracts.",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"Integration with diverse Gulf WMS and ERP systems creates implementation complexity — Gulf logistics operators use SAP, Oracle, and proprietary systems all requiring custom integration.",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global automation technology companies — Dematic, Vanderlande, and Swisslog — with Gulf operator relationships is intense across major warehouse automation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automation demand validation|You need to validate Gulf warehouse operator, port authority, and NEOM procurement demand for your automation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automation regulatory and ICV pathway|You need to understand ICV requirements and local content obligations for Gulf logistics automation contracts.",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automation partner identification|You need Gulf warehouse operators, port authority technology heads, and logistics system integrators as commercial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logistics automation GTM strategy|You need a go-to-market plan covering NEOM logistics city, Saudi port modernisation, and UAE e-commerce fulfillment automation.",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logistics automation investment|You need a pitch book grounded in Gulf logistics market data and automation investment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"Technology demonstration strategy|You need a Gulf pilot demonstration strategy that builds operator confidence before full-scale deployment commitment."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operator and government demand for your logistics automation technology with programme mapping and buyer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logistics automation investment covering ICV compliance and integration cost.",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logistics automation market entry including NEOM qualification, operator partner identification, and first-deployment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logistics automation GTM team covering NEOM, Saudi ports, and UAE e-commerce operator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logistics automation with NEOM and Vision 2030 logistics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warehouse orchestration for Gulf climate conditions to predictive logistics demand forecasting."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warehouse robotics companies or also with conveyor, sortation, and logistics management system companies in the Gulf?|All logistics automation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Gulf logistics automation markets does GreyRadius prioritise?|Saudi Arabia for NEOM and port modernisation scale, UAE for e-commerce fulfillment automation volume.",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logistics automation engagement take?|Typically 8–12 weeks for operator demand research and ICV compliance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NEOM logistics procurement and Saudi Mawani port technology contacts?|Yes."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logistics automation market entry, NEOM logistics GTM strategy, Saudi Arabia warehouse technology consulting, UAE fulfillment automation advisory, GCC logistics robotics market entry, Gulf warehouse technology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NEOM logistics city, Jeddah Islamic Port modernisation, Riyadh logistics hubs; UAE — Jebel Ali fulfillment automation",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"$3B",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logistics automation market by 2028",</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"NEOM logistics city, Saudi port modernisation, and Gulf e-commerce growth driving 25% annual automation investment growth.",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logistics automation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"Logistics operator technology heads, NEOM programme directors, and port authority officials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logistics automation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NEOM programme mapping and logistics operator demand research delivers Gulf logistics automation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"southeast-asia-climate-tech",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Climate Technology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climate technology companies enter Southeast Asia with market entry strategy, carbon credit programme access, government climate finance identification, and partner identification across Indonesia, Vietnam, and Thailand.",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climate technology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climate technology to Southeast Asian climate solution — strategy for climate tech companies entering ASEAN.",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 is both one of the world's most climate-vulnerable regions and one of the most significant climate technology investment opportunities — with Indonesia committing to net-zero by 2060, Vietnam's coal phase-out under JETP, Thailand's carbon credit programme, and Singapore's carbon tax creating regional climate policy infrastructure. International climate technology companies across carbon monitoring, climate risk analytics, carbon trading platforms, clean cooking, and climate adaptation technology are all evaluating Southeast Asia as a climate tech market. GreyRadius helps climate tech companies validate Southeast Asian government and enterprise demand, access carbon credit market infrastructure, identify climate finance partners, and raise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Asia's climate finance infrastructure is maturing — Indonesia's Energy Transition Mechanism, Vietnam's JETP Just Energy Transition Partnership, and Singapore's carbon credit framework are all creating funded demand channels for climate technology companies. The Article 6 bilateral carbon agreements between ASEAN countries and Japan, Switzerland, and Singapore are creating premium international carbon credit demand from Southeast Asian projects.",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Asia's climate technology market is projected to reach $15B by 2028 — growing at 25% as JETP financing, national carbon markets, and climate adaptation investment all scale across ASEAN.",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"Indonesia's JETP commitment of $20B is the world's largest coal-to-clean-energy transition financing — creating demand for grid management, renewable integration, and coal worker transition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"Singapore's carbon tax and carbon credit framework are creating ASEAN's most advanced carbon market infrastructure — eligible International Carbon Credits from certified ASEAN projects being purchased by Singapore-regulated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"Vietnam's carbon trading pilot is being developed for full market launch by 2028 — creating demand for MRV technology, carbon registry infrastructure, and carbon market platform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"ASEAN climate finance access is complex — JETP, GCF, ADB climate funds, and bilateral climate programmes all have different eligibility criteria and application processes requiring specialist navigation.",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"Carbon credit quality standards vary across ASEAN — different verification standards, project types, and buyer requirements create complexity for carbon market technology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"Enterprise ESG buyer sophistication is limited outside Singapore — ASEAN corporate sustainability teams outside Singapore are still developing basic ESG measurement capability.",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frameworks for carbon markets are still evolving in most ASEAN markets — Vietnam, Indonesia, and Thailand are all developing carbon market rules creating uncertainty for carbon platform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climate tech demand validation|You need to validate government, DFI, and enterprise demand for your climate technology across priority ASEAN markets.",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"ASEAN carbon market and climate finance access|You need to understand JETP, GCF, ADB climate fund, and Article 6 bilateral agreement access for your climate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climate tech partner identification|You need government climate agencies, climate project developers, and DFI programme managers as commercial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climate tech GTM strategy|You need a market-by-market plan covering government climate procurement, DFI programme access, and carbon credit development.",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climate tech|You need a pitch book grounded in ASEAN climate market data and JETP financing landscape.",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"Article 6 and carbon credit strategy for Southeast Asia|You need to understand ASEAN Article 6 bilateral agreements and eligible carbon credit development opportunities."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Southeast Asian government and DFI demand for your climate technology with JETP programme mapping and climate finance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Southeast Asia climate tech investment covering JETP financing structure and carbon credit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climate tech market entry including climate finance programme access, partner identification, and first-deployment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climate tech GTM team covering government, DFI, and carbon developer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climate tech with JETP and carbon market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satellite-based ASEAN deforestation monitoring to climate risk prediction for Southeast Asian infrastructure."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carbon monitoring companies or also with climate adaptation, clean energy transition, and climate finance technology companies in Southeast Asia?|All climate tech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climate tech markets does GreyRadius prioritise?|Indonesia for JETP scale, Singapore for carbon market infrastructure, Vietnam for carbon trading programme.",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climate tech engagement take?|Typically 8–12 weeks for JETP programme mapping and climate finance access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JETP programme access and Article 6 bilateral agreement opportunities in Southeast Asia?|Yes — climate finance programme and Article 6 access mapping are core to our Southeast Asia climate tech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climate technology market entry, Indonesia JETP GTM strategy, Vietnam carbon market consulting, ASEAN climate finance advisory, Southeast Asia carbon credit market entry, ASEAN climate tech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Vietnam, Thailand, Singapore, Malaysia, Philippines",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climate technology market by 2028",</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"JETP financing, national carbon markets, and climate adaptation investment scaling across ASEAN creating significant climate technology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climate tech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climate officials, JETP programme managers, and carbon project developers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climate 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JETP programme mapping and carbon market research delivers Southeast Asia climate tech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"india-insurtech-market-entry",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"insurtech",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Insurtech Market Entry Strategy | GreyRadius Consulting",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insurtech companies enter India with market entry strategy, IRDAI regulatory sandbox access, distribution partner identification, and fundraising support.",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"India insurtech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insurtech product to Indian insurance consumer — strategy for insurtech companies entering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insurtech market is growing at extraordinary speed — with IRDAI's regulatory sandbox creating pathways for insurance innovation, Bima Sugam digital insurance marketplace transforming distribution, insurance penetration at 4% of GDP with 96% upside remaining, and a digitally-enabled consumer base of 800 million smartphone users. International insurtech companies across parametric insurance technology, embedded insurance platforms, claims automation, AI underwriting systems, and microinsurance technology are all evaluating India as a priority insurtech market. GreyRadius helps insurtech companies validate Indian consumer and insurance company demand, navigate IRDAI regulatory sandbox requirements, identify insurance company and distributor partners, and raise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"IRDAI's regulatory sandbox has created explicit pathways for insurtech innovation — companies can test insurance products and distribution models in sandbox conditions before full regulatory approval. Bima Sugam's launch is creating digital insurance marketplace infrastructure that insurtechs can access for distribution. IRDAI's 100% FDI liberalisation is removing foreign ownership barriers simultaneously.",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insurtech market is projected to reach $15B by 2027 — growing at 25% annually as Bima Sugam distribution, IRDAI sandbox innovation, and 100% FDI liberalisation all accelerate investment and adoption.",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"IRDAI's Bima Sugam marketplace is creating digital insurance distribution infrastructure — reducing distribution cost and enabling innovative insurtech products to reach Indian consumers without traditional agent networks.",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"Parametric insurance is growing at 40%+ in India — agriculture weather insurance, disaster parametric products, and health indemnity are all demonstrating the commercial case for data-driven parametric insurance.",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"Claims automation is the fastest-growing insurtech category — Indian insurance companies are investing heavily in AI claims processing, fraud detection, and customer service automation creating B2B insurtech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"IRDAI licensing requirements are significant for insurance companies — while insurtech platform companies can operate without insurance licences, any risk-bearing activity requires IRDAI approval.",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"IRDAI sandbox access requires a credible pilot programme design — sandbox applications require detailed product specification, target customer definition, and risk management framework.",</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"Insurance company partnerships are critical for insurtech distribution — Indian insurance companies are conservative technology adopters requiring extensive proof-of-concept validation before partnerships.",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well-funded Indian insurtechs — Acko, Digit, and Turtlemint — with established IRDAI relationships and distribution networks is intense across most insurtech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insurtech demand validation|You need to validate Indian consumer demand and insurance company appetite for your insurtech product and understand IRDAI regulatory pathway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"IRDAI regulatory sandbox access strategy|You need to understand IRDAI sandbox eligibility, application requirements, and pilot programme design for your insurtech innovation.",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insurance company partnership identification|You need Indian insurance companies willing to partner for product development, distribution, or technology integration.",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insurtech GTM strategy|You need a go-to-market plan covering insurance company B2B technology sales, Bima Sugam distribution, and direct consumer acquisition.",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insurtech investment|You need a pitch book grounded in India insurance market data and IRDAI regulatory framework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"Bima Sugam integration strategy|You need a technical and commercial strategy for listing your insurance products on IRDAI's Bima Sugam digital marketplace."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consumer and insurance company demand for your insurtech with primary research and IRDAI regulatory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insurtech investment covering IRDAI compliance cost and insurance company partnership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insurtech market entry including IRDAI sandbox pathway, insurance company partner identification, and first-policyholder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insurtech GTM team covering insurance company B2B and consumer acquisition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insurtech investment with Bima Sugam and IRDAI sandbox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Hindi language AI insurance advisory to automated IRDAI-compliant claims processing."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parametric insurance companies or also with embedded insurance, claims automation, and B2B insurance technology companies entering India?|All insurtech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insurtech engagement take?|Typically 8–12 weeks for consumer demand research, IRDAI sandbox mapping, and insurance company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insurance company partnership contacts for insurtech companies?|Yes — insurance company partnership identification is core to our India insurtech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"What is IRDAI's sandbox and how does it help insurtech market entry?|IRDAI sandbox allows testing innovative insurance products in a controlled regulatory environment — we develop the sandbox application strategy as part of every India insurtech engagement."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insurtech market entry, IRDAI sandbox GTM strategy, India insurance technology consulting, Bima Sugam advisory, India parametric insurance market entry, India claims automation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Pune for insurance company B2B; nationwide for consumer insurtech",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insurtech market by 2027",</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Bima Sugam distribution, IRDAI sandbox innovation, and 100% FDI liberalisation accelerate investment.",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insurtech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consumers, insurance company technology heads, and IRDAI regulatory specialists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insurtech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IRDAI regulatory mapping and insurance demand research delivers India insurtech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"gulf-enterprise-ai-deployment",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"Gulf Enterprise AI Deployment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enterprise AI companies deploy in Gulf markets with AI deployment strategy, enterprise buyer identification, Arabic AI adaptation, and government programme access.",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"Gulf enterprise AI deployment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AI product to Gulf enterprise adoption — a deployment strategy for enterprise AI companies entering the GCC.",</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enterprise AI deployment market is one of the world's most commercially active — with Gulf banks deploying AI at record investment levels, Gulf telecoms investing in AI-powered network operations, Gulf retailers implementing AI personalisation, and government entities mandating AI in operations as part of Vision 2030. International enterprise AI companies across NLP platforms, computer vision businesses, predictive analytics providers, AI operations tools, and AI governance platforms are all finding Gulf enterprise buyers who are ready to deploy. GreyRadius helps enterprise AI companies validate Gulf deployment demand, navigate Arabic language and data sovereignty requirements, identify enterprise champions, and close first deployments.",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enterprise AI investment is at an all-time high — Saudi Aramco's AI programme, Emirates NBD's AI transformation, stc's AI-powered network operations, and Majid Al Futtaim's retail AI are all in active deployment phases creating immediate commercial opportunity. The enterprise AI companies that close Gulf reference deployments in 2024–2026 will have the case studies that open further Gulf enterprise doors.",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AI market is projected to reach $12B by 2027 — growing at 30% annually as financial services, telecoms, retail, and government all accelerate AI deployment programmes.",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banks are the most active enterprise AI deployers — Emirates NBD, Riyad Bank, and QNB are all deploying AI for fraud detection, credit scoring, and customer service at significant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"Arabic NLP is a critical capability gap — Gulf enterprises universally require Arabic language AI capability that most Western AI platforms do not provide adequately, creating differentiation opportunity.",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 AI mandates are creating enterprise adoption pressure — Saudi Arabia's SDAIA AI adoption KPIs and UAE's AI in government strategy are creating C-suite urgency for enterprise AI deployment."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AI capability is a hard requirement — Gulf enterprise AI buyers consistently reject products that do not have high-quality Arabic NLP, speech recognition, and generation capability.",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requirements affect AI model hosting — Gulf enterprises and government entities require AI models processing sensitive data to be hosted on UAE or Saudi approved infrastructure.",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"Enterprise AI procurement is conservative — Gulf enterprise buyers require references, pilots, and performance guarantees before committing to production AI deployments.",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hyperscaler AI platforms — Azure OpenAI, Google AI, and AWS AI services — with Gulf infrastructure and enterprise relationships is creating high competitive pressure."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AI demand validation|You need to validate which Gulf enterprise segments are actively procuring your AI technology category and what Arabic and data sovereignty requirements they impose.",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"Arabic AI capability assessment and development strategy|You need to understand the gap between your current Arabic AI capability and Gulf enterprise requirements and develop a roadmap for closing it.",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AI champion identification|You need C-suite and department head AI champions at Gulf banks, telecoms, retailers, and government entities as initial deployment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AI GTM strategy|You need a go-to-market plan covering reference deployment development, enterprise champion outreach, and first-production-deployment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enterprise AI investment|You need a pitch book grounded in Gulf enterprise AI demand data and Arabic AI opportunity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and cloud architecture strategy|You need an AI deployment architecture that meets Gulf data sovereignty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enterprise demand for your AI product with sector-specific buyer research and Arabic capability gap assessment.",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enterprise AI investment covering Arabic adaptation and data sovereignty compliance cost.",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enterprise AI market entry including Arabic capability roadmap, enterprise champion identification, and first-deployment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enterprise AI GTM team covering financial services, telecoms, and retail enterprise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enterprise AI investment with Arabic AI differentiation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"Arabic AI adaptation strategy — from Gulf dialect NLP development to culturally calibrated AI model fine-tuning."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NLP companies or also with computer vision, predictive analytics, and AI operations companies in the Gulf?|All enterprise AI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Gulf enterprise AI sectors does GreyRadius prioritise?|Financial services for investment scale, government for mandate-driven adoption, telecoms and retail for deployment volume.",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enterprise AI engagement take?|Typically 8–12 weeks for enterprise demand research, Arabic capability assessment, and champion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bank and telco AI champion contacts for enterprise AI companies?|Yes — enterprise AI champion identification across financial services, telecoms, and retail is core to our Gulf enterprise AI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enterprise AI deployment market entry, Saudi Arabia AI GTM strategy, UAE enterprise AI consulting, Arabic AI advisory, GCC AI deployment market entry, Gulf financial services AI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Emirates NBD and UAE banks, Dubai and Abu Dhabi government; Saudi Arabia — Riyad Bank and Saudi telecom; Qatar",</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"$12B",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enterprise AI market by 2027",</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30% annually as financial services, telecoms, retail, and government all accelerate AI deployment programmes.",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enterprise AI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enterprise CIOs, AI programme heads, and government AI deployment officials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enterprise AI deployment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Gulf enterprise demand mapping and Arabic AI capability assessment delivers Gulf enterprise AI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"india-deep-tech-market-entry",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Deep Tech &amp; Advanced Technology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deep technology companies — quantum computing, advanced materials, robotics, and photonics — enter India with market entry strategy, government programme identification, and academic partner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"India deep tech and advanced technology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deep technology to Indian enterprise and government deployment — strategy for advanced technology companies entering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deep technology market is emerging as one of the world's most significant — with the government's Deep Tech Startup Policy providing funding pathways, DRDO and ISRO creating institutional demand for advanced technology, India's IIT and IISc research ecosystems creating technology translation partnerships, and Indian enterprises in defence, space, healthcare, and manufacturing all investing in advanced technology adoption. International quantum computing companies, advanced materials businesses, industrial robotics providers, photonics technology companies, and precision manufacturing technology businesses are all evaluating India as a deep tech market. GreyRadius helps deep tech companies validate Indian institutional demand, access government deep tech programmes, identify research and enterprise partners, and raise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National Deep Tech Startup Policy and Technology Development Fund are both creating government-funded pathways for deep technology commercialisation and procurement. DRDO's technology indigenisation programme and ISRO's commercial expansion are both creating institutional demand for advanced technology that international deep tech companies can address through partnership and supply.",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deep tech market is projected to reach $8B by 2027 — growing at 30% annually as government funding programmes, enterprise adoption, and research commercialisation all accelerate.",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quantum computing policy and National Mission on Quantum Technologies commits $1B — creating research and early application demand for quantum hardware and software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defence modernisation is creating advanced technology demand — DRDO's Make in India initiative and defence FDI liberalisation are both creating procurement opportunities for international advanced technology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IIT and IISc research ecosystems are world-class in specific deep tech domains — joint development partnerships with Indian research institutions provide market access and technology validation simultaneously."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"Deep technology procurement cycles are extremely long — government and enterprise deep tech adoption can take 3-5 years from initial engagement to commercial deployment requiring patient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"Technology transfer and dual-use controls affect deep tech market entry — quantum, advanced materials, and photonics technologies all face export control considerations that affect India market entry structure.",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"Research partnership development requires sustained academic relationship investment — IIT and IISc partnerships take 12-24 months to develop and require dedicated technology transfer and commercialisation expertise.",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deep tech ecosystem is early-stage — most Indian deep tech startups are pre-revenue creating limited co-development and integration partnership opportunities."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deep tech demand validation|You need to validate DRDO, ISRO, CSIR, and enterprise demand for your deep technology and identify government deep tech programme funding access.",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"Government deep tech programme access|You need to understand DRDO TDF, DST, MeitY, and ISRO programme procurement opportunities for your technology category.",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deep tech research partner identification|You need IIT, IISc, and national laboratory research partners for joint development and technology validation.",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deep tech GTM strategy|You need a go-to-market plan covering government institutional procurement, enterprise early adopter development, and research partnership milestones.",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deep tech investment|You need a pitch book grounded in India deep tech programme funding data and enterprise demand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"Technology transfer and export control strategy|You need a technology transfer structure that enables India deep tech partnerships within export control compliance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government and enterprise demand for your deep technology with programme mapping and institutional buyer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deep tech investment covering programme funding access and partnership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deep tech market entry including DRDO and ISRO programme access, research partner identification, and first-institutional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deep tech GTM team covering government programme and enterprise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deep tech investment with government programme funding and enterprise demand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"Strategy for technology transfer and IP protection in Indian research partnerships."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quantum computing companies or also with advanced materials, robotics, photonics, and precision manufacturing technology companies entering India?|All deep tech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deep tech engagement take?|Typically 10–14 weeks given institutional procurement complexity and research partnership development timelines.",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DRDO and ISRO technology procurement contacts for deep tech companies?|Yes — government institutional procurement contact mapping is core to our India deep tech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should deep tech companies approach technology transfer risks in India partnerships?|IP protection strategies, joint development agreements, and technology escrow structures are all tools we develop in India deep tech partnership engagements."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deep tech market entry, India quantum computing GTM strategy, India advanced materials consulting, DRDO technology advisory, India deep technology market entry, India robotics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Bengaluru deep tech ecosystem, Pune defence manufacturing, Hyderabad advanced materials, Delhi NCR DRDO research network, Chennai IIT cluster",</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"$8B",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deep tech market by 2027",</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"Government funding programmes, enterprise adoption, and research commercialisation driving 30% annual deep tech market growth.",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deep tech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"DRDO programme officials, IIT research directors, and enterprise deep tech buyers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deep 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institutional demand research delivers India deep tech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"africa-digital-payments",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Digital Payments Market Entry Strategy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digital payment companies enter Africa with market entry strategy, central bank regulatory mapping, mobile money integration, merchant acquisition strategy, and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"Africa digital payments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payment technology to African transaction — strategy for digital payment companies entering Africa.",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digital payments market is one of the world's most dynamic — with M-Pesa demonstrating that mobile money can reach 60 million users in a single country, PAPSS creating pan-African real-time payment interoperability, QR code payments reaching rural merchants, and cross-border payment corridors carrying $100B+ annually. International digital payment companies across payment gateways, cross-border remittance platforms, merchant payment technology, and digital wallet infrastructure are all evaluating Africa as a priority digital payments market. GreyRadius helps payment companies validate African merchant and consumer demand, navigate central bank regulatory requirements, identify mobile money and bank integration partners, and execute market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digital payment adoption is crossing tipping points across multiple markets simultaneously — Nigeria's cashless policy enforcement, Kenya's M-Pesa super app evolution, and Egypt's cashless society programme are all creating commercial acceleration. The digital payment companies establishing African merchant and consumer relationships in 2024–2027 will benefit from digital payment network effects that compound as formal financial infrastructure scales.",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"Africa's digital payments market is projected to reach $200B in annual transaction value by 2028 — growing at 18% annually as mobile money, merchant payment adoption, and cross-border payment formalisation all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"Nigeria's cashless policy has accelerated digital payment adoption dramatically — the 2023 naira redesign crisis forced digital payment adoption among millions of previously cash-dependent consumers and merchants.",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"Africa's merchant payment technology is growing at 25% annually — affordable Android POS, QR code payment, and WhatsApp payment infrastructure are all reaching small merchants that card payment terminals never reached.",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African remittance is digitalising rapidly — World Remit, Wave, and Chipper Cash have collectively demonstrated that African cross-border payment can be fast, cheap, and fully digital."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"Central bank payment regulations vary across Africa — each market has different payment service provider licensing, transaction limits, and consumer protection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API integration is required but commercially complex — MTN, Airtel, and Safaricom mobile money APIs are available but commercial partnership terms require careful negotiation.",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"Merchant payment adoption requires field sales investment — acquiring African SME merchants requires on-the-ground sales teams with physical device installation capability.",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and settlement timing in African cross-border payments — managing 54 different African currencies and settlement windows adds financial complexity."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 digital payments demand validation|You need to validate merchant and consumer demand for your payment technology across priority African markets and understand central bank licensing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"Central bank payment regulatory pathway|You need to understand PSP licensing, payment aggregator requirements, and consumer protection obligations in each target African market.",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integration partner identification|You need MTN, Airtel, and Safaricom mobile money commercial partnerships and technical integration as primary payment infrastructure access.",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 digital payments GTM strategy|You need a market-by-market merchant acquisition and consumer adoption plan for your payment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digital payments|You need a pitch book grounded in Africa payment market data and digital adoption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corridor strategy|You need to identify the highest-value African payment corridors where your technology creates greatest commercial opportunity."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merchant and consumer demand for your payment technology with primary research and central bank regulatory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digital payments investment covering licensing cost and mobile money integration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digital payments market entry including regulatory pathway, mobile money partner identification, and first-merchant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digital payments GTM team covering merchant acquisition and mobile money partner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digital payments with payment adoption and cross-border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African merchant credit scoring to real-time cross-border African FX optimisation."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payment gateway companies or also with cross-border remittance, merchant POS, and digital wallet companies in Africa?|All digital payment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digital payments markets does GreyRadius prioritise?|Nigeria, Kenya, Ghana, South Africa, and Egypt as the five largest digital payment markets.",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digital payments engagement take?|Typically 6–10 weeks for market research and regulatory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MTN and Safaricom mobile money commercial partnership contacts?|Yes — mobile money operator commercial partnership identification is core to our Africa digital payments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digital payments market entry, Nigeria payment gateway GTM strategy, Kenya mobile money consulting, Africa merchant payments advisory, Africa cross-border payments market entry, Sub-Saharan digital payments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Ghana, South Africa, Egypt, Tanzania, Senegal",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"$200B",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digital payments annual transaction value by 2028",</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18% annually as mobile money, merchant payment adoption, and cross-border payment formalisation all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digital payments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"Merchants, consumers, mobile money operators, and central bank payment officials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digital payments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mapping and mobile money ecosystem research delivers Africa digital payments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"india-defence-technology",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Defence Technology &amp; Aerospace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defence technology companies and aerospace businesses enter India with market entry strategy, DRDO partnership access, defence FDI pathway, and Make in India defence programme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"India defence technology and aerospace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defence technology to Indian defence deployment — strategy for defence companies entering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defence technology market is undergoing a historic transformation — with 100% FDI permitted in defence manufacturing, the government's Make in India defence policy creating $25B+ in domestic defence procurement annually, DRDO opening technology partnership opportunities, iDEX innovation programme funding defence startups, and HAL and BEL both seeking international technology co-development partners. International defence technology companies across avionics, radar systems, electronic warfare, military communications, unmanned systems, and defence software are all evaluating India as a defence technology market. GreyRadius helps defence technology companies validate Indian procurement demand, navigate MoD and DRDO regulatory requirements, identify the right industrial partners, and raise capital for India defence investment.",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defence budget of $75B+ annually is growing at 10% per year with increasing private sector participation — the Positive Indigenisation List restricting defence imports is creating mandatory domestic procurement that international companies must serve through Make in India partnerships. The defence technology companies establishing Indian industrial partnerships in 2024–2027 will be embedded in defence supply chains that will generate procurement for decades.",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defence market is projected to reach $70B by 2027 — growing at 10% annually as defence budget growth and Make in India policy both drive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has 100% FDI permitted in defence manufacturing — enabling fully foreign-owned defence manufacturing in India for the first time and creating unprecedented investment access.",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"iDEX has funded 300+ defence technology startups — creating a domestic defence innovation ecosystem that international companies can partner with for technology integration and co-development.",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Positive Indigenisation List blocks defence imports — requiring international companies to manufacture in India or partner with Indian firms for these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"Defence procurement in India is complex — MoD capital acquisition procedure, offset policy, and DRDO qualification all create multi-year procurement timelines.",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"Technology transfer requirements are significant — Indian defence procurement often requires technology transfer to Indian partners as a condition of contract award.",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"Export control compliance for defence technology is complex — ITAR, EAR, and Indian Arms Act all create compliance requirements for international defence technology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"Strategic partnerships and industrial licences require advance planning — DIPP industrial licence for defence manufacturing takes 6-12 months to obtain."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defence technology demand validation|You need to validate MoD, DRDO, and armed forces demand for your defence technology and understand Make in India partnership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"MoD and DRDO regulatory pathway|You need to understand defence industrial licence requirements, offset policy obligations, and DRDO qualification processes for your technology category.",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defence industrial partner identification|You need DPSUs, Tier 1 defence contractors, and iDEX startup co-development partners as Indian industrial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defence technology GTM strategy|You need a go-to-market plan covering MoD capital procurement, DPSUs partnership, and iDEX programme access.",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defence technology investment|You need a pitch book grounded in India defence budget data and Make in India opportunity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"Technology transfer and IP protection strategy|You need a technology transfer structure that meets MoD requirements while protecting your core IP through joint development agreements and licensed manufacturing."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MoD and armed forces demand for your defence technology with procurement pipeline mapping and DRDO programme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defence technology investment covering industrial licence cost and offset policy obligations.",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defence technology market entry including MoD regulatory pathway, DPSU partner identification, and first-MoD-contract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defence technology GTM team covering MoD programme and DPSU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defence technology investment with Make in India and FDI liberalisation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"Technology transfer strategy — from IP protection structures to licensed manufacturing framework for Indian defence industrial partnerships."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avionics companies or also with radar, electronic warfare, UAS, and defence software companies entering India?|All defence technology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defence technology engagement take?|Typically 10–14 weeks given MoD regulatory complexity and industrial partner identification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DRDO and DPSU partnership contacts for defence technology companies?|Yes — DRDO programme and DPSU partnership identification are core to our India defence technology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Positive Indigenisation List affect defence technology market entry strategy?|The PIL restricts import of specific items requiring India manufacturing or partnership — we assess PIL implications and develop Make in India structure in every defence engagement."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defence technology market entry, India aerospace GTM strategy, Make in India defence consulting, DRDO partnership advisory, India defence FDI market entry, India military technology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Bengaluru aerospace corridor, Hyderabad defence electronics, Pune naval technology, Chennai HAL facilities, Delhi NCR MoD procurement",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"$70B",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defence market by 2027",</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"10% annual growth with Make in India policy creating mandatory domestic procurement that international companies must serve through Indian industrial partnerships.",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defence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"MoD programme officials, DRDO technology heads, and DPSU procurement managers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defence technology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MoD procurement mapping and DRDO programme research delivers India defence technology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"gulf-health-insurance-market",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"insurtech",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"Gulf Health Insurance Market Entry | GreyRadius Consulting",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health insurance companies, health insurtech businesses, and managed care organisations enter Gulf markets with market entry strategy, CCHI and DHA regulatory mapping, and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"Gulf health insurance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health insurance expertise to Gulf policyholder — strategy for health insurance companies entering the GCC.",</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health insurance market is one of the world's most commercially significant and fastest-growing — with mandatory health insurance in UAE and Saudi Arabia creating large compulsory insurance markets, government employees transitioning to private health coverage, and Vision 2030 healthcare privatisation creating new institutional health insurance demand. International health insurance companies, managed care organisations, health insurtech businesses, and health benefits technology providers are all evaluating Gulf market entry. GreyRadius helps health insurance companies validate Gulf employer and government demand, navigate CCHI and DHA regulatory requirements, identify distribution partners, and execute market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"Saudi Arabia's mandatory health insurance expansion and UAE's enhanced mandatory health coverage requirements are both creating immediate market growth. Saudi Arabia's hospital privatisation is creating new insurance procurement requirements as privatised hospital operators establish their own managed care frameworks. The health insurance companies establishing Gulf relationships in 2024–2027 will capture a market growing at 15% annually.",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health insurance market is projected to reach $25B in premiums by 2028 — growing at 15% annually as mandatory insurance expansion, population growth, and healthcare cost inflation all drive premium growth.",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CCHI manages 14 million health insurance policies — the world's largest employer-mandated health insurance programme outside India creating significant health insurance technology and management demand.",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"UAE's DHA enhanced benefit requirements are raising minimum coverage standards — creating demand for more comprehensive health insurance products and care management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"Value-based care is emerging in Gulf health insurance — payers and providers are collaborating on clinical quality programmes creating demand for health data analytics and care management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"CCHI licensing for Saudi Arabia health insurance requires significant capital and regulatory compliance — establishing a licensed health insurer in Saudi Arabia requires minimum SR 300M paid-up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"UAE health insurance licensing varies by emirate — DHA regulates Dubai, DOH regulates Abu Dhabi, and Sharjah has separate requirements creating multi-emirate compliance complexity.",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"Reinsurance requirements are significant — Gulf health insurance companies are required to reinsure significant portions of their book creating reinsurance relationship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Gulf health insurers — BUPA Arabia, AXA Gulf, and Allianz SE Gulf — with existing corporate and government relationships is intense across major UAE and Saudi health insurance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health insurance demand validation|You need to validate employer, government, and individual demand for your health insurance product and understand CCHI and DHA regulatory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"CCHI and DHA regulatory pathway|You need to understand health insurance company licensing, benefit design approval, and network adequacy requirements in Saudi Arabia and UAE.",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health insurance distribution partner identification|You need insurance brokers, TPA technology partners, and employer group HR platforms as distribution channels.",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health insurance GTM strategy|You need a go-to-market plan covering large employer group insurance, SME health insurance, and government employee coverage.",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health insurance investment|You need a pitch book grounded in Gulf health insurance market data and mandatory coverage expansion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"Health benefits technology and managed care strategy|You need a health data analytics and care management technology strategy for Gulf health insurance operations."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employer and government demand for your health insurance with primary research and CCHI regulatory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health insurance investment covering CCHI licensing capital and DHA compliance cost.",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health insurance market entry including regulatory pathway, broker partner identification, and first-employer-group-policy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health insurance GTM team covering corporate HR, government employer, and broker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health insurance investment with mandatory coverage expansion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health insurance advisory to Gulf population-specific claims fraud detection."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health insurance companies or also with health insurtech, TPA technology, and managed care organisation companies entering the Gulf?|All health insurance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Gulf health insurance markets does GreyRadius prioritise?|Saudi Arabia for CCHI mandatory insurance scale, UAE for DHA enhanced coverage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health insurance engagement take?|Typically 10–14 weeks given CCHI and DHA regulatory complexity and capital requirement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insurance broker and TPA technology partners for health insurance companies?|Yes."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health insurance market entry, Saudi Arabia CCHI GTM strategy, UAE health insurance consulting, DHA regulatory advisory, GCC health insurance market entry, Gulf managed care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CCHI-regulated employers across Kingdom, UAE — Dubai DHA and Abu Dhabi DOH, Qatar, Kuwait",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"$25B",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health insurance premiums by 2028",</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"Mandatory insurance expansion, population growth, and healthcare cost inflation driving 15% annual premium growth across GCC.",</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health insurance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corporate HR managers, CCHI officials, and insurance broker leaders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health insurance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CCHI regulatory mapping and employer demand research delivers Gulf health insurance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"india-fintech-b2b",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B2B Fintech &amp; Treasury Technology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B2B fintech companies, treasury technology businesses, and enterprise financial software providers enter India with market entry strategy, RBI regulatory mapping, enterprise buyer research, and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"India B2B fintech and treasury technology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B2B financial technology to Indian enterprise treasury — strategy for B2B fintech companies entering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B2B fintech market is growing at extraordinary speed — with enterprise treasury management technology, accounts payable and receivable automation, supply chain finance platforms, trade finance technology, and cross-border B2B payment infrastructure all seeing significant enterprise adoption. The government's Account Aggregator for business, GST e-invoicing infrastructure, and ONDC commerce network are all creating digital B2B financial infrastructure that international B2B fintech companies can build on. International treasury management system companies, supply chain finance platforms, accounts payable automation businesses, and cross-border B2B payment providers are all evaluating India as a priority B2B fintech market. GreyRadius helps B2B fintech companies validate Indian enterprise demand, navigate RBI regulatory requirements, identify enterprise buyers, and execute GTM.",</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GST e-invoicing mandate for businesses above certain turnover has created digital invoice infrastructure that B2B fintech companies can access for payables automation, supply chain finance, and working capital management. The Account Aggregator for business is creating enterprise financial data sharing that enables sophisticated B2B fintech applications. Companies accessing these infrastructure rails in 2024–2027 will build B2B fintech products that compound in value.",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B2B fintech market is projected to reach $25B by 2027 — growing at 30% annually as GST infrastructure, Account Aggregator business, and ONDC commerce all create new B2B fintech opportunity.",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has 63 million MSMEs with $500B+ in annual credit gap — creating the world's most significant supply chain finance and working capital management opportunity.",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"GST e-invoicing infrastructure covers 150,000+ businesses — creating India's first universal digital invoice data that enables receivables finance, payables automation, and trade finance applications.",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B2B payments from India are growing at 20% annually — Indian IT services exporters, merchandise exporters, and multinational subsidiaries all needing efficient USD-INR and multi-currency payment infrastructure."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"RBI payment and banking technology regulations apply to most B2B fintech functions — payment aggregation, NBFCs, and banking correspondent activities all require specific RBI approvals.",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B2B fintech sales cycles are long — Indian CFO and treasury decisions involve procurement, finance, and IT with 12-18 month evaluation timelines for treasury management systems.",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"Integration with Indian ERP and accounting systems is required — TallyPrime, SAP India, and Oracle Fusion India configurations are all required for B2B fintech to be operationally viable.",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Indian B2B fintech companies — Razorpay X, Cashfree, and Credable — with enterprise integration and distribution relationships is growing rapidly."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B2B fintech demand validation|You need to validate Indian enterprise CFO and treasury demand for your B2B fintech product and understand RBI regulatory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"RBI regulatory pathway for B2B fintech|You need to understand payment aggregation licensing, NBFC registration, and AA for business integration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B2B fintech enterprise buyer identification|You need Indian large enterprise CFO, treasury, and accounts payable technology decision-makers as initial buyers.",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B2B fintech GTM strategy|You need a go-to-market plan covering enterprise direct sales, accounting software integration channels, and CA firm distribution.",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B2B fintech|You need a pitch book grounded in India B2B fintech market data and GST infrastructure opportunity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"GST and AA business integration strategy|You need a technical strategy for integrating with India's GST e-invoice infrastructure and Account Aggregator for business to deliver data-powered B2B fintech applications."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enterprise B2B fintech demand with CFO and treasury buyer research and RBI regulatory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B2B fintech investment covering RBI compliance and enterprise sales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B2B fintech market entry including regulatory pathway, enterprise buyer identification, and first-enterprise-contract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B2B fintech GTM team covering enterprise CFO and CA firm channel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B2B fintech with GST infrastructure and AA business opportunity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automated GST reconciliation to AI-powered Indian MSME supply chain finance underwriting."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treasury management system companies or also with supply chain finance, accounts payable automation, and cross-border B2B payment companies entering India?|All B2B fintech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B2B fintech engagement take?|Typically 8–12 weeks for enterprise demand research, RBI regulatory mapping, and buyer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enterprise CFO and treasury technology buyers for B2B fintech companies?|Yes — enterprise treasury buyer identification is core to our India B2B fintech service.",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GST e-invoicing infrastructure create B2B fintech opportunity?|GST e-invoice creates universal digital invoice data that enables receivables finance, payables automation, and supply chain finance applications — we develop the GST integration strategy in every B2B fintech engagement."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B2B fintech market entry, India treasury technology GTM strategy, India supply chain finance consulting, RBI regulatory advisory, India accounts payable market entry, India cross-border B2B payments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Pune, Chennai for enterprise treasury; nationwide for MSME supply chain finance",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"$25B",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B2B fintech market by 2027",</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30% annually as GST infrastructure, AA for business, and ONDC commerce create new B2B financial technology opportunity.",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B2B fintech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CFOs, treasury managers, and RBI regulatory specialists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B2B fintech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GST infrastructure mapping and enterprise buyer research delivers India B2B fintech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"southeast-asia-ecommerce-entry",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"ecommerce-tech",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E-Commerce Market Entry Strategy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e-commerce companies enter Southeast Asia with market entry strategy, platform identification, logistics partner selection, and regulatory mapping across Indonesia, Vietnam, and Thailand.",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e-commerce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e-commerce product to ASEAN digital consumer — strategy for e-commerce companies entering Southeast Asia.",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Asia's e-commerce market is the world's fastest-growing major e-commerce market — with Shopee's 300 million users, TikTok Shop's extraordinary growth, Lazada's regional presence, and a consumer base of 680 million people increasingly accessible through digital commerce channels. International e-commerce operators, cross-border sellers, marketplace technology companies, and e-commerce enablement businesses are all evaluating Southeast Asia market entry as the region's digital consumer base grows. GreyRadius helps e-commerce companies validate Southeast Asian consumer demand, navigate the Shopee-TikTok-Lazada marketplace landscape, identify logistics partners, and execute market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"TikTok Shop's Southeast Asia expansion has created an entirely new e-commerce entry pathway — brands can reach Southeast Asian consumers through short-form video commerce without building traditional marketplace presence infrastructure. The e-commerce companies establishing Southeast Asian consumer relationships in 2024–2027 are entering before market consolidation creates winner-take-most platform dynamics in each country.",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Asia's e-commerce market is projected to reach $230B by 2026 — growing at 22% annually as smartphone penetration, mobile payment adoption, and social commerce all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"TikTok Shop has captured 20%+ of Southeast Asian e-commerce GMV in markets where it operates — making it impossible to ignore for any brand serious about Southeast Asian digital consumer acquisition.",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e-commerce from China into Southeast Asia is growing at 35% — Shein, Temu, and Taobao all growing rapidly demonstrating Southeast Asian consumer appetite for international products at competitive prices.",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"Social commerce through WhatsApp, Instagram, and Facebook continues growing — informal social selling channels still account for 40%+ of Southeast Asian online commerce creating accessible entry channels for new brands."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"Platform algorithm and commission economics vary dramatically — Shopee, TikTok Shop, and Lazada have different commission structures, advertising requirements, and algorithm dynamics that require market-specific expertise.",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"Logistics quality outside major cities is uneven — last-mile delivery reliability and cost in secondary cities of Indonesia and Philippines affect e-commerce unit economics significantly.",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"Consumer returns management is complex — Southeast Asian return rates are lower than India but differ across markets and categories requiring careful operations planning.",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requirements for foreign e-commerce sellers vary — import duties, e-commerce business registration, and marketplace seller regulations differ across Indonesia, Vietnam, and Thailand."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e-commerce demand validation|You need to validate Southeast Asian consumer demand for your product and understand which platforms and channels to prioritise.",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"Platform selection and TikTok Shop strategy|You need a platform mix strategy covering Shopee, TikTok Shop, Lazada, and social commerce channels for your specific product category.",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e-commerce logistics partner identification|You need country-specific fulfilment, last-mile, and returns management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e-commerce GTM strategy|You need a market-by-market consumer acquisition plan covering platform launch, influencer activation, and first-sales milestones.",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e-commerce|You need a pitch book grounded in ASEAN e-commerce market data and consumer adoption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e-commerce regulatory and logistics strategy|You need a cross-border shipping, customs duty, and import regulatory strategy for selling into Southeast Asia."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Southeast Asian consumer demand for your e-commerce product with primary research and platform landscape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Southeast Asia e-commerce investment covering platform economics and logistics cost.",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e-commerce market entry including platform selection, logistics partner identification, and first-sales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e-commerce GTM team covering platform activation and consumer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e-commerce with consumer demand and TikTok Shop growth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TikTok Shop content optimisation to demand forecasting across diverse Southeast Asian consumer markets."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marketplace operators or also with cross-border sellers, e-commerce brands, and marketplace technology companies entering Southeast Asia?|All e-commerce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e-commerce markets does GreyRadius prioritise?|Indonesia for volume, Vietnam for fastest growth, Thailand for premium positioning.",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e-commerce engagement take?|Typically 6–10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logistics and fulfilment partners for e-commerce companies in Southeast Asia?|Yes."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e-commerce market entry, Indonesia online retail GTM strategy, Vietnam ecommerce consulting, ASEAN marketplace advisory, Southeast Asia TikTok Shop strategy, ASEAN cross-border ecommerce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Vietnam, Thailand, Philippines, Malaysia, Singapore",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"$230B",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e-commerce market by 2026",</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22% annually as smartphone penetration, mobile payment adoption, and TikTok Shop social commerce all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e-commerce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"Southeast Asian consumers, platform managers, and logistics operators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e-commerce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platform analysis and consumer demand research delivers Southeast Asia e-commerce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"india-semiconductor-design",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Semiconductor Design &amp; Fabless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fabless semiconductor companies and chip design businesses enter India with market entry strategy, India Semiconductor Mission access, talent ecosystem mapping, and OEM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"India semiconductor design and fabless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chip design to Indian semiconductor ecosystem — strategy for fabless semiconductor companies entering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semiconductor design ecosystem is the world's most significant outside the US — with 25% of the world's chip designers based in India, 300+ semiconductor design centres including those of Intel, Qualcomm, and ARM, a government committing billions to build a complete semiconductor ecosystem, and Indian electronics manufacturing creating captive demand for India-designed chips. International fabless semiconductor companies, chip IP companies, EDA tool vendors, and semiconductor design service businesses are all evaluating India as both a talent access destination and a design ecosystem partner. GreyRadius helps semiconductor design companies validate Indian ecosystem demand, access ISM design-linked incentive programmes, identify Indian OEM and design partner opportunities, and raise capital.",</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Design Linked Incentive scheme under ISM is providing direct financial support for semiconductor design companies establishing India operations — DLI incentives of 50% of eligible expenditure for design companies create a funded entry window. India's electronics manufacturing growth under PLI is creating captive OEM demand for India-designed chips that reduces market risk for design investment.",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hosts 25% of the world's chip design talent — the world's most concentrated semiconductor design talent pool outside Silicon Valley working at 300+ MNC design centres.",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"ISM's Design Linked Incentive provides 50% cost support for semiconductor design — creating direct financial incentive for international fabless companies to establish India design operations.",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electronics manufacturing growth is creating domestic chip demand — PLI-incentivised smartphone, IT hardware, and EV manufacturing all creating OEM demand for India-designed semiconductor components.",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"India's 90,000 semiconductor engineering graduates annually are the world's largest pipeline — creating a self-sustaining talent supply for semiconductor design that compounds over time."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"Semiconductor design talent competition is intense — every major global semiconductor company competes for India's limited pool of experienced chip designers creating wage and retention challenges.",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"IP protection in India requires careful structuring — semiconductor design IP must be protected through patents, trade secrets, and employment agreements in a legal environment that is less mature than US or EU.",</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"OEM qualification for Indian-designed chips takes time — qualifying with Indian smartphone, EV, and IT hardware manufacturers requires 12-24 months of design-in and validation cycles.",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"EDA tool licensing and semiconductor design infrastructure cost is significant — setting up a productive chip design centre requires substantial upfront investment in tools, licences, and infrastructure."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semiconductor design demand validation|You need to validate ISM DLI eligibility, Indian OEM chip demand, and design partnership opportunities with Indian fabless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"ISM Design Linked Incentive access strategy|You need to understand DLI eligibility requirements, application processes, and co-investment structures for semiconductor design companies.",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semiconductor design partner identification|You need Indian OEM procurement contacts, domestic fabless companies, and Indian semiconductor design service firms as commercial partners.",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"India semiconductor design GTM strategy|You need a go-to-market plan covering DLI programme access, Indian OEM design-in, and talent acquisition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semiconductor design investment|You need a pitch book grounded in India semiconductor market data, DLI incentive analysis, and talent ecosystem opportunity.",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"Talent acquisition and retention strategy|You need a structured approach to recruiting, retaining, and developing semiconductor design talent in India's competitive talent market."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semiconductor design ecosystem demand with ISM DLI mapping and OEM procurement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semiconductor design investment including DLI incentive modelling and talent cost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semiconductor design market entry including DLI application strategy, OEM partner identification, and first-design-win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semiconductor design GTM team covering ISM, OEM, and talent ecosystem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semiconductor design investment with DLI incentive and talent ecosystem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AI-assisted chip design verification to EDA automation for Indian semiconductor design workflows."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fabless semiconductor companies or also with chip IP, EDA tool, and design service companies entering India?|All semiconductor design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semiconductor design engagement take?|Typically 8–12 weeks for DLI programme mapping, OEM demand research, and talent ecosystem assessment.",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OEM design-in opportunities and domestic fabless company partners?|Yes.",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does the Design Linked Incentive change semiconductor design market entry economics?|DLI's 50% cost support significantly reduces the financial risk of establishing India design operations — we model DLI impact in every semiconductor design feasibility assessment."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semiconductor design market entry, India fabless GTM strategy, India chip design consulting, ISM DLI advisory, India semiconductor talent strategy, India fabless market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Bengaluru semiconductor design hub, Hyderabad chip design corridor, Noida and Pune design centres",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"25%",</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chip design talent based in India",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most concentrated semiconductor design talent pool outside Silicon Valley — DLI incentives now making India the most financially supported chip design destination globally.",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semiconductor design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OEM procurement heads, ISM officials, and semiconductor design ecosystem leaders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semiconductor design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DLI programme mapping and OEM demand research delivers India semiconductor design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"gulf-healthcare-data",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"Gulf Health Data &amp; Clinical Analytics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health data analytics companies, clinical intelligence platforms, and population health management businesses enter Gulf markets with market entry strategy, MOH data access, and hospital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"Gulf health data and clinical analytics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health analytics to Gulf clinical intelligence — strategy for health data companies entering the GCC.",</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health data and clinical analytics market is growing at extraordinary speed — with Gulf governments investing in national health data platforms, hospital systems digitising at record pace, AI diagnostics being deployed in major Gulf clinical institutions, and population health management becoming a strategic priority for Vision 2030 healthcare transformation. International health data analytics companies, clinical intelligence platforms, population health management businesses, and real-world evidence companies are all evaluating Gulf market entry. GreyRadius helps health data companies validate Gulf Ministry and hospital demand, navigate health data regulatory requirements, identify clinical data access partnerships, and execute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national health data platforms are being built — Saudi Arabia's National Health Information Center, UAE's Malaffi HIE, and Qatar's integrated health information system are all creating government health data infrastructure that analytics companies can access through formal partnership. The health data companies establishing Gulf Ministry and hospital relationships in 2024–2027 will have privileged access to the richest clinical datasets in the Arab world.",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health data market is projected to reach B by 2028 — growing at 22% annually as national health data platforms, AI clinical analytics, and population health management all scale.",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"UAE's Malaffi health information exchange has connected 5,000+ providers — creating one of the world's most comprehensive regional clinical data platforms available for analytics and research partnerships.",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NHIC is creating a national patient longitudinal record — linking all Saudi patient data across 370+ hospitals and creating a research and analytics asset of extraordinary value.",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diabetes, cardiovascular, and cancer data is globally significant — Gulf disease burden in cardiometabolic conditions combined with high treatment rates creates exceptional clinical research datasets."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"Health data access in Gulf requires government MOH partnership — accessing Malaffi, NHIC, and Qatar Health data requires formal data sharing agreements with Ministry approval that take 12-24 months.",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"Patient data privacy regulations apply — UAE PDPL and Saudi personal data protection law both create compliance requirements for health data processing and analytics.",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clinical data preparation is required — clinical notes, discharge summaries, and patient records in Arabic require NLP preparation before analytics can be applied.",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clinical analytics companies — Cerner Health Analytics, Oracle Health, and Philips Clinical Informatics — with Gulf hospital relationships is growing."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health data demand validation|You need to validate Gulf Ministry, hospital, and insurance company demand for your health analytics product and understand data access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"MOH health data access and regulatory pathway|You need to understand Malaffi data partnership, NHIC data access, and health data privacy compliance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health data partner identification|You need Ministry of Health data platform teams, hospital clinical informatics heads, and health insurance company analytics buyers.",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"Gulf health data GTM strategy|You need a go-to-market plan covering government health platform partnership, private hospital analytics procurement, and insurance population health management.",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health data investment|You need a pitch book grounded in Gulf clinical data infrastructure and analytics demand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"Arabic clinical NLP and data preparation strategy|You need a strategy for processing Arabic clinical text data including medical terminology standardisation and NLP model development."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Ministry and hospital demand for your health analytics with MOH platform mapping and clinical informatics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health data investment covering data access timelines and Arabic NLP development cost.",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health data market entry including MOH data partnership pathway, hospital partner identification, and first analytics deployment.",</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health data GTM team covering Ministry health platform and hospital clinical informatics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health data investment with national health data platform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"Arabic clinical analytics strategy — from Arabic medical NLP development to Gulf population-specific disease risk model calibration."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clinical analytics companies or also with population health management, real-world evidence, and health AI companies in the Gulf?|All health data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Gulf health data markets does GreyRadius prioritise?|UAE for Malaffi HIE access, Saudi Arabia for NHIC national platform partnership.",</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health data engagement take?|Typically 8–12 weeks for MOH platform mapping and hospital demand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Malaffi and NHIC data partnership contacts for health analytics companies?|Yes."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health data market entry, Saudi Arabia clinical analytics GTM strategy, UAE health AI consulting, Malaffi data partnership advisory, GCC health data market entry, Gulf population health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Malaffi HIE partnership Abu Dhabi and Dubai, Saudi Arabia — NHIC Riyadh, Qatar",</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health data and analytics market by 2028",</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"National health data platforms, AI clinical analytics, and population health management driving 22% annual growth.",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health data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"MOH health data officials, hospital clinical informatics heads, and health insurance analytics buyers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health data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MOH platform mapping and clinical analytics research delivers Gulf health data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"slug": "africa-insurance-market-entry",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"parent": "insurtech",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Insurance &amp; Insurtech Market Entry | GreyRadius",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insurance companies and insurtech businesses enter Africa with market entry strategy, IRA and NAICOM regulatory mapping, mobile insurance integration, and partner identification across Nigeria, Kenya, and South Africa.",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"h1": "Africa insurance and insurtech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insurance product to African policyholder — strategy for insurance companies entering Africa.",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insurance market is one of the world's most underserved and fastest-growing — with insurance penetration below 3% of GDP across most Sub-Saharan markets, 1.4 billion people with virtually no formal insurance coverage, mobile money creating accessible mass-market insurance distribution, and parametric insurance demonstrating that innovative products can achieve rapid African adoption. International insurance companies, microinsurance platforms, agricultural insurance technology businesses, and embedded insurance providers are all evaluating Africa as a priority insurance market. GreyRadius helps insurance companies validate African consumer demand, navigate NAICOM, IRA, and FSCA regulatory requirements, identify mobile money distribution partners, and execute market entry.",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"Mobile insurance in Africa is growing at 40% annually — M-Tiba health insurance in Kenya, MTN insurance partnerships in West Africa, and Airtel Africa insurance products are all demonstrating the commercial model for mobile-distributed African insurance. The insurance companies establishing African mobile money distribution relationships in 2024–2027 are creating the distribution infrastructure that defines African insurance market structure for decades.",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"Africa's insurance market is projected to reach 00B in premiums by 2030 — growing at 10% annually as mobile money distribution, rising incomes, and government insurance awareness programmes all drive adoption.",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"Kenya's M-Tiba health insurance has enrolled 4 million people — demonstrating that mobile money-distributed health insurance can achieve mass-market adoption in Africa at low premium price points.",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"Agricultural insurance is growing at 25%+ — parametric crop insurance linked to weather stations and satellite data is achieving African farmer adoption that traditional indemnity insurance never achieved.",</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 has Africa's most sophisticated insurance market — Lloyd's-quality underwriting, bancassurance distribution, and sophisticated actuarial infrastructure creating a premium market accessible to international insurers."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"Insurance regulatory requirements vary across Africa — NAICOM in Nigeria, IRA in Kenya, FSCA in South Africa, and similar bodies in other markets all have different insurance company licensing requirements.",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"African consumer trust in insurance is low — historical mis-selling, slow claims payment, and complexity have created consumer scepticism requiring transparent, simple products and fast claims.",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"Agricultural insurance data quality is limited — soil data, farm boundary information, and yield history are all incomplete across most African farming areas affecting agricultural insurance pricing accuracy.",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South African and Kenyan insurance companies expanding regionally — Old Mutual, Jubilee Insurance, and African Life are all expanding across Sub-Saharan Africa with established regulatory and distribution relationships."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 insurance demand validation|You need to validate African consumer and agricultural demand for your insurance product and understand NAICOM, IRA, and FSCA regulatory pathway.",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 per market|You need country-specific insurance licensing, product approval, and consumer protection compliance requirements across your target African markets.",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insurance distribution partner identification|You need MTN, Airtel, and Safaricom mobile money insurance distribution partnerships as primary mass-market channels.",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"Africa insurance GTM strategy|You need a market-by-market consumer acquisition plan covering mobile, bancassurance, and embedded channels.",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insurance investment|You need a pitch book grounded in Africa insurance penetration gap data and mobile distribution analysis.",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"Agricultural insurance product and data strategy|You need a parametric agricultural insurance product design and satellite data strategy for African smallholder farmer markets."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consumer and agricultural demand for your insurance product with primary research and regulatory mapping.",</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insurance investment covering regulatory compliance and mobile distribution economics.",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insurance market entry including regulatory pathway, mobile money partner identification, and first-policyholder milestone.",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insurance GTM team covering mobile operator and bancassurance outreach.",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insurance with mobile distribution and penetration gap narrative.",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satellite-based African crop insurance MRV to automated mobile claims processing in local languages."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life insurance companies or also with health insurance, agricultural insurance, and insurtech platform companies entering Africa?|All insurance categories.",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insurance markets does GreyRadius prioritise?|Nigeria, Kenya, and South Africa as the three largest markets covering West, East, and Southern Africa.",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insurance engagement take?|Typically 8–12 weeks for multi-market regulatory mapping and mobile distribution partner identification.",</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MTN and Airtel mobile money insurance distribution partners in Africa?|Yes."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insurance market entry, Nigeria NAICOM GTM strategy, Kenya insurance consulting, Africa microinsurance advisory, Africa agricultural insurance market entry, Sub-Saharan insurtech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South Africa, Ghana, Tanzania, Rwanda, Ethiopia",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"stat1n": "00B",</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insurance premiums by 2030",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"stat1b": "Mobile money distribution, rising incomes, and government awareness driving 10% annual insurance market growth across Africa.",</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insurance mandate",</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"stat2b": "African consumers, mobile money insurance heads, and insurance regulators — every engagement grounded in direct primary research.",</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insurance market entry strategy",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mobile distribution research and regulatory mapping delivers Africa insurance market entry strategies efficiently."</w:t>
      </w:r>
    </w:p>
    <w:p w:rsidR="00052A39"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052A39" w:rsidRDefault="00000000">
      <w:pPr>
        <w:shd w:val="clear" w:color="auto" w:fill="F0F0F0"/>
        <w:spacing w:before="14" w:after="14"/>
        <w:ind w:left="360"/>
      </w:pPr>
      <w:r>
        <w:rPr>
          <w:rFonts w:ascii="Courier New" w:eastAsia="Courier New" w:hAnsi="Courier New" w:cs="Courier New"/>
          <w:color w:val="1B2A4A"/>
          <w:sz w:val="16"/>
          <w:szCs w:val="16"/>
        </w:rPr>
        <w:t>]</w:t>
      </w:r>
    </w:p>
    <w:p w:rsidR="00052A39" w:rsidRDefault="00052A39">
      <w:pPr>
        <w:pBdr>
          <w:bottom w:val="single" w:sz="8" w:space="1" w:color="1B2A4A"/>
        </w:pBdr>
        <w:spacing w:before="200" w:after="200"/>
      </w:pPr>
    </w:p>
    <w:p w:rsidR="00052A39" w:rsidRDefault="00000000">
      <w:pPr>
        <w:pStyle w:val="Heading1"/>
      </w:pPr>
      <w:r>
        <w:t>Running total — all batches</w:t>
      </w:r>
    </w:p>
    <w:p w:rsidR="00052A39" w:rsidRDefault="00000000">
      <w:pPr>
        <w:spacing w:before="60" w:after="60"/>
      </w:pPr>
      <w:r>
        <w:rPr>
          <w:color w:val="222222"/>
        </w:rPr>
        <w:t>Batches 1–17:    299 pages</w:t>
      </w:r>
    </w:p>
    <w:p w:rsidR="00052A39" w:rsidRDefault="00000000">
      <w:pPr>
        <w:spacing w:before="60" w:after="60"/>
      </w:pPr>
      <w:r>
        <w:rPr>
          <w:color w:val="222222"/>
        </w:rPr>
        <w:t>Batch 18:         20 pages</w:t>
      </w:r>
    </w:p>
    <w:p w:rsidR="00052A39" w:rsidRDefault="00000000">
      <w:pPr>
        <w:spacing w:before="60" w:after="60"/>
      </w:pPr>
      <w:r>
        <w:rPr>
          <w:color w:val="222222"/>
        </w:rPr>
        <w:t>Grand total:     319 pages fully written</w:t>
      </w:r>
    </w:p>
    <w:p w:rsidR="00052A39" w:rsidRDefault="00052A39">
      <w:pPr>
        <w:spacing w:before="60" w:after="60"/>
      </w:pPr>
    </w:p>
    <w:p w:rsidR="00052A39" w:rsidRDefault="00000000">
      <w:pPr>
        <w:spacing w:before="60" w:after="60"/>
      </w:pPr>
      <w:r>
        <w:rPr>
          <w:color w:val="222222"/>
        </w:rPr>
        <w:t>400-page target: 81 pages remaining. Continue with Batch 19.</w:t>
      </w:r>
    </w:p>
    <w:p w:rsidR="00052A39" w:rsidRDefault="00000000">
      <w:pPr>
        <w:spacing w:before="400"/>
      </w:pPr>
      <w:r>
        <w:rPr>
          <w:i/>
          <w:iCs/>
          <w:color w:val="666666"/>
          <w:sz w:val="16"/>
          <w:szCs w:val="16"/>
        </w:rPr>
        <w:t>GreyRadius Consulting | SEO Build Pack Batch 18 | June 2026 | Confidential</w:t>
      </w:r>
    </w:p>
    <w:sectPr w:rsidR="00052A3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62EE0"/>
    <w:multiLevelType w:val="hybridMultilevel"/>
    <w:tmpl w:val="2B90C032"/>
    <w:lvl w:ilvl="0" w:tplc="F0F0B984">
      <w:start w:val="1"/>
      <w:numFmt w:val="bullet"/>
      <w:lvlText w:val="•"/>
      <w:lvlJc w:val="left"/>
      <w:pPr>
        <w:ind w:left="720" w:hanging="360"/>
      </w:pPr>
    </w:lvl>
    <w:lvl w:ilvl="1" w:tplc="A49452BE">
      <w:numFmt w:val="decimal"/>
      <w:lvlText w:val=""/>
      <w:lvlJc w:val="left"/>
    </w:lvl>
    <w:lvl w:ilvl="2" w:tplc="CFDA8814">
      <w:numFmt w:val="decimal"/>
      <w:lvlText w:val=""/>
      <w:lvlJc w:val="left"/>
    </w:lvl>
    <w:lvl w:ilvl="3" w:tplc="0F3CB460">
      <w:numFmt w:val="decimal"/>
      <w:lvlText w:val=""/>
      <w:lvlJc w:val="left"/>
    </w:lvl>
    <w:lvl w:ilvl="4" w:tplc="6A84C788">
      <w:numFmt w:val="decimal"/>
      <w:lvlText w:val=""/>
      <w:lvlJc w:val="left"/>
    </w:lvl>
    <w:lvl w:ilvl="5" w:tplc="34F2848A">
      <w:numFmt w:val="decimal"/>
      <w:lvlText w:val=""/>
      <w:lvlJc w:val="left"/>
    </w:lvl>
    <w:lvl w:ilvl="6" w:tplc="284C4C34">
      <w:numFmt w:val="decimal"/>
      <w:lvlText w:val=""/>
      <w:lvlJc w:val="left"/>
    </w:lvl>
    <w:lvl w:ilvl="7" w:tplc="BC34C784">
      <w:numFmt w:val="decimal"/>
      <w:lvlText w:val=""/>
      <w:lvlJc w:val="left"/>
    </w:lvl>
    <w:lvl w:ilvl="8" w:tplc="962CA98E">
      <w:numFmt w:val="decimal"/>
      <w:lvlText w:val=""/>
      <w:lvlJc w:val="left"/>
    </w:lvl>
  </w:abstractNum>
  <w:abstractNum w:abstractNumId="1" w15:restartNumberingAfterBreak="0">
    <w:nsid w:val="14D97A2F"/>
    <w:multiLevelType w:val="hybridMultilevel"/>
    <w:tmpl w:val="461AD448"/>
    <w:lvl w:ilvl="0" w:tplc="7E8C2FC8">
      <w:start w:val="1"/>
      <w:numFmt w:val="bullet"/>
      <w:lvlText w:val="●"/>
      <w:lvlJc w:val="left"/>
      <w:pPr>
        <w:ind w:left="720" w:hanging="360"/>
      </w:pPr>
    </w:lvl>
    <w:lvl w:ilvl="1" w:tplc="77D6BB06">
      <w:start w:val="1"/>
      <w:numFmt w:val="bullet"/>
      <w:lvlText w:val="○"/>
      <w:lvlJc w:val="left"/>
      <w:pPr>
        <w:ind w:left="1440" w:hanging="360"/>
      </w:pPr>
    </w:lvl>
    <w:lvl w:ilvl="2" w:tplc="624EE214">
      <w:start w:val="1"/>
      <w:numFmt w:val="bullet"/>
      <w:lvlText w:val="■"/>
      <w:lvlJc w:val="left"/>
      <w:pPr>
        <w:ind w:left="2160" w:hanging="360"/>
      </w:pPr>
    </w:lvl>
    <w:lvl w:ilvl="3" w:tplc="BD06445E">
      <w:start w:val="1"/>
      <w:numFmt w:val="bullet"/>
      <w:lvlText w:val="●"/>
      <w:lvlJc w:val="left"/>
      <w:pPr>
        <w:ind w:left="2880" w:hanging="360"/>
      </w:pPr>
    </w:lvl>
    <w:lvl w:ilvl="4" w:tplc="17EE8D36">
      <w:start w:val="1"/>
      <w:numFmt w:val="bullet"/>
      <w:lvlText w:val="○"/>
      <w:lvlJc w:val="left"/>
      <w:pPr>
        <w:ind w:left="3600" w:hanging="360"/>
      </w:pPr>
    </w:lvl>
    <w:lvl w:ilvl="5" w:tplc="B94AFC94">
      <w:start w:val="1"/>
      <w:numFmt w:val="bullet"/>
      <w:lvlText w:val="■"/>
      <w:lvlJc w:val="left"/>
      <w:pPr>
        <w:ind w:left="4320" w:hanging="360"/>
      </w:pPr>
    </w:lvl>
    <w:lvl w:ilvl="6" w:tplc="6B8E9722">
      <w:start w:val="1"/>
      <w:numFmt w:val="bullet"/>
      <w:lvlText w:val="●"/>
      <w:lvlJc w:val="left"/>
      <w:pPr>
        <w:ind w:left="5040" w:hanging="360"/>
      </w:pPr>
    </w:lvl>
    <w:lvl w:ilvl="7" w:tplc="86AC11C2">
      <w:start w:val="1"/>
      <w:numFmt w:val="bullet"/>
      <w:lvlText w:val="●"/>
      <w:lvlJc w:val="left"/>
      <w:pPr>
        <w:ind w:left="5760" w:hanging="360"/>
      </w:pPr>
    </w:lvl>
    <w:lvl w:ilvl="8" w:tplc="8FB81E30">
      <w:start w:val="1"/>
      <w:numFmt w:val="bullet"/>
      <w:lvlText w:val="●"/>
      <w:lvlJc w:val="left"/>
      <w:pPr>
        <w:ind w:left="6480" w:hanging="360"/>
      </w:pPr>
    </w:lvl>
  </w:abstractNum>
  <w:num w:numId="1" w16cid:durableId="1289582375">
    <w:abstractNumId w:val="1"/>
    <w:lvlOverride w:ilvl="0">
      <w:startOverride w:val="1"/>
    </w:lvlOverride>
  </w:num>
  <w:num w:numId="2" w16cid:durableId="630862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39"/>
    <w:rsid w:val="00052A39"/>
    <w:rsid w:val="00197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2C42E57-5C3D-2746-8BD8-7D0A1A55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23147</Words>
  <Characters>131940</Characters>
  <Application>Microsoft Office Word</Application>
  <DocSecurity>0</DocSecurity>
  <Lines>1099</Lines>
  <Paragraphs>309</Paragraphs>
  <ScaleCrop>false</ScaleCrop>
  <Company/>
  <LinksUpToDate>false</LinksUpToDate>
  <CharactersWithSpaces>154778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2026-06-06T04:28:00Z</dcterms:created>
  <dcterms:modified xsi:type="dcterms:W3CDTF">2026-06-06T04:28:00Z</dcterms:modified>
</cp:coreProperties>
</file>