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2F24" w:rsidRDefault="00000000">
      <w:pPr>
        <w:spacing w:before="1440" w:after="80"/>
      </w:pPr>
      <w:r>
        <w:rPr>
          <w:b/>
          <w:bCs/>
          <w:color w:val="1B2A4A"/>
          <w:sz w:val="52"/>
          <w:szCs w:val="52"/>
        </w:rPr>
        <w:t>GREYRADIUS CONSULTING</w:t>
      </w:r>
    </w:p>
    <w:p w:rsidR="00262F24" w:rsidRDefault="00000000">
      <w:pPr>
        <w:spacing w:after="80"/>
      </w:pPr>
      <w:r>
        <w:rPr>
          <w:color w:val="E8612C"/>
          <w:sz w:val="30"/>
          <w:szCs w:val="30"/>
        </w:rPr>
        <w:t>SEO Build Pack — Batch 19: Pillar Pages + Gap Fill</w:t>
      </w:r>
    </w:p>
    <w:p w:rsidR="00262F24" w:rsidRDefault="00000000">
      <w:pPr>
        <w:spacing w:after="80"/>
      </w:pPr>
      <w:r>
        <w:rPr>
          <w:b/>
          <w:bCs/>
          <w:color w:val="2E7D32"/>
          <w:sz w:val="22"/>
          <w:szCs w:val="22"/>
        </w:rPr>
        <w:t>VERIFIED: 20 pages | 20 unique slugs | No duplicates | Match confirmed</w:t>
      </w:r>
    </w:p>
    <w:p w:rsidR="00262F24" w:rsidRDefault="00000000">
      <w:pPr>
        <w:spacing w:after="200"/>
      </w:pPr>
      <w:r>
        <w:rPr>
          <w:b/>
          <w:bCs/>
          <w:color w:val="E8612C"/>
        </w:rPr>
        <w:t>Save JSON as: data/industry-pages-batch19.json</w:t>
      </w:r>
    </w:p>
    <w:p w:rsidR="00262F24" w:rsidRDefault="00000000">
      <w:pPr>
        <w:spacing w:after="600"/>
      </w:pPr>
      <w:r>
        <w:rPr>
          <w:i/>
          <w:iCs/>
          <w:color w:val="666666"/>
          <w:sz w:val="18"/>
          <w:szCs w:val="18"/>
        </w:rPr>
        <w:t>June 2026 | Confidential</w:t>
      </w:r>
    </w:p>
    <w:p w:rsidR="00262F24" w:rsidRDefault="00262F24">
      <w:pPr>
        <w:pBdr>
          <w:bottom w:val="single" w:sz="8" w:space="1" w:color="1B2A4A"/>
        </w:pBdr>
        <w:spacing w:before="200" w:after="200"/>
      </w:pPr>
    </w:p>
    <w:p w:rsidR="00262F24" w:rsidRDefault="00000000">
      <w:pPr>
        <w:pStyle w:val="Heading1"/>
      </w:pPr>
      <w:r>
        <w:t>About Batch 19</w:t>
      </w:r>
    </w:p>
    <w:p w:rsidR="00262F24" w:rsidRDefault="00000000">
      <w:pPr>
        <w:spacing w:before="60" w:after="60"/>
      </w:pPr>
      <w:r>
        <w:rPr>
          <w:color w:val="222222"/>
        </w:rPr>
        <w:t>This is the pilot-close batch. It fills the most important structural gaps in the GreyRadius SEO architecture before the site launches.</w:t>
      </w:r>
    </w:p>
    <w:p w:rsidR="00262F24" w:rsidRDefault="00000000">
      <w:pPr>
        <w:spacing w:before="60" w:after="60"/>
      </w:pPr>
      <w:r>
        <w:rPr>
          <w:color w:val="222222"/>
        </w:rPr>
        <w:t>Unlike Batches 1–18 which were primarily Tier 3 market entry pages, Batch 19 contains:</w:t>
      </w:r>
    </w:p>
    <w:p w:rsidR="00262F24" w:rsidRDefault="00000000">
      <w:pPr>
        <w:pStyle w:val="ListParagraph"/>
        <w:numPr>
          <w:ilvl w:val="0"/>
          <w:numId w:val="2"/>
        </w:numPr>
        <w:spacing w:before="40" w:after="40"/>
      </w:pPr>
      <w:r>
        <w:rPr>
          <w:color w:val="222222"/>
        </w:rPr>
        <w:t>5 Tier 1 pillar pages — homepage-equivalent pages for the firm, India, Gulf, Africa, and Southeast Asia that all Tier 3 pages link up to</w:t>
      </w:r>
    </w:p>
    <w:p w:rsidR="00262F24" w:rsidRDefault="00000000">
      <w:pPr>
        <w:pStyle w:val="ListParagraph"/>
        <w:numPr>
          <w:ilvl w:val="0"/>
          <w:numId w:val="2"/>
        </w:numPr>
        <w:spacing w:before="40" w:after="40"/>
      </w:pPr>
      <w:r>
        <w:rPr>
          <w:color w:val="222222"/>
        </w:rPr>
        <w:t>7 Tier 2 service and geography guide pages — service-level and geography-level pillar pages that sit between Tier 1 and Tier 3</w:t>
      </w:r>
    </w:p>
    <w:p w:rsidR="00262F24" w:rsidRDefault="00000000">
      <w:pPr>
        <w:pStyle w:val="ListParagraph"/>
        <w:numPr>
          <w:ilvl w:val="0"/>
          <w:numId w:val="2"/>
        </w:numPr>
        <w:spacing w:before="40" w:after="40"/>
      </w:pPr>
      <w:r>
        <w:rPr>
          <w:color w:val="222222"/>
        </w:rPr>
        <w:t>8 Tier 3 deep-dive pages — high-value gap-fill pages covering distribution, pricing, buyer behaviour, and localisation</w:t>
      </w:r>
    </w:p>
    <w:p w:rsidR="00262F24" w:rsidRDefault="00000000">
      <w:pPr>
        <w:spacing w:before="60" w:after="60"/>
      </w:pPr>
      <w:r>
        <w:rPr>
          <w:color w:val="222222"/>
        </w:rPr>
        <w:t>These pages are architecturally the most important in the system — they capture high-intent generic search traffic and pass authority to the Tier 3 pages through internal links.</w:t>
      </w:r>
    </w:p>
    <w:p w:rsidR="00262F24" w:rsidRDefault="00000000">
      <w:pPr>
        <w:spacing w:before="60" w:after="60"/>
      </w:pPr>
      <w:r>
        <w:rPr>
          <w:i/>
          <w:iCs/>
          <w:color w:val="666666"/>
          <w:sz w:val="18"/>
          <w:szCs w:val="18"/>
        </w:rPr>
        <w:t>All Tier 1 and Tier 2 pages should be added to primary navigation and linked from the homepage. Their sitemap priority is 0.8–0.9.</w:t>
      </w:r>
    </w:p>
    <w:p w:rsidR="00262F24" w:rsidRDefault="00262F24">
      <w:pPr>
        <w:pBdr>
          <w:bottom w:val="single" w:sz="8" w:space="1" w:color="1B2A4A"/>
        </w:pBdr>
        <w:spacing w:before="200" w:after="200"/>
      </w:pPr>
    </w:p>
    <w:p w:rsidR="00262F24" w:rsidRDefault="00000000">
      <w:pPr>
        <w:pStyle w:val="Heading1"/>
      </w:pPr>
      <w:r>
        <w:t>Section 1: Page index — all 20 pages</w:t>
      </w:r>
    </w:p>
    <w:p w:rsidR="00262F24" w:rsidRDefault="00000000">
      <w:pPr>
        <w:spacing w:before="60" w:after="60"/>
      </w:pPr>
      <w:r>
        <w:rPr>
          <w:i/>
          <w:iCs/>
          <w:color w:val="666666"/>
          <w:sz w:val="18"/>
          <w:szCs w:val="18"/>
        </w:rPr>
        <w:t>20 unique slugs confirmed. No duplicates.</w:t>
      </w:r>
    </w:p>
    <w:p w:rsidR="00262F24" w:rsidRDefault="00000000">
      <w:pPr>
        <w:pStyle w:val="Heading2"/>
      </w:pPr>
      <w:r>
        <w:t>Tier 1 pillar pages (5) — highest priority for navigation and internal linking</w:t>
      </w:r>
    </w:p>
    <w:p w:rsidR="00262F24" w:rsidRDefault="00000000">
      <w:pPr>
        <w:pStyle w:val="ListParagraph"/>
        <w:numPr>
          <w:ilvl w:val="0"/>
          <w:numId w:val="2"/>
        </w:numPr>
        <w:spacing w:before="40" w:after="40"/>
      </w:pPr>
      <w:r>
        <w:rPr>
          <w:color w:val="222222"/>
        </w:rPr>
        <w:t>[T1] Market entry consulting    → industries/services/market-entry-consulting.html</w:t>
      </w:r>
    </w:p>
    <w:p w:rsidR="00262F24" w:rsidRDefault="00000000">
      <w:pPr>
        <w:pStyle w:val="ListParagraph"/>
        <w:numPr>
          <w:ilvl w:val="0"/>
          <w:numId w:val="2"/>
        </w:numPr>
        <w:spacing w:before="40" w:after="40"/>
      </w:pPr>
      <w:r>
        <w:rPr>
          <w:color w:val="222222"/>
        </w:rPr>
        <w:t>[T1] India market entry strategy    → industries/geographies/india-market-entry.html</w:t>
      </w:r>
    </w:p>
    <w:p w:rsidR="00262F24" w:rsidRDefault="00000000">
      <w:pPr>
        <w:pStyle w:val="ListParagraph"/>
        <w:numPr>
          <w:ilvl w:val="0"/>
          <w:numId w:val="2"/>
        </w:numPr>
        <w:spacing w:before="40" w:after="40"/>
      </w:pPr>
      <w:r>
        <w:rPr>
          <w:color w:val="222222"/>
        </w:rPr>
        <w:t>[T1] Gulf market entry strategy    → industries/geographies/gulf-market-entry.html</w:t>
      </w:r>
    </w:p>
    <w:p w:rsidR="00262F24" w:rsidRDefault="00000000">
      <w:pPr>
        <w:pStyle w:val="ListParagraph"/>
        <w:numPr>
          <w:ilvl w:val="0"/>
          <w:numId w:val="2"/>
        </w:numPr>
        <w:spacing w:before="40" w:after="40"/>
      </w:pPr>
      <w:r>
        <w:rPr>
          <w:color w:val="222222"/>
        </w:rPr>
        <w:t>[T1] Africa market entry strategy    → industries/geographies/africa-market-entry.html</w:t>
      </w:r>
    </w:p>
    <w:p w:rsidR="00262F24" w:rsidRDefault="00000000">
      <w:pPr>
        <w:pStyle w:val="ListParagraph"/>
        <w:numPr>
          <w:ilvl w:val="0"/>
          <w:numId w:val="2"/>
        </w:numPr>
        <w:spacing w:before="40" w:after="40"/>
      </w:pPr>
      <w:r>
        <w:rPr>
          <w:color w:val="222222"/>
        </w:rPr>
        <w:t>[T1] Southeast Asia market entry strategy    → industries/geographies/southeast-asia-market-entry.html</w:t>
      </w:r>
    </w:p>
    <w:p w:rsidR="00262F24" w:rsidRDefault="00000000">
      <w:pPr>
        <w:pStyle w:val="Heading2"/>
      </w:pPr>
      <w:r>
        <w:t>Tier 2 service and geography guide pages (7)</w:t>
      </w:r>
    </w:p>
    <w:p w:rsidR="00262F24" w:rsidRDefault="00000000">
      <w:pPr>
        <w:pStyle w:val="ListParagraph"/>
        <w:numPr>
          <w:ilvl w:val="0"/>
          <w:numId w:val="2"/>
        </w:numPr>
        <w:spacing w:before="40" w:after="40"/>
      </w:pPr>
      <w:r>
        <w:rPr>
          <w:color w:val="222222"/>
        </w:rPr>
        <w:t>[T2] Opportunity assessment    → industries/services/opportunity-assessment-service.html</w:t>
      </w:r>
    </w:p>
    <w:p w:rsidR="00262F24" w:rsidRDefault="00000000">
      <w:pPr>
        <w:pStyle w:val="ListParagraph"/>
        <w:numPr>
          <w:ilvl w:val="0"/>
          <w:numId w:val="2"/>
        </w:numPr>
        <w:spacing w:before="40" w:after="40"/>
      </w:pPr>
      <w:r>
        <w:rPr>
          <w:color w:val="222222"/>
        </w:rPr>
        <w:t>[T2] GTM execution-as-a-service    → industries/services/gtm-execution-service.html</w:t>
      </w:r>
    </w:p>
    <w:p w:rsidR="00262F24" w:rsidRDefault="00000000">
      <w:pPr>
        <w:pStyle w:val="ListParagraph"/>
        <w:numPr>
          <w:ilvl w:val="0"/>
          <w:numId w:val="2"/>
        </w:numPr>
        <w:spacing w:before="40" w:after="40"/>
      </w:pPr>
      <w:r>
        <w:rPr>
          <w:color w:val="222222"/>
        </w:rPr>
        <w:t>[T2] Pitchbook and fundraising support    → industries/services/pitchbook-fundraising-service.html</w:t>
      </w:r>
    </w:p>
    <w:p w:rsidR="00262F24" w:rsidRDefault="00000000">
      <w:pPr>
        <w:pStyle w:val="ListParagraph"/>
        <w:numPr>
          <w:ilvl w:val="0"/>
          <w:numId w:val="2"/>
        </w:numPr>
        <w:spacing w:before="40" w:after="40"/>
      </w:pPr>
      <w:r>
        <w:rPr>
          <w:color w:val="222222"/>
        </w:rPr>
        <w:lastRenderedPageBreak/>
        <w:t>[T2] Feasibility study and technical economic viability    → industries/services/feasibility-tev-service.html</w:t>
      </w:r>
    </w:p>
    <w:p w:rsidR="00262F24" w:rsidRDefault="00000000">
      <w:pPr>
        <w:pStyle w:val="ListParagraph"/>
        <w:numPr>
          <w:ilvl w:val="0"/>
          <w:numId w:val="2"/>
        </w:numPr>
        <w:spacing w:before="40" w:after="40"/>
      </w:pPr>
      <w:r>
        <w:rPr>
          <w:color w:val="222222"/>
        </w:rPr>
        <w:t>[T2] AI consulting and transformation    → industries/services/ai-consulting-transformation.html</w:t>
      </w:r>
    </w:p>
    <w:p w:rsidR="00262F24" w:rsidRDefault="00000000">
      <w:pPr>
        <w:pStyle w:val="ListParagraph"/>
        <w:numPr>
          <w:ilvl w:val="0"/>
          <w:numId w:val="2"/>
        </w:numPr>
        <w:spacing w:before="40" w:after="40"/>
      </w:pPr>
      <w:r>
        <w:rPr>
          <w:color w:val="222222"/>
        </w:rPr>
        <w:t>[T2] Vision 2030 commercial opportunities for international companies    → industries/geographies/gulf-vision-2030-opportunities.html</w:t>
      </w:r>
    </w:p>
    <w:p w:rsidR="00262F24" w:rsidRDefault="00000000">
      <w:pPr>
        <w:pStyle w:val="ListParagraph"/>
        <w:numPr>
          <w:ilvl w:val="0"/>
          <w:numId w:val="2"/>
        </w:numPr>
        <w:spacing w:before="40" w:after="40"/>
      </w:pPr>
      <w:r>
        <w:rPr>
          <w:color w:val="222222"/>
        </w:rPr>
        <w:t>[T2] India regulatory guide for international companies    → industries/geographies/india-regulatory-guide.html</w:t>
      </w:r>
    </w:p>
    <w:p w:rsidR="00262F24" w:rsidRDefault="00000000">
      <w:pPr>
        <w:pStyle w:val="ListParagraph"/>
        <w:numPr>
          <w:ilvl w:val="0"/>
          <w:numId w:val="2"/>
        </w:numPr>
        <w:spacing w:before="40" w:after="40"/>
      </w:pPr>
      <w:r>
        <w:rPr>
          <w:color w:val="222222"/>
        </w:rPr>
        <w:t>[T2] India enterprise buyer guide for international technology companies    → industries/geographies/india-enterprise-buyer-guide.html</w:t>
      </w:r>
    </w:p>
    <w:p w:rsidR="00262F24" w:rsidRDefault="00000000">
      <w:pPr>
        <w:pStyle w:val="ListParagraph"/>
        <w:numPr>
          <w:ilvl w:val="0"/>
          <w:numId w:val="2"/>
        </w:numPr>
        <w:spacing w:before="40" w:after="40"/>
      </w:pPr>
      <w:r>
        <w:rPr>
          <w:color w:val="222222"/>
        </w:rPr>
        <w:t>[T2] Gulf localisation and ICV strategy    → industries/geographies/gulf-localisation-strategy.html</w:t>
      </w:r>
    </w:p>
    <w:p w:rsidR="00262F24" w:rsidRDefault="00000000">
      <w:pPr>
        <w:pStyle w:val="ListParagraph"/>
        <w:numPr>
          <w:ilvl w:val="0"/>
          <w:numId w:val="2"/>
        </w:numPr>
        <w:spacing w:before="40" w:after="40"/>
      </w:pPr>
      <w:r>
        <w:rPr>
          <w:color w:val="222222"/>
        </w:rPr>
        <w:t>[T2] Africa consumer research and market validation    → industries/geographies/africa-consumer-research.html</w:t>
      </w:r>
    </w:p>
    <w:p w:rsidR="00262F24" w:rsidRDefault="00000000">
      <w:pPr>
        <w:pStyle w:val="ListParagraph"/>
        <w:numPr>
          <w:ilvl w:val="0"/>
          <w:numId w:val="2"/>
        </w:numPr>
        <w:spacing w:before="40" w:after="40"/>
      </w:pPr>
      <w:r>
        <w:rPr>
          <w:color w:val="222222"/>
        </w:rPr>
        <w:t>[T2] Gulf enterprise buyer guide for international companies    → industries/geographies/gulf-enterprise-buyer-guide.html</w:t>
      </w:r>
    </w:p>
    <w:p w:rsidR="00262F24" w:rsidRDefault="00000000">
      <w:pPr>
        <w:pStyle w:val="ListParagraph"/>
        <w:numPr>
          <w:ilvl w:val="0"/>
          <w:numId w:val="2"/>
        </w:numPr>
        <w:spacing w:before="40" w:after="40"/>
      </w:pPr>
      <w:r>
        <w:rPr>
          <w:color w:val="222222"/>
        </w:rPr>
        <w:t>[T2] Southeast Asia enterprise buyer guide for international technology companies    → industries/geographies/southeast-asia-enterprise-buyer-guide.html</w:t>
      </w:r>
    </w:p>
    <w:p w:rsidR="00262F24" w:rsidRDefault="00000000">
      <w:pPr>
        <w:pStyle w:val="Heading2"/>
      </w:pPr>
      <w:r>
        <w:t>Tier 3 deep-dive pages (8)</w:t>
      </w:r>
    </w:p>
    <w:p w:rsidR="00262F24" w:rsidRDefault="00000000">
      <w:pPr>
        <w:pStyle w:val="ListParagraph"/>
        <w:numPr>
          <w:ilvl w:val="0"/>
          <w:numId w:val="2"/>
        </w:numPr>
        <w:spacing w:before="40" w:after="40"/>
      </w:pPr>
      <w:r>
        <w:rPr>
          <w:color w:val="222222"/>
        </w:rPr>
        <w:t>[T3] India FMCG distribution strategy    → industries/cpg-fmcg-retail/india-fmcg-distribution.html</w:t>
      </w:r>
    </w:p>
    <w:p w:rsidR="00262F24" w:rsidRDefault="00000000">
      <w:pPr>
        <w:pStyle w:val="ListParagraph"/>
        <w:numPr>
          <w:ilvl w:val="0"/>
          <w:numId w:val="2"/>
        </w:numPr>
        <w:spacing w:before="40" w:after="40"/>
      </w:pPr>
      <w:r>
        <w:rPr>
          <w:color w:val="222222"/>
        </w:rPr>
        <w:t>[T3] Africa FMCG distribution strategy    → industries/cpg-fmcg-retail/africa-fmcg-distribution.html</w:t>
      </w:r>
    </w:p>
    <w:p w:rsidR="00262F24" w:rsidRDefault="00000000">
      <w:pPr>
        <w:pStyle w:val="ListParagraph"/>
        <w:numPr>
          <w:ilvl w:val="0"/>
          <w:numId w:val="2"/>
        </w:numPr>
        <w:spacing w:before="40" w:after="40"/>
      </w:pPr>
      <w:r>
        <w:rPr>
          <w:color w:val="222222"/>
        </w:rPr>
        <w:t>[T3] India B2B SaaS pricing strategy    → industries/enterprise-saas/india-b2b-saas-pricing.html</w:t>
      </w:r>
    </w:p>
    <w:p w:rsidR="00262F24" w:rsidRDefault="00262F24">
      <w:pPr>
        <w:pBdr>
          <w:bottom w:val="single" w:sz="8" w:space="1" w:color="1B2A4A"/>
        </w:pBdr>
        <w:spacing w:before="200" w:after="200"/>
      </w:pPr>
    </w:p>
    <w:p w:rsidR="00262F24" w:rsidRDefault="00000000">
      <w:pPr>
        <w:pStyle w:val="Heading1"/>
      </w:pPr>
      <w:r>
        <w:t>Section 2: Replit prompt</w:t>
      </w:r>
    </w:p>
    <w:p w:rsidR="00262F24" w:rsidRDefault="00000000">
      <w:pPr>
        <w:spacing w:before="60" w:after="60"/>
      </w:pPr>
      <w:r>
        <w:rPr>
          <w:i/>
          <w:iCs/>
          <w:color w:val="666666"/>
          <w:sz w:val="18"/>
          <w:szCs w:val="18"/>
        </w:rPr>
        <w:t>Copy everything between the === lines and paste into Replit AI. Do not modify.</w:t>
      </w:r>
    </w:p>
    <w:p w:rsidR="00262F24" w:rsidRDefault="00262F24">
      <w:pPr>
        <w:spacing w:before="80" w:after="8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19 BUILD</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data/industry-pages-batch19.json</w:t>
      </w:r>
    </w:p>
    <w:p w:rsidR="00262F24"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Pages:      20 (verified — no duplicates)</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SPECIAL NOTE: Batch 19 contains Tier 1 and Tier 2 pillar</w:t>
      </w:r>
    </w:p>
    <w:p w:rsidR="00262F24" w:rsidRDefault="00000000">
      <w:pPr>
        <w:shd w:val="clear" w:color="auto" w:fill="F0F0F0"/>
        <w:spacing w:before="14" w:after="14"/>
        <w:ind w:left="360"/>
      </w:pPr>
      <w:r>
        <w:rPr>
          <w:rFonts w:ascii="Courier New" w:eastAsia="Courier New" w:hAnsi="Courier New" w:cs="Courier New"/>
          <w:color w:val="1B2A4A"/>
          <w:sz w:val="16"/>
          <w:szCs w:val="16"/>
        </w:rPr>
        <w:t>pages alongside Tier 3 pages. All use the same token</w:t>
      </w:r>
    </w:p>
    <w:p w:rsidR="00262F24" w:rsidRDefault="00000000">
      <w:pPr>
        <w:shd w:val="clear" w:color="auto" w:fill="F0F0F0"/>
        <w:spacing w:before="14" w:after="14"/>
        <w:ind w:left="360"/>
      </w:pPr>
      <w:r>
        <w:rPr>
          <w:rFonts w:ascii="Courier New" w:eastAsia="Courier New" w:hAnsi="Courier New" w:cs="Courier New"/>
          <w:color w:val="1B2A4A"/>
          <w:sz w:val="16"/>
          <w:szCs w:val="16"/>
        </w:rPr>
        <w:t>replacement process. Tier 1 pages go in: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industries/services/ and industries/geographies/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Tier 2 pages go in their parent directory.</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 [T1] market-entry-consulting → industries/services/market-entry-consulting.html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2. [T1] india-market-entry → industries/geographies/india-market-entry.html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3. [T1] gulf-market-entry → industries/geographies/gulf-market-entry.html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4. [T1] africa-market-entry → industries/geographies/africa-market-entry.html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5. [T1] southeast-asia-market-entry → industries/geographies/southeast-asia-market-entry.html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6. [T2] opportunity-assessment-service → industries/services/opportunity-assessment-service.html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7. [T2] gtm-execution-service → industries/services/gtm-execution-service.html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8. [T2] pitchbook-fundraising-service → industries/services/pitchbook-fundraising-service.html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9. [T2] feasibility-tev-service → industries/services/feasibility-tev-service.html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10. [T2] ai-consulting-transformation → industries/services/ai-consulting-transformation.html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11. [T3] india-fmcg-distribution → industries/cpg-fmcg-retail/india-fmcg-distribution.html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12. [T2] gulf-vision-2030-opportunities → industries/geographies/gulf-vision-2030-opportunities.html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13. [T2] india-regulatory-guide → industries/geographies/india-regulatory-guide.html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14. [T3] africa-fmcg-distribution → industries/cpg-fmcg-retail/africa-fmcg-distribution.html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15. [T2] india-enterprise-buyer-guide → industries/geographies/india-enterprise-buyer-guide.html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16. [T2] gulf-localisation-strategy → industries/geographies/gulf-localisation-strategy.html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17. [T3] india-b2b-saas-pricing → industries/enterprise-saas/india-b2b-saas-pricing.html</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18. [T2] africa-consumer-research → industries/geographies/africa-consumer-research.html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19. [T2] gulf-enterprise-buyer-guide → industries/geographies/gulf-enterprise-buyer-guide.html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20. [T2] southeast-asia-enterprise-buyer-guide → industries/geographies/southeast-asia-enterprise-buyer-guide.html</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STEP 1 — VERIFY FILES</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data/industry-pages-batch19.json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262F24" w:rsidRDefault="00000000">
      <w:pPr>
        <w:shd w:val="clear" w:color="auto" w:fill="F0F0F0"/>
        <w:spacing w:before="14" w:after="14"/>
        <w:ind w:left="360"/>
      </w:pPr>
      <w:r>
        <w:rPr>
          <w:rFonts w:ascii="Courier New" w:eastAsia="Courier New" w:hAnsi="Courier New" w:cs="Courier New"/>
          <w:color w:val="1B2A4A"/>
          <w:sz w:val="16"/>
          <w:szCs w:val="16"/>
        </w:rPr>
        <w:t>If JSON missing: stop and tell me.</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Read data/industry-pages-batch19.json.</w:t>
      </w:r>
    </w:p>
    <w:p w:rsidR="00262F24" w:rsidRDefault="00000000">
      <w:pPr>
        <w:shd w:val="clear" w:color="auto" w:fill="F0F0F0"/>
        <w:spacing w:before="14" w:after="14"/>
        <w:ind w:left="360"/>
      </w:pPr>
      <w:r>
        <w:rPr>
          <w:rFonts w:ascii="Courier New" w:eastAsia="Courier New" w:hAnsi="Courier New" w:cs="Courier New"/>
          <w:color w:val="1B2A4A"/>
          <w:sz w:val="16"/>
          <w:szCs w:val="16"/>
        </w:rPr>
        <w:t>For EACH page object: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 mkdir -p industries/[parent]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B. Read template fresh as string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 Replace ALL tokens: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{{PAGE_TITLE}} {{META_DESC}} {{KEYWORDS}} {{SLUG}}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{{TAGLINE}} {{HERO_BODY}} {{MARKET_TIMING}}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{{STAT1L}} {{STAT1B}}</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{{STAT2L}} {{STAT2B}}</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{{STAT3L}} {{STAT3B}}</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{{INSIGHT_1}} through {{INSIGHT_4}}</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through {{CHALLENGE_M_4}}</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challenges_we_solve[i].split('|') for i=0..5:</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{{CHALLENGE_[i+1]_H}}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{{CHALLENGE_[i+1]_B}}</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service_angles[i] for i=0..5 → {{SERVICE_[i+1]_BODY}}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faq[i].split('|') for i=0..3: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{{FAQ_[i+1]_Q}}</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{{FAQ_[i+1]_A}}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 JSON-LD Service schema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{{SCHEMA_FAQ}} → JSON-LD FAQPage schema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 Scan remaining {{ }}: replace empty, log warning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 Write file. Log: Created: [path]</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STEP 3 — SITEMAP + NAV</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Tier 1 pages (services, geographies): priority 0.9</w:t>
      </w:r>
    </w:p>
    <w:p w:rsidR="00262F24" w:rsidRDefault="00000000">
      <w:pPr>
        <w:shd w:val="clear" w:color="auto" w:fill="F0F0F0"/>
        <w:spacing w:before="14" w:after="14"/>
        <w:ind w:left="360"/>
      </w:pPr>
      <w:r>
        <w:rPr>
          <w:rFonts w:ascii="Courier New" w:eastAsia="Courier New" w:hAnsi="Courier New" w:cs="Courier New"/>
          <w:color w:val="1B2A4A"/>
          <w:sz w:val="16"/>
          <w:szCs w:val="16"/>
        </w:rPr>
        <w:t>Tier 2 pages (sub-service, geo guides): priority 0.8</w:t>
      </w:r>
    </w:p>
    <w:p w:rsidR="00262F24" w:rsidRDefault="00000000">
      <w:pPr>
        <w:shd w:val="clear" w:color="auto" w:fill="F0F0F0"/>
        <w:spacing w:before="14" w:after="14"/>
        <w:ind w:left="360"/>
      </w:pPr>
      <w:r>
        <w:rPr>
          <w:rFonts w:ascii="Courier New" w:eastAsia="Courier New" w:hAnsi="Courier New" w:cs="Courier New"/>
          <w:color w:val="1B2A4A"/>
          <w:sz w:val="16"/>
          <w:szCs w:val="16"/>
        </w:rPr>
        <w:t>Tier 3 pages: priority 0.7</w:t>
      </w:r>
    </w:p>
    <w:p w:rsidR="00262F24" w:rsidRDefault="00000000">
      <w:pPr>
        <w:shd w:val="clear" w:color="auto" w:fill="F0F0F0"/>
        <w:spacing w:before="14" w:after="14"/>
        <w:ind w:left="360"/>
      </w:pPr>
      <w:r>
        <w:rPr>
          <w:rFonts w:ascii="Courier New" w:eastAsia="Courier New" w:hAnsi="Courier New" w:cs="Courier New"/>
          <w:color w:val="1B2A4A"/>
          <w:sz w:val="16"/>
          <w:szCs w:val="16"/>
        </w:rPr>
        <w:t>Update nav: pillar pages go in primary nav or footer.</w:t>
      </w:r>
    </w:p>
    <w:p w:rsidR="00262F24" w:rsidRDefault="00000000">
      <w:pPr>
        <w:shd w:val="clear" w:color="auto" w:fill="F0F0F0"/>
        <w:spacing w:before="14" w:after="14"/>
        <w:ind w:left="360"/>
      </w:pPr>
      <w:r>
        <w:rPr>
          <w:rFonts w:ascii="Courier New" w:eastAsia="Courier New" w:hAnsi="Courier New" w:cs="Courier New"/>
          <w:color w:val="1B2A4A"/>
          <w:sz w:val="16"/>
          <w:szCs w:val="16"/>
        </w:rPr>
        <w:t>Do not remove existing entries.</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STEP 4 — CONFIRM</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Pages created: [N] — must equal 20</w:t>
      </w:r>
    </w:p>
    <w:p w:rsidR="00262F24" w:rsidRDefault="00000000">
      <w:pPr>
        <w:shd w:val="clear" w:color="auto" w:fill="F0F0F0"/>
        <w:spacing w:before="14" w:after="14"/>
        <w:ind w:left="360"/>
      </w:pPr>
      <w:r>
        <w:rPr>
          <w:rFonts w:ascii="Courier New" w:eastAsia="Courier New" w:hAnsi="Courier New" w:cs="Courier New"/>
          <w:color w:val="1B2A4A"/>
          <w:sz w:val="16"/>
          <w:szCs w:val="16"/>
        </w:rPr>
        <w:t>Full list of all file paths</w:t>
      </w:r>
    </w:p>
    <w:p w:rsidR="00262F24" w:rsidRDefault="00000000">
      <w:pPr>
        <w:shd w:val="clear" w:color="auto" w:fill="F0F0F0"/>
        <w:spacing w:before="14" w:after="14"/>
        <w:ind w:left="360"/>
      </w:pPr>
      <w:r>
        <w:rPr>
          <w:rFonts w:ascii="Courier New" w:eastAsia="Courier New" w:hAnsi="Courier New" w:cs="Courier New"/>
          <w:color w:val="1B2A4A"/>
          <w:sz w:val="16"/>
          <w:szCs w:val="16"/>
        </w:rPr>
        <w:t>Token warnings count</w:t>
      </w:r>
    </w:p>
    <w:p w:rsidR="00262F24" w:rsidRDefault="00000000">
      <w:pPr>
        <w:shd w:val="clear" w:color="auto" w:fill="F0F0F0"/>
        <w:spacing w:before="14" w:after="14"/>
        <w:ind w:left="360"/>
      </w:pPr>
      <w:r>
        <w:rPr>
          <w:rFonts w:ascii="Courier New" w:eastAsia="Courier New" w:hAnsi="Courier New" w:cs="Courier New"/>
          <w:color w:val="1B2A4A"/>
          <w:sz w:val="16"/>
          <w:szCs w:val="16"/>
        </w:rPr>
        <w:t>Sitemap updated: yes/no</w:t>
      </w:r>
    </w:p>
    <w:p w:rsidR="00262F24" w:rsidRDefault="00000000">
      <w:pPr>
        <w:shd w:val="clear" w:color="auto" w:fill="F0F0F0"/>
        <w:spacing w:before="14" w:after="14"/>
        <w:ind w:left="360"/>
      </w:pPr>
      <w:r>
        <w:rPr>
          <w:rFonts w:ascii="Courier New" w:eastAsia="Courier New" w:hAnsi="Courier New" w:cs="Courier New"/>
          <w:color w:val="1B2A4A"/>
          <w:sz w:val="16"/>
          <w:szCs w:val="16"/>
        </w:rPr>
        <w:t>Navigation updated: yes/no</w:t>
      </w:r>
    </w:p>
    <w:p w:rsidR="00262F24" w:rsidRDefault="00000000">
      <w:pPr>
        <w:shd w:val="clear" w:color="auto" w:fill="F0F0F0"/>
        <w:spacing w:before="14" w:after="14"/>
        <w:ind w:left="360"/>
      </w:pPr>
      <w:r>
        <w:rPr>
          <w:rFonts w:ascii="Courier New" w:eastAsia="Courier New" w:hAnsi="Courier New" w:cs="Courier New"/>
          <w:color w:val="1B2A4A"/>
          <w:sz w:val="16"/>
          <w:szCs w:val="16"/>
        </w:rPr>
        <w:t>Any failures with exact reason</w:t>
      </w:r>
    </w:p>
    <w:p w:rsidR="00262F24" w:rsidRDefault="00262F24">
      <w:pPr>
        <w:shd w:val="clear" w:color="auto" w:fill="F0F0F0"/>
        <w:spacing w:before="14" w:after="14"/>
        <w:ind w:left="36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DO NOT write scripts. DO NOT rebuild existing pages.</w:t>
      </w:r>
    </w:p>
    <w:p w:rsidR="00262F24" w:rsidRDefault="00000000">
      <w:pPr>
        <w:shd w:val="clear" w:color="auto" w:fill="F0F0F0"/>
        <w:spacing w:before="14" w:after="14"/>
        <w:ind w:left="360"/>
      </w:pPr>
      <w:r>
        <w:rPr>
          <w:rFonts w:ascii="Courier New" w:eastAsia="Courier New" w:hAnsi="Courier New" w:cs="Courier New"/>
          <w:color w:val="1B2A4A"/>
          <w:sz w:val="16"/>
          <w:szCs w:val="16"/>
        </w:rPr>
        <w:t>Read JSON. Loop. Replace tokens. Write files.</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262F24">
      <w:pPr>
        <w:pBdr>
          <w:bottom w:val="single" w:sz="8" w:space="1" w:color="1B2A4A"/>
        </w:pBdr>
        <w:spacing w:before="200" w:after="200"/>
      </w:pPr>
    </w:p>
    <w:p w:rsidR="00262F24" w:rsidRDefault="00000000">
      <w:pPr>
        <w:pStyle w:val="Heading1"/>
      </w:pPr>
      <w:r>
        <w:lastRenderedPageBreak/>
        <w:t>Section 3: JSON appendix — save as data/industry-pages-batch19.json</w:t>
      </w:r>
    </w:p>
    <w:p w:rsidR="00262F24" w:rsidRDefault="00000000">
      <w:pPr>
        <w:spacing w:before="60" w:after="60"/>
      </w:pPr>
      <w:r>
        <w:rPr>
          <w:i/>
          <w:iCs/>
          <w:color w:val="666666"/>
          <w:sz w:val="18"/>
          <w:szCs w:val="18"/>
        </w:rPr>
        <w:t>20 page objects. Copy and save as data/industry-pages-batch19.json in Replit.</w:t>
      </w:r>
    </w:p>
    <w:p w:rsidR="00262F24" w:rsidRDefault="00262F24">
      <w:pPr>
        <w:spacing w:before="80" w:after="40"/>
      </w:pP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"market-entry-consulting",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"Market Entry Consulting Services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is a boutique market entry consulting firm helping international companies enter India, Gulf, Southeast Asia, and Africa with strategy, feasibility, GTM execution, and fundraising.",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"Market entry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"Strategy and execution for companies entering India, Gulf, Southeast Asia, and Africa.",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"Market entry is the highest-stakes decision a company makes in international expansion — and it is the decision most often made without sufficient primary research, realistic cost modelling, or honest competitive intelligence. GreyRadius is a boutique strategy and growth consulting firm that has delivered market entry mandates across India, Gulf, Southeast Asia, and Africa for technology companies, FMCG brands, healthcare businesses, financial services firms, and industrial companies. Our work is grounded in primary research — 30+ expert interviews per mandate — not recycled secondary reports. Every engagement produces a clear Go/Defer/Kill recommendation backed by the evidence to defend it.",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"Market entry windows in India, Gulf, Southeast Asia, and Africa are not permanent — PLI application deadlines close, Vision 2030 programme procurement windows move on, and competitive positions solidify. Companies that delay market entry research lose first-mover advantages that compound for years. The right time to start a market entry engagement is before the competition, not after.",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"GreyRadius has delivered 100+ market entry mandates across India, Gulf, Southeast Asia, and Africa — covering technology, FMCG, healthcare, financial services, energy, and industrial sectors.",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research is the foundation of every GreyRadius engagement — 30+ expert interviews with consumers, distributors, regulators, and competitors in target markets before any recommendation.",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entry failure most commonly results from three causes — wrong channel selection, pricing misalignment, or underestimated regulatory timeline. GreyRadius addresses all three in every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"GreyRadius delivers market entry strategies in 6–10 weeks — AI-augmented primary research and analysis significantly reduces the time from engagement start to actionable recommendation."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"Most market entry research relies on secondary data — desk research and analyst reports that are 12–24 months stale and do not reflect current market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timelines are routinely underestimated — FSSAI, CDSCO, IRDAI, and Gulf MOH approvals all take significantly longer than international companies expect without local expertise.",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selection is made without adequate due diligence — the most common market entry failure mode is choosing the wrong distributor or system integrator as first commercial partner.",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"Pricing is translated rather than designed — direct translation of international pricing into emerging markets consistently fails; India, Gulf, and Africa all require market-specific pricing logic."</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entry strategy|You need a rigorous market entry strategy grounded in primary research for India, Gulf, Southeast Asia, or Africa.\",\"Feasibility and TEV|You need a technical and economic feasibility assessment before committing capital to a market entry investment.\",\"GTM execution|You need an embedded team to execute your go-to-market plan and drive to first revenue in a new market.\",\"Fundraising support|You need an investor pitch book grounded in primary market research data from your target market.\",\"Opportunity assessment|You need to identify which markets and segments represent the highest-quality commercial opportunity for your business.\",\"AI consulting and transformation|You need to identify how AI creates commercial value in your target market and build the implementation roadmap."</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"Opportunity Assessment — identify and size the highest-quality commercial opportunity across target markets before committing to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"Feasibility and TEV — rigorous technical and economic feasibility covering regulatory timelines, capital requirements, competitive dynamics,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 Entry Execution — end-to-end market entry project management from regulatory pathway to first revenue, including partner identification and commercial introductions.",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"GTM Execution-as-a-Service — embedded commercial team in target market driving pipeline, partner relationships, and revenue milestones on your behalf.",</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"Pitchbook and Fundraising — investor-grade pitch books grounded in primary market research that investors from target markets can verify.",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Consulting and Transformation — AI opportunity identification, use-case prioritisation, and implementation roadmap for companies entering and operating in emerging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markets does GreyRadius cover?|India, Gulf (UAE and Saudi Arabia primarily), Southeast Asia (Indonesia, Vietnam, Singapore, Philippines, Thailand), and Africa (Nigeria, Kenya, South Africa, Egypt, Ghana, Ethiopia).",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market entry engagement take?|Typically 6–14 weeks depending on scope and market complexity — opportunity assessment in 4–6 weeks, full market entry strategy in 8–12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makes GreyRadius different from larger strategy firms?|Primary research in every engagement — we conduct 30+ expert interviews in target markets, not desk research. Senior team on every mandate. Boutique focus means no junior staffing.",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only do strategy or also execution?|Both — our GTM Execution-as-a-Service puts an embedded commercial team in your target market to drive pipeline and first revenue, not just a report."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"market entry consulting, emerging markets strategy, India market entry consultant, Gulf market entry advisory, Africa market entry consulting, Southeast Asia market entry firm",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Gulf — UAE and Saudi Arabia, Southeast Asia — Indonesia Vietnam Philippines Thailand, Africa — Nigeria Kenya South Africa Egypt",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"100+",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"Market entry mandates delivered",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"Across India, Gulf, Southeast Asia, and Africa — technology, FMCG, healthcare, financial services, energy, and industrial sectors.",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distributors, regulators, and competitors in target markets — not desk research. Primary evidence in every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"Typical market entry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primary research and analysis significantly reduces time to actionable recommendation without compromising depth."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"india-market-entry",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Market Entry Strategy &amp; Consulting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India with market entry strategy, regulatory mapping, distribution partner identification, GTM execution, and fundraising across all sectors.",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"India market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"Entering India's $3.7 trillion economy — strategy, regulatory, GTM, and fundraising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fifth-largest economy, its most populous country, and one of the most complex market entry destinations for international companies — combining extraordinary commercial opportunity with a regulatory environment, distribution structure, and consumer behaviour that all require India-specific expertise. GreyRadius has delivered market entry mandates across India for technology companies, FMCG brands, healthcare businesses, financial services firms, energy companies, and industrial manufacturers. Every India engagement is grounded in primary research with Indian enterprise buyers, consumers, regulators, and channel partners.",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commercial opportunity window is not permanent — PLI schemes have application deadlines, Smart Cities Mission tenders close, IRDAI sandbox windows expire, and competitive positions solidify as well-informed companies move first. The companies initiating India market entry research in 2024–2026 are establishing commercial positions that will compound for a decade.",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GDP is growing at 7%+ annually — the fastest major economy globally and the most significant commercial opportunity for international companies in the world.",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digital infrastructure revolution — UPI, Aadhaar, ABDM, Agri Stack, and ONDC — has created distribution infrastructure that international companies can access to reach 1.4 billion consumers.",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regulatory environment has improved significantly — IRDAI liberalisation, defence FDI, 100% e-commerce FDI, and PLI incentives have all opened categories that were previously restricted.",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enterprise technology market is maturing rapidly — Indian enterprises that were on-premise ERP in 2018 are now evaluating cloud-native SaaS, AI, and digital transformation platforms."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requires complete rethinking — direct translation of international pricing fails consistently. India requires market-specific pricing logic built from Indian consumer and enterprise economics, not adjusted from international benchmarks.",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timelines are routinely underestimated — FSSAI, CDSCO, IRDAI, and sector licensing all take significantly longer than international companies expect, often adding 12–24 months to launch plans.",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partner selection is the highest-leverage market entry decision — the wrong distributor, reseller, or channel partner is the most common cause of India market entry failure.",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is not one market — language, consumer behaviour, infrastructure quality, and competitive dynamics differ dramatically across South India, West India, North India, and East India requiring region-specific strategies."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market entry strategy|You need a rigorous India market entry strategy grounded in primary research with Indian buyers, consumers, and regulators in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regulatory pathway|You need to understand the specific FSSAI, CDSCO, IRDAI, RBI, or sector-specific regulatory requirements and timelines for your product in India.",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distribution partner identification|You need qualified Indian distributors, resellers, or channel partners with genuine market relationships in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GTM execution|You need an embedded India commercial team executing your go-to-market plan and driving first revenue.",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investment|You need an investor pitch book grounded in India primary market research data.",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strategy|You need India-specific pricing logic built from Indian market economics, not translated from international benchmarks."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Opportunity Assessment — identify and size the highest-quality commercial opportunity in India before committing to market entry investment. 4–6 weeks, primary research, Go/Defer/Kill recommendation.",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Feasibility and TEV — rigorous technical and economic feasibility covering FSSAI, CDSCO, IRDAI, or sector regulatory timelines, capital requirements,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Market Entry Execution — end-to-end India market entry project management from regulatory pathway to first revenue, including partner identification and commercial introductions.",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GTM Execution-as-a-Service — embedded India commercial team driving pipeline, partner relationships, and revenue milestones on your behalf.",</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Pitchbook — investor-grade pitch books grounded in primary India market research that Indian investors and international investors with India portfolios can verify.",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AI Consulting — AI opportunity identification, India-specific use-case prioritisation, and implementation roadmap for companies entering or scaling in India."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sectors does GreyRadius cover for India market entry?|All sectors — technology, FMCG, healthcare, financial services, energy, real estate, manufacturing, logistics, and more.",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market entry engagement take?|4–6 weeks for opportunity assessment, 8–12 weeks for full strategy, 12+ months for GTM execution-as-a-service.",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cover all Indian states or just major metros?|We cover all Indian markets relevant to your business — including Tier 2 and 3 city consumer research and state-specific regulatory mapping.",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Indian distribution partners?|Yes — distributor and channel partner identification and commercial introductions are core to our India market entry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market entry consulting, India market entry strategy, entering India market, India market entry advisory, India expansion consulting, India business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"Mumbai, Delhi NCR, Bengaluru, Hyderabad, Pune, Chennai and all Indian states and Tier 2-3 cities relevant to engagement scope",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"7%+",</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GDP annual growth rate",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"Fastest major economy globally — 1.4 billion consumers, $3.7 trillion GDP, and digital infrastructure creating distribution access that did not exist five years ago.",</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enterprise buyers, consumers, distributors, and regulatory specialists — primary research in every India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market entry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primary research delivers rigorous India market entry strategies efficiently without sacrificing depth."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"slug": "gulf-market-entry",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"Gulf Market Entry Strategy &amp; Consulting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UAE, Saudi Arabia, and the GCC with market entry strategy, Vision 2030 programme access, regulatory mapping, and GTM execution.",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"Gulf market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"Entering UAE, Saudi Arabia, and the GCC — strategy, regulatory, GTM, and fundraising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the world's most active emerging market for international company entry right now — with Saudi Arabia's Vision 2030 creating the world's largest government-led commercial transformation, UAE's business-friendly ecosystem hosting 40,000+ multinational companies, and Gulf sovereign wealth funds committing trillions to economic diversification. GreyRadius has delivered market entry mandates across the Gulf for technology companies, healthcare businesses, FMCG brands, financial services firms, energy companies, and professional services firms. Every Gulf engagement is grounded in primary research with Gulf enterprise buyers, government programme officials, regulators, and channel partners.",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"Vision 2030 programme procurement windows are not permanent — NEOM contractor pre-qualification deadlines, SIGHT PLI application windows, Saudi hospital privatisation tender waves, and SDAIA AI programme procurement cycles all have defined timelines. International companies that initiate Gulf market entry research in 2024–2026 will access procurement opportunities that later entrants will miss.",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GDP is growing at 4%+ annually with non-oil sectors growing at 7%+ — Vision 2030 diversification creating commercial opportunities across technology, healthcare, tourism, logistics, and financial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governments are the world's most active technology and services buyers — Saudi Arabia's $1T+ Vision 2030 programme and UAE's Smart Government strategy are collectively the world's largest government procurement programme.",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and Emiratisation requirements are creating new commercial models — international companies that understand localisation requirements are winning Gulf contracts that pure-export companies cannot access.",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consumers are among the world's highest per-capita spenders — $90,000+ GDP per capita in Qatar, $70,000+ in UAE, and rapidly rising Saudi household income all creating premium consumer opportunity."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commercial relationships are senior and personal — government procurement, corporate technology decisions, and investment mandates all depend on C-suite and senior government relationships that take sustained investment to develop.",</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vary across Gulf markets — CBUAE, SAMA, NCA, SFDA, and MOH each have different requirements and timelines that affect market entry planning across UAE and Saudi Arabia.",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and Saudisation requirements affect operating model — commercial models that work globally often require restructuring for Gulf localisation compliance before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requirements are non-negotiable for government and consumer-facing deployment — international companies without Arabic language product capability face significant barriers."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market entry strategy|You need a rigorous Gulf market entry strategy grounded in primary research with Gulf enterprise buyers, government programme officials, and regulators.",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programme access|You need to identify which Saudi Vision 2030 and UAE National Strategy programmes are actively procuring in your sector and how to access them.",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regulatory pathway|You need to understand CBUAE, SAMA, NCA, SFDA, MOH, or sector-specific regulatory requirements and timelines for your product in Gulf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partner identification|You need qualified Gulf distributors, local JV partners, or government programme access partners in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GTM execution|You need an embedded Gulf commercial team executing your go-to-market plan and driving first revenue.",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pitchbook and fundraising|You need an investor pitch book grounded in Gulf market research for Gulf sovereign investors or international investors with Gulf exposure."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Opportunity Assessment — identify and size the commercial opportunity across UAE and Saudi Arabia before committing to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Feasibility and TEV — rigorous feasibility covering NCA, SFDA, CBUAE, or sector regulatory requirements, ICV obligations,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Market Entry Execution — end-to-end Gulf market entry from regulatory pathway to first revenue including Vision 2030 programme access and partner identification.",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GTM Execution-as-a-Service — embedded Gulf commercial team in Dubai or Riyadh driving government programme, enterprise, and consumer pipeline.",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Pitchbook — investor-grade pitch books for Gulf sovereign fund investors and international investors with Gulf portfolios.",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AI Consulting — AI use-case identification and deployment strategy for Gulf government and enterprise AI programmes including SDAIA and UAE AI Ministry access."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Gulf markets does GreyRadius cover?|UAE (primarily Dubai and Abu Dhabi) and Saudi Arabia (Riyadh and Jeddah) as primary markets, plus Qatar, Kuwait, Bahrain, and Oman as secondary.",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market entry engagement take?|4–6 weeks for opportunity assessment, 8–12 weeks for full strategy, 12+ months for GTM execution-as-a-service.",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have relationships with Vision 2030 programme offices?|We map programme procurement pipelines and identify the right access pathways — our work creates the foundation for your team to develop government relationships.",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help with ICV compliance strategy for Gulf contracts?|Yes — ICV localisation strategy is part of our Gulf market entry service for companies seeking Saudi government and enterprise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market entry consulting, UAE market entry strategy, Saudi Arabia market entry advisory, GCC market entry consulting, Vision 2030 market entry, Gulf business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and Abu Dhabi; Saudi Arabia — Riyadh and Jeddah; Qatar, Kuwait, Bahrain, Oman",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"Saudi Vision 2030 programme size",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"The world's largest government-led commercial transformation — creating unprecedented procurement across technology, healthcare, tourism, energy, and manufacturing.",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enterprise buyers, government programme officials, and regulatory specialists — primary research in every Gulf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market entry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primary research delivers rigorous Gulf market entry strategies efficiently without sacrificing depth."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"africa-market-entry",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Market Entry Strategy &amp; Consulting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Africa with market entry strategy, regulatory mapping, distributor identification, and GTM execution across Nigeria, Kenya, South Africa, Ghana, and Egypt.",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"Africa market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"Entering Africa's 1.4 billion people — strategy, regulatory, GTM, and fundraising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"Africa is the world's most significant long-term commercial opportunity — with 1.4 billion people, the fastest-growing middle class globally, the youngest population of any continent, and digital infrastructure creating consumer market access that did not exist a decade ago. GreyRadius has delivered market entry mandates across Africa for FMCG brands, technology companies, healthcare businesses, financial services firms, energy companies, and logistics businesses. Every Africa engagement is grounded in primary research in target African markets — not desk research from London or Dubai.",</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consumer and technology markets are crossing commercial viability thresholds now — mobile money penetration, smartphone adoption, and urban middle-class income levels in Nigeria, Kenya, Ghana, and South Africa have all crossed the thresholds that make formal consumer market entry viable in ways that were not true five years ago. Companies that establish African market positions in 2024–2027 will benefit from compound growth as these markets continue maturing.",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"Africa's consumer market is projected to reach $2.5T by 2030 — the fastest-growing major consumer market globally driven by population growth, urbanisation, and rising incomes.",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"AfCFTA is creating the world's largest free trade zone — 54 countries, 1.4 billion people, and $3.4T in combined GDP creating pan-African market access from a single manufacturing or service location.",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"Africa's mobile money ecosystem is unmatched globally — M-Pesa, MTN Mobile Money, and Airtel Money collectively serving 400M+ users creating digital distribution infrastructure for consumer and financial products.",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"Nigeria, Kenya, South Africa, and Ghana collectively represent 60%+ of Sub-Saharan Africa's formal consumer market — making them the essential first four markets for most Africa entry strategies."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"Africa's 54 markets are not one market — Nigeria, Kenya, South Africa, and Egypt are as commercially different as France, Poland, Turkey, and Morocco. Country-specific strategies are essential.",</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"Distributor quality varies enormously — the most important market entry decision in Africa is distributor selection, and poor distributor selection is the single most common cause of Africa entry failure.",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vary by country and product category — NAFDAC, KEBS, SAHPRA, FDA Ghana, and SFDA all have different registration requirements requiring market-specific regulatory expertise.",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and foreign exchange management — operating across multiple African currencies with variable devaluation risk requires deliberate financial structuring."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market prioritisation|You need to identify which African markets to enter first based on your product, consumer demand, distribution access, and regulatory complexity.",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consumer demand validation|You need primary consumer research in target African markets to validate product acceptance, price sensitivity, and channel preference.",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distributor identification|You need to identify and rigorously evaluate African distributors with the right market coverage, cold chain, financial capacity, and track record.",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regulatory pathway|You need to understand registration requirements across your target African markets for your specific product category.",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GTM execution|You need an embedded Africa commercial team executing your go-to-market plan and driving first revenue.",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fundraising|You need a pitch book grounded in Africa primary market research for DFI, impact, or commercial investors."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Market Prioritisation — identify which African markets warrant entry based on primary demand research, distribution access, and regulatory complexity. 4–6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Feasibility and TEV — rigorous feasibility covering country-specific regulatory requirements, distributor economics, currency risk,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Market Entry Execution — end-to-end Africa entry from regulatory pathway to first distribution, including distributor identification, qualification, and commercial introductions.",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GTM Execution-as-a-Service — embedded Africa commercial team in Lagos, Nairobi, or Johannesburg driving distributor, retailer, and enterprise pipeline.",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Pitchbook — investor-grade pitch books for DFI, impact, and commercial investors with Africa market exposure.",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AI Consulting — AI use-case identification for Africa operations including local language AI and Africa-specific distribution and demand forecasting applications."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markets does GreyRadius cover?|Nigeria, Kenya, South Africa, Ghana, Egypt, Ethiopia, Tanzania, Rwanda, Senegal, and Morocco as primary markets — with all 54 African markets accessible through partner networks.",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market entry engagement take?|4–6 weeks for market prioritisation assessment, 8–12 weeks for full country strategy, 12+ months for GTM execution-as-a-service.",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have on-the-ground presence in Africa?|We conduct primary research with teams on the ground in target markets — distributor and consumer interviews are conducted in-country in the markets relevant to each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qualified African distributors?|Yes — distributor identification, evaluation, and commercial introductions are core to our Africa market entry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market entry consulting, Nigeria market entry strategy, Kenya market entry advisory, South Africa market entry consulting, Africa expansion consulting, Sub-Saharan Africa market entry",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South Africa, Ghana, Egypt, Ethiopia, Tanzania, Rwanda, Senegal, Morocco",</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"$2.5T",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consumer market by 2030",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"Fastest-growing major consumer market globally — AfCFTA creating the world's largest free trade zone from a single Africa manufacturing or service location.",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consumers, distributors, and regulatory specialists in target markets — primary research in every Africa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market entry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primary research delivers rigorous Africa market entry strategies efficiently without sacrificing depth."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"southeast-asia-market-entry",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"title": "Southeast Asia Market Entry Strategy &amp; Consulting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Southeast Asia with market entry strategy, regulatory mapping, distribution partner identification, and GTM execution across Indonesia, Vietnam, Singapore, Philippines, and Thailand.",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market entry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"Entering ASEAN's 680 million consumers — strategy, regulatory, GTM, and fundraising for companies entering Southeast Asia.",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 is the world's most economically dynamic region — combining the world's fastest-growing middle class, extraordinary digital economy growth, massive manufacturing FDI as companies diversify from China, and governments competing aggressively for foreign investment with incentive programmes. GreyRadius has delivered market entry mandates across Southeast Asia for technology companies, FMCG brands, healthcare businesses, financial services firms, logistics companies, and industrial manufacturers. Every Southeast Asia engagement is grounded in primary research in target markets — not desk research aggregated from Singapore.",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commercial inflection points are market-specific and time-sensitive — Indonesia's EV manufacturing investment, Vietnam's electronics manufacturing expansion, Philippines' universal healthcare implementation, and Singapore's AI hub development all create specific commercial windows in 2024–2027 that well-timed market entry can capture.",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Asia's digital economy reached $200B in 2023 — growing at 20%+ annually as e-commerce, digital financial services, and SaaS adoption all accelerate across ASEAN's 10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"Indonesia is the world's fourth-most-populous country — 270 million people with rapidly growing middle class creating the region's largest consumer and enterprise technology opportunity.",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"Vietnam is Southeast Asia's fastest-growing manufacturing market — $200B+ in annual manufacturing FDI creating supply chain and industrial technology demand at extraordinary pace.",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"Singapore is the world's most business-friendly advanced economy — 4,000+ multinational regional headquarters creating sophisticated enterprise technology and services demand that validates products for broader ASEAN deployment."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Asia's 10 markets are commercially very different — what works in Singapore does not work in Indonesia, and Vietnam requires entirely different regulatory and distribution approaches from Philippines.",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vary dramatically across ASEAN — each market has different food, pharmaceutical, financial services, and technology regulatory frameworks requiring market-specific compliance expertise.",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infrastructure quality varies significantly — Singapore's world-class logistics versus Indonesia's archipelago distribution challenges require entirely different channel strategies.",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"Language diversity requires localisation investment — Bahasa Indonesia, Vietnamese, Thai, Tagalog, and Bahasa Malaysia all require distinct product localisation for consumer and government-facing deployment."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market prioritisation|You need to identify which ASEAN markets to enter first based on your product, consumer demand, distribution access, and regulatory complexity.",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enterprise demand validation|You need primary research in target Southeast Asian markets to validate demand before committing to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regulatory pathway|You need country-specific regulatory pathways for your product across priority Southeast Asian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distribution partner identification|You need qualified ASEAN distributors, system integrators, or platform partners in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GTM execution|You need an embedded ASEAN commercial team executing your go-to-market plan and driving first revenue.",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fundraising|You need a pitch book grounded in ASEAN primary market research for Southeast Asian or international investors."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Market Prioritisation — identify which ASEAN markets warrant entry based on primary demand research and regulatory complexity. 4–6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Feasibility and TEV — rigorous feasibility covering country-specific regulatory requirements, distribution economics,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Market Entry Execution — end-to-end ASEAN entry from regulatory pathway to first revenue including distributor and platform partner identification.",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GTM Execution-as-a-Service — embedded ASEAN commercial team driving enterprise, consumer, and government pipeline across priority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Pitchbook — investor-grade pitch books for Southeast Asian investors and international investors with ASEAN portfolios.",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AI Consulting — AI use-case identification for ASEAN operations including local language AI and region-specific applications."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"Which Southeast Asian markets does GreyRadius cover?|Indonesia, Vietnam, Philippines, Thailand, Malaysia, and Singapore as primary markets — with Myanmar and Cambodia accessible through partner networks with appropriate risk assessment.",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market entry engagement take?|4–6 weeks for market prioritisation, 8–12 weeks for full country strategy, 12+ months for GTM execution-as-a-service.",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entering Singapore first?|Often yes for technology and enterprise services — Singapore validates the ASEAN product-market fit before Indonesia or Vietnam scale investments. Depends on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ASEAN distribution partners?|Yes — distributor and platform partner identification and commercial introductions are core to our Southeast Asia market entry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market entry consulting, Indonesia market entry strategy, Vietnam market entry advisory, ASEAN market entry consulting, Singapore market entry, Southeast Asia expansion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Philippines, Thailand, Malaysia, Singapore",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"$200B",</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digital economy in 2023",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 e-commerce, digital financial services, and enterprise technology adoption all accelerating across ASEAN's 680 million consumers.",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mandate",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"ASEAN consumers, enterprise buyers, and regulatory specialists — primary research in every Southeast Asia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market entry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primary research delivers rigorous Southeast Asia market entry strategies efficiently."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"opportunity-assessment-service",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"Opportunity Assessment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opportunity assessments identify and size the highest-quality commercial opportunities in India, Gulf, Southeast Asia, and Africa — grounded in primary research and delivered in 4–6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"Opportunity assessment",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"Where is the real commercial opportunity — and is it big enough to justify entry? Primary research answers this in 4–6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"An opportunity assessment answers the most fundamental question before any international market entry: where specifically is the commercial opportunity, how big is it, what will it cost to access, and is it worth pursuing? GreyRadius delivers opportunity assessments grounded in primary research — 30+ expert interviews with potential buyers, distributors, regulators, and competitors in target markets — not secondary research from public reports. Every assessment produces a specific commercial recommendation with the evidence to support it. The output is a Go/Defer/Kill decision with clear commercial logic that senior stakeholders can act 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"Opportunity assessments are most valuable before capital is committed — before distributor contracts are signed, regulatory applications are filed, or teams are hired. The 4–6 week investment in an opportunity assessment prevents the 12–24 month investment in the wrong market entry approach. Companies that skip the assessment phase routinely spend more correcting market entry mistakes than the assessment would have cost.",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"Most international market entry failures are predictable — wrong market segment, wrong pricing, wrong channel, or wrong regulatory timeline. An opportunity assessment catches all four before capital is deployed.",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research reveals what secondary data cannot — distributor willingness to take on a new product, regulatory officer interpretation of licensing requirements, and competitor pricing structures are all only accessible through direct conversation.",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sizing from primary research differs significantly from analyst reports — analyst estimates are typically 2-3x actual accessible market for international companies given distribution constraints and price sensitivity.",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"Go/Defer/Kill is more valuable than Go alone — companies that receive honest Defer or Kill assessments avoid investments that would have failed, preserving capital for better opportunities."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"Secondary research is stale and misleading — market research reports are typically 12–24 months old and do not reflect current regulatory changes, competitive dynamics, or distribution availability.",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"Internal enthusiasm for a market creates confirmation bias — business development teams and regional champions often filter market evidence through a lens of wanting the market to work.",</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"Opportunity assessment scope is often too broad — assessing 'India' rather than 'pharmaceutical distribution in South India for specialty therapeutics' produces unusable outputs.",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"Fast-moving markets change between assessment and launch — opportunity assessments have a shelf life, and markets that have changed since assessment require re-validation before capital commitment."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"Specific commercial opportunity sizing|You need to know specifically how large the addressable opportunity is for your product in your target segment and geography — not total market size from a report.",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buyer and distributor validation|You need 30+ direct conversations with potential buyers, distributors, and regulators in your target market to validate the opportunity from the demand side.",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your competitors are positioned in the target market, what they charge, and what you will need to do to displace them.",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 and cost clarity|You need an honest assessment of what it will cost and how long it will take to achieve regulatory approval for your product in the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"Go/Defer/Kill recommendation|You need a clear recommendation — go now, defer until conditions improve, or kill the opportunity — with the evidence to defend it to your board.",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"Investment case preparation|You need the primary research and financial modelling to build the investment case for market entry if the assessment recommends Go."</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"Sector and geography scoping — we work with you to define the specific market segment, geography, and product application scope that makes the assessment commercially useful rather than generically descriptive.",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research design — 30+ expert interviews designed around your specific commercial questions covering buyers, distributors, regulators, and competitors in your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sizing from first principles — total addressable market, serviceable addressable market, and realistically capturable market for your product at achievable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 current competitor positioning, pricing, distribution relationships, and weaknesses that inform your market entry positioning.",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and timeline — honest assessment of what approvals are required, how long they take, and what they cost based on current regulatory officer interpretation.",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"Go/Defer/Kill recommendation with evidence — a clear recommendation with the supporting evidence, so your board can make the market entry decision with confidence."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opportunity assessment take?|Typically 4–6 weeks from engagement kick-off to final recommendation presentation.",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markets does GreyRadius cover for opportunity assessment?|India, UAE, Saudi Arabia, Southeast Asia (Indonesia, Vietnam, Singapore, Philippines, Thailand), and Africa (Nigeria, Kenya, South Africa, Ghana, Egypt).",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difference between an opportunity assessment and a market entry strategy?|An opportunity assessment answers whether to enter and where specifically. A market entry strategy answers how to enter — channel, pricing, regulatory pathway, partner selection. Both are primary research-grounded. Assessment typically precedes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many expert interviews does GreyRadius conduct per assessment?|30+ in target markets — the precise number and profile depends on your sector and target geography. We design the research plan to answer your specific commercial questions."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"opportunity assessment consulting, market opportunity assessment, emerging market opportunity assessment, India opportunity assessment, Gulf opportunity assessment, Africa market opportunity",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UAE, Saudi Arabia, Southeast Asia, Africa — all markets where GreyRadius operates",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"4–6",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"Weeks to Go/Defer/Kill recommendation",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"30+ primary expert interviews in target market, specific commercial opportunity sizing, and honest recommendation backed by evidence.",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"Expert interviews per opportunity assessment",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"Buyers, distributors, regulators, and competitors in your target market — primary evidence, not secondary reports.",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"100%",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"Assessments grounded in primary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"Every GreyRadius opportunity assessment is built on primary research in the target market — we do not recycle analyst reports."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"gtm-execution-service",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"GTM Execution-as-a-Service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GTM Execution-as-a-Service puts an embedded commercial team in India, Gulf, Southeast Asia, or Africa to drive pipeline, partner relationships, and first revenue on your behalf.",</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"GTM execution-as-a-service",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"An embedded commercial team in your target market driving pipeline and first revenue — without the cost and risk of a permanent headcount.",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"Market entry strategy without execution does not generate revenue. Most international companies entering India, Gulf, Southeast Asia, or Africa face the same challenge — they have a market entry strategy, they know they need a commercial presence in the market, but they cannot justify the cost and risk of hiring a full-time team before they have first revenue. GreyRadius GTM Execution-as-a-Service solves this by providing an embedded senior commercial team in your target market — building pipeline, developing distributor and partner relationships, attending industry events, and driving toward first revenue milestones on your behalf.",</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gap between market entry strategy completion and first revenue generation is where most international market entry programmes fail — not because the strategy is wrong, but because there is no one in the target market executing it. GTM-as-a-Service closes this gap immediately without the 3–6 month delay of hiring and onboarding a permanent head of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"Most market entry programmes stall after the strategy phase — not because the strategy is wrong but because no one is executing it in the market. GTM-as-a-Service keeps execution moving without permanent headcount.",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"The first hire in a new market is the highest-risk hire an international company makes — hiring the wrong country manager is expensive and sets back market entry by 12–18 months. GTM-as-a-Service de-risks this by establishing the market before a permanent hire.",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relationships in India, Gulf, and Africa are built through sustained in-person engagement — not emails from headquarters. GTM-as-a-Service provides the in-market relationship development that drives commercial outcomes.",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"First revenue creates organisational credibility for continued investment — GTM-as-a-Service de-risks the investment required to reach the first revenue milestone that justifies permanent team hiring."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"Permanent headcount is too expensive before first revenue — the cost and risk of hiring a full-time country director before market entry is proven creates a chicken-and-egg problem.",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"Country manager hiring takes too long — finding, hiring, and onboarding the right country manager typically takes 3–6 months, delaying execution after strategy completion.",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"In-market relationship development cannot be done from headquarters — distributors, enterprise buyers, and government programme contacts in India, Gulf, and Africa all require in-person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accountability is difficult to maintain for a new market team — GTM-as-a-Service provides built-in commercial accountability through milestone tracking and regular reporting."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"Immediate in-market commercial execution|You need commercial execution to start immediately after strategy completion without the 3–6 month delay of hiring a permanent country manager.",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relationship development|You need sustained in-market relationship development with distributors, enterprise buyers, and government contacts that cannot be done from headquarters.",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"Pipeline development and first revenue|You need a structured commercial programme driving toward defined first revenue milestones with regular pipeline reporting.",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risk reduction before permanent hire|You need to establish market position and prove the commercial model before making the permanent headcount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"Bridge to permanent team|You need GTM execution coverage while you search for and hire the right permanent country manager or business development head.",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intelligence during execution|You need ongoing competitive and market intelligence as commercial execution proceeds to inform strategy adjustments."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team deployment — senior GreyRadius commercial executives embedded in your target market, operating as your in-market team, attending events, and representing your business.",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pipeline — structured outreach to qualified distributors, system integrators, or commercial partners with meetings, proposals, and negotiation support.",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development — direct outreach to target enterprise buyers with product presentations, demonstrations, and procurement process navigation.",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access — identification and pursuit of government procurement opportunities, tender participation, and programme access in Vision 2030, Smart Cities, and equivalent programmes.",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"Pipeline reporting — weekly commercial pipeline reporting covering leads, meetings, proposals, and milestone progress against agreed first revenue targets.",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"Transition to permanent team — structured handover to your permanent country manager or business development hire when you are ready to build out the permanent team."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is GTM Execution-as-a-Service structured commercially?|Typically a monthly retainer covering the embedded commercial team plus success fees or milestone bonuses tied to agreed commercial milestones. Structure is designed for each engagement based on sector and geography.",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markets does GreyRadius provide GTM Execution-as-a-Service?|India, UAE, Saudi Arabia, and select Southeast Asia and Africa markets. Coverage depends on your sector and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GTM Execution-as-a-Service typically run?|Typically 6–18 months — from strategy completion through first revenue to permanent team establishment. Many engagements continue longer as the market develops.",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the GreyRadius GTM team work exclusively on our mandate?|Our senior commercial executives manage 2–3 complementary mandates simultaneously to maintain market connectivity — never competing mandates. Full transparency on portfolio."</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"GTM execution as a service, embedded commercial team India, market entry execution Gulf, Africa commercial execution, Southeast Asia GTM team, go to market execution emerging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UAE, Saudi Arabia, and select Southeast Asia and Africa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"6–18",</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"Months typical GTM execution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"From strategy completion through first revenue to permanent team establishment — continuous in-market commercial execution without permanent headcount risk.",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"Months saved versus permanent hire",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"GTM-as-a-Service deploys immediately after strategy completion — versus 3–6 months to hire and onboard a permanent country manager.",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"First revenue",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"The milestone that justifies permanent team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"GTM Execution-as-a-Service de-risks the investment required to reach first revenue — the proof point that makes permanent team hiring a business decision, not a leap of faith."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"pitchbook-fundraising-service",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"Pitchbook &amp; Fundraising Support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builds investor-grade pitch books for companies raising capital for India, Gulf, Southeast Asia, and Africa market entry — grounded in primary market research that investors can verify.",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"Pitchbook and fundraising support",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"Investor-grade pitch books grounded in primary market research — for companies raising capital to enter India, Gulf, Southeast Asia, and Africa.",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"Most pitch books for emerging market investment fail for the same reason — they are built on secondary research that sophisticated investors immediately recognise as recycled analyst reports. GreyRadius builds pitch books grounded in primary research — 30+ expert interviews with buyers, distributors, regulators, and competitors in the target market — producing market sizing, competitive analysis, and commercial validation that investors with emerging market portfolios cannot dismiss. Every GreyRadius pitch book tells a commercially honest story backed by primary evidence.",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"Investor interest in India, Gulf, and Africa is at record levels — India is the world's fastest-growing major economy, Gulf sovereign wealth funds are actively investing in international companies, and Africa is increasingly on institutional investor radars. Companies with primary-research-backed pitch books are closing rounds at better valuations than those presenting recycled analyst estimates.",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research changes pitch book quality fundamentally — market sizing built from 30+ buyer interviews produces more credible estimates than analyst reports because investors can understand the methodology.",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"Investors in emerging markets are sophisticated buyers — Gulf sovereign funds, India-focused PE, and Africa DFIs all have significant portfolio experience that makes them skilled at identifying secondary-data pitch books.",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"The commercial validation section is the most scrutinised part of a pitch book — proof that buyers want the product at the right price through the right channel is what institutional investors most want to see.",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"GreyRadius pitch books serve a dual purpose — raising capital and documenting the market entry strategy for the board and management team simultaneously."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"Secondary research makes pitch books generic — when every competitor uses the same analyst reports, the pitch books look identical and investors cannot differentiate the opportunity.",</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 sizing from reports is systematically overstated — analyst total market estimates are typically 3–5x the realistically accessible market for a new entrant, creating investor scepticism when projections are built on them.",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validation is missing from most pitch books — most pitch books describe the market but do not prove that buyers want the specific product at the specific price through the specific channel the company intends to use.",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"The India, Gulf, and Africa sections of pitch books are typically the weakest — most management teams understand their home market well but cannot speak with authority about their emerging market entry thesis."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market research for pitch book|You need 30+ expert interviews in your target market to produce commercially credible market sizing, buyer validation, and competitive intelligence for your pitch book.",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sizing from first principles|You need total addressable market, serviceable addressable market, and realistic year-one capture built from primary research methodology, not analyst report citation.",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validation evidence|You need documented buyer willingness to purchase at your proposed price through your proposed channel — the most credible investor evidence available.",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positioning|You need an honest competitive analysis covering real competitor pricing, distribution relationships, and weaknesses that you will exploit.",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 and cost|You need honest regulatory timeline and cost estimates that investors can sense-check against their portfolio experience.",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"Investment narrative|You need a compelling investment narrative that combines the commercial opportunity, primary validation, competitive differentiation, and management team into a coherent investor story."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"Primary research design and execution — 30+ expert interviews in target market designed to generate the commercial evidence the pitch book needs.",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 sizing methodology — bottom-up market sizing built from buyer interviews, distribution economics, and realistic capture assumptions rather than top-down analyst estimates.",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"Commercial validation documentation — structured documentation of buyer willingness to purchase, distributor willingness to list, and regulatory pathway confirmation.",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"Pitch book production — investment-grade deck combining primary research, market sizing, competitive analysis, commercial validation, and financial projections.",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"Investor narrative development — the story that connects the opportunity, validation, differentiation, and team into a compelling investor case.",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"Investor preparation — preparation for investor questions specifically about the primary research methodology, market sizing assumptions, and commercial validation evidence."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GreyRadius pitch book engagement take?|Typically 8–12 weeks — primary research, analysis, and pitch book production. Rush delivery possible with scope adjustment.",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markets does GreyRadius build pitch books for?|India, UAE, Saudi Arabia, Southeast Asia, and Africa — the geographies where we have primary research capability and credibility.",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help with investor introductions as well as pitch book preparation?|Our focus is pitch book quality — we do not provide investor introductions as a service, but a high-quality primary-research-backed pitch book significantly improves fundraising success 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difference between a GreyRadius pitch book and a standard investment bank CIM?|A GreyRadius pitch book is built on primary research in the target market — 30+ expert interviews producing first-hand commercial evidence. A CIM typically uses secondary research and management-provided data."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"pitch book consulting emerging markets, fundraising India market entry, investor pitch book India Gulf Africa, emerging market pitch book, fundraising support Southeast Asia, market entry fundraising advisory",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UAE, Saudi Arabia, Southeast Asia, Africa — pitch books for all markets where GreyRadius operates",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"Primary interviews per pitch book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"Buyers, distributors, regulators, and competitors in the target market — producing commercially credible evidence that sophisticated investors cannot dismiss.",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"8–12",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"Weeks to investment-grade pitch book",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"Primary research design, field execution, analysis, and pitch book production — rigorous without being slow.",</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"100%",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"Pitch books grounded in primary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"Every GreyRadius pitch book is built on primary research in the target market — we do not recycle analyst reports or produce generic market descriptions."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"feasibility-tev-service",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"Feasibility Study &amp; TEV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delivers technical and economic feasibility studies for India, Gulf, Southeast Asia, and Africa market entry investments — grounded in primary research with regulatory, distribution, and financial rigour.",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"Feasibility study and technical economic viability",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"Is the investment financially viable — and what does it actually cost? Rigorous feasibility grounded in primary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 feasibility study answers the question that an opportunity assessment identifies: given that the opportunity exists, is the investment financially viable? GreyRadius feasibility studies and technical economic viability assessments cover the full commercial and operational picture — regulatory timelines and costs from current regulatory officer interpretation, distribution economics from distributor interviews, capital and operating cost from market pricing, and financial projections built from primary inputs rather than international benchmarks. The output is a financial model with primary-research-grounded assumptions that a board can use to make an investment decision.",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"Feasibility studies are most valuable before capital commitment — before regulatory applications are filed, before distribution agreements are signed, and before teams are hired. The cost of a rigorous feasibility study is a fraction of the cost of discovering financial non-viability 18 months into a market entry programme.",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cost and timeline are the most commonly underestimated feasibility inputs — FSSAI, CDSCO, NCA, and SFDA timelines based on current regulatory officer interpretation differ significantly from public guidelines.",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economics vary dramatically from market to market — Indian pharmaceutical distributors work on 8–12% margin while Gulf FMCG distributors work on 25–35%, completely changing unit economics for the same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"Working capital requirements are consistently underestimated — the cash flow gap between product landing and distributor payment in emerging markets is typically 90–180 days, requiring significant working capital planning.",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"Scenario analysis is as important as base case — feasibility studies that only model the base case are misleading; pessimistic and optimistic scenarios are required for honest board decision-making."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"International benchmarks produce wrong cost assumptions — applying US or European cost structures to India, Gulf, or Africa markets systematically misstates the financial model.",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cost and timeline uncertainty is the biggest feasibility risk — public guidelines often do not reflect actual approval timelines that vary by product risk class, regulatory officer interpretation, and current queue.",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economics are commercially sensitive — margin structures, exclusivity requirements, and minimum order quantities are not publicly available and require direct distributor negotiation to establish.",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"Currency and macro risk modelling is often omitted — feasibility studies that do not model INR, AED, or NGN exchange rate scenarios against investment returns are incomplete for board decision-making."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 and cost assessment|You need current regulatory officer interpretation of timelines and costs for your specific product in your target market — not public guidelines.",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economics modelling|You need distributor margin structures, exclusivity requirements, and payment terms from direct distributor conversations for your financial model.",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"Capital and operating cost build|You need capital and operating cost estimates from current market pricing for equipment, real estate, staffing, and compliance in your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"Financial projection with primary inputs|You need a financial model built from primary-research inputs — revenue assumptions from buyer willingness-to-pay interviews, cost assumptions from market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"Scenario analysis|You need base, pessimistic, and optimistic scenarios to give your board the full range of financial outcomes before committing capital.",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"Investment decision recommendation|You need a clear financially grounded recommendation on whether to proceed, defer, or restructure the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feasibility — current regulatory timeline and cost estimates from regulatory officer and specialist interviews for your specific product and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economics — margin structure, payment terms, exclusivity requirements, and working capital implications from direct distributor conversations.",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"Capital and operating cost build — market-priced capex and opex assumptions covering equipment, real estate, staffing, licensing, and compliance across your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"Financial model — integrated P&amp;L, cash flow, and balance sheet model built from primary-research inputs with clearly documented assumptions.",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"Scenario analysis — base, pessimistic, and optimistic scenarios covering key risk variables including regulatory timeline, adoption pace, and currency movement.",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"Investment recommendation — financially grounded Go/Restructure/Kill recommendation with sensitivity analysis and key value drivers clearly identified."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feasibility study take?|Typically 6–10 weeks — primary research, regulatory and distribution interviews, cost build, and financial modelling.",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difference between an opportunity assessment and a feasibility study?|An opportunity assessment identifies and sizes the commercial opportunity. A feasibility study models the financial viability of the investment required to capture that opportunity. Assessments often precede feasibility studies.",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build the financial model or work with the client's existing model?|Either — we build the model from first principles if the client does not have one, or populate primary-research inputs into the client's existing model structure.",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markets does GreyRadius cover for feasibility studies?|India, UAE, Saudi Arabia, Southeast Asia, and Africa — the geographies where we have primary research capability and market cost data."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"feasibility study emerging markets, TEV India market entry, technical economic viability Gulf, market entry feasibility assessment, Africa feasibility study, Southeast Asia market entry feasibility",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UAE, Saudi Arabia, Southeast Asia, Africa — all markets where GreyRadius operates",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"6–10",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"Weeks to investment-grade feasibility study",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"Primary research, regulatory and distribution interviews, cost build, and financial model — rigorous inputs for board-level investment decisions.",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"Expert interviews per feasibility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"Regulatory officers, distributors, and market pricing specialists — primary inputs that make the financial model credible.",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"Scenarios in every GreyRadius feasibility study",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"Base, pessimistic, and optimistic — giving boards the full range of financial outcomes before capital commitment."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"ai-consulting-transformation",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"services",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"AI Consulting &amp; Transformation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companies identify, prioritise, and implement AI use cases in India, Gulf, Southeast Asia, and Africa — with market-specific AI strategy, vendor selection, and implementation roadmaps.",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"AI consulting and transformation",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"AI strategy grounded in commercial reality — identifying and implementing AI use cases that create value in India, Gulf, Southeast Asia, and Africa.",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"AI creates different commercial opportunities in different markets — the AI use cases that create value in a Gulf NOC are different from those that create value for an Indian MSME lender or an African off-grid solar operator. GreyRadius helps companies identify the AI use cases that create real commercial value in their target emerging markets, prioritise them by ROI and implementation complexity, select the right technology partners, and build the implementation roadmap. Our AI consulting is grounded in commercial reality — we focus on use cases that can be implemented and monetised, not theoretical applications.",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"AI adoption in India, Gulf, and Africa is at an inflection point — Gulf governments are mandating AI in government services, Indian enterprises are actively procuring AI platforms, and African fintech and agritech companies are deploying AI at scale. Companies that develop AI capability in these markets in 2024–2027 will build competitive advantages that are difficult to replicate.",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creates different commercial opportunities across emerging markets — Arabic NLP in Gulf, Hindi and regional language AI in India, and low-bandwidth AI in Africa all require market-specific AI development priorities.",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ROI in emerging markets is often higher than developed markets — lower baseline automation in Indian MSMEs, Gulf government services, and African agriculture means AI creates larger efficiency improvements than in already-automated developed market environments.",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"Local language AI is a significant competitive moat — AI products with high-quality Arabic, Hindi, Swahili, or Bahasa Indonesia capability have sustainable competitive advantages over global AI platforms with weak local language performance.",</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implementation failure in emerging markets is usually about data, not models — the most common AI implementation problem is insufficient quality local data, not model architecture or compute."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use case prioritisation is the most important and most neglected AI strategy decision — companies often pursue the most technically interesting use cases rather than the highest commercial value ones.",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"Local language AI quality varies dramatically — some global AI platforms have acceptable Arabic or Hindi quality, others do not, and quality differences that seem small in demos matter enormously in production deployment.",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implementation in emerging markets faces data quality challenges — customer data, transaction data, and operational data in emerging markets are often less structured than developed market equivalents.",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governance and regulatory requirements are evolving — SDAIA AI ethics framework, India's DPDP AI provisions, and emerging ASEAN AI governance frameworks all create compliance requirements that AI implementations must address."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use case identification for your market|You need to identify the specific AI use cases that create commercial value in your target emerging market — not a generic AI strategy framework.",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prioritisation by ROI and feasibility|You need a prioritised AI roadmap ranked by commercial impact and implementation feasibility in your specific market context.",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vendor selection for emerging markets|You need to evaluate and select AI vendors with genuine local language quality, data sovereignty compliance, and emerging market implementation track records.",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implementation roadmap|You need a phased AI implementation plan with clear milestones, data requirements, and commercial outcomes for each phase.",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governance and regulatory compliance|You need an AI governance framework that addresses SDAIA, DPDP, and relevant market AI regulatory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ROI measurement|You need a commercial measurement framework for AI investment returns in your target market context."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opportunity identification — market-specific AI use case discovery covering customer service, operations, underwriting, logistics, and sector-specific applications in your target emerging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prioritisation workshop — facilitated prioritisation of identified use cases by commercial impact, data availability, implementation complexity, and regulatory compliance.",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vendor evaluation — structured evaluation of AI vendors for local language quality, data sovereignty compliance, emerging market references, and implementation support.",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implementation roadmap — phased implementation plan with data requirements, integration architecture, change management plan, and commercial milestones per phase.",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governance framework — governance policy, model documentation, bias monitoring, and regulatory compliance framework for AI deployment in target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"AI performance measurement — KPIs, dashboards, and commercial measurement framework for AI investment returns."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build AI models or help select and implement existing AI platforms?|Primarily the latter — we identify the right use cases, select the right vendors, and design the implementation roadmap. We work with specialist AI development partners for custom model development.",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AI use cases are most common across GreyRadius's client base?|Arabic and local language customer service, credit scoring and underwriting, demand forecasting, and compliance automation are the most commonly implemented.",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AI consulting engagement take?|Use case identification and prioritisation: 4–6 weeks. Vendor selection and implementation roadmap: 8–12 weeks. Implementation support: ongoing.",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only work on AI for companies entering emerging markets, or also companies already operating there?|Both — AI consulting for market entry (identifying AI-enabled competitive advantages) and AI consulting for existing operations (optimising and automating current workflows)."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"AI consulting India, AI transformation Gulf, emerging markets AI strategy, AI consulting Africa, AI use cases India Gulf Africa, AI implementation Southeast Asia, local language AI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UAE, Saudi Arabia, Southeast Asia, Africa — all markets where GreyRadius operates",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"4–6",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"Weeks to AI use case prioritisation",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"Market-specific AI opportunity identification and ROI-ranked prioritisation — grounded in commercial reality, not technology hype.",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"AI use case types evaluated per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"Customer service, operations, underwriting, logistics, and sector-specific applications — comprehensive use case discovery before prioritisation.",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"Local language",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"AI quality is the most important market entry differentiator",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"Arabic, Hindi, Swahili, Bahasa Indonesia — AI products with genuine local language capability have sustainable competitive advantages in emerging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"india-fmcg-distribution",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FMCG Distribution Strategy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FMCG companies develop India distribution strategies covering modern trade, general trade, e-commerce, and distributor selection across India's $700B consumer goods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"India FMCG distribution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"Reaching India's 900,000 kirana stores and 50 million e-commerce buyers — distribution strategy for consumer goods companies entering India.",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FMCG distribution is the most complex in the world — a network of 900,000 kirana stores, 5,000 modern trade outlets, 800,000 pharmacy chemists, 15 million e-commerce sellers, and a Meesho reseller network of 15 million reaching Tier 4 towns. International FMCG companies consistently underestimate this complexity and overestimate how quickly national distribution can be achieved. GreyRadius helps international FMCG companies develop India distribution strategies that are sequenced correctly — metro modern trade first, then general trade expansion, then e-commerce, then Tier 2-4 — with the right national distributor as the commercial foundation.",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FMCG distribution landscape is changing faster than at any point in its history — quick commerce through Blinkit and Zepto is creating 10-minute delivery infrastructure in 50+ cities, ONDC is enabling direct-to-consumer without platform lock-in, and Meesho's reseller network is reaching 500 million consumers in Tier 2-4 cities. Companies that design their India FMCG distribution strategy for 2024 rather than 2019 will achieve national reach significantly faster.",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FMCG market is $700B+ annually — the third-largest globally and growing at 10%+ as urbanisation, income growth, and modern trade expansion all drive branded consumer goods adoption.",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"Modern trade in India is concentrated among 5 chains — D-Mart, Reliance Smart, Big Bazaar, Spencer's, and Star Bazaar handle 80% of modern trade FMCG volume and are the essential first channel for international brands.",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"Quick commerce is growing at 60% annually — Blinkit, Zepto, and Swiggy Instamart are creating a new high-frequency FMCG channel in metro India that international brands cannot afford to ignore.",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"National distributor selection is the most important India FMCG decision — the right national distributor with pan-India coverage, cold chain, and retailer relationships is the difference between reaching 100,000 outlets and 5,000."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"National FMCG distributors in India have category specialisation — food, personal care, pharmaceutical, and general merchandise distributors have different retailer relationships and logistics infrastructure requiring careful category-specific selection.",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"General trade distribution in India is fragmented and relationship-driven — kirana store owners buy based on personal relationships with salesmen, requiring territory-by-territory field force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"Returns and damage in Indian FMCG logistics are significant — product damage rates in general trade logistics of 3–5% must be modelled into distribution economics from the beginning.",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"State-level licensing for FMCG products — FSSAI state licences, GSTIN state registration, and drug licences for health products all create administrative complexity for national distribution."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FMCG national distributor identification|You need to identify and evaluate national FMCG distributors with the right category specialisation, retailer coverage, cold chain, and financial capacity for your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"Metro modern trade listing strategy|You need a strategy for securing listings in D-Mart, Reliance Smart, Big Bazaar, and other modern trade chains including buyer relationship development and trade term negotiation.",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FMCG e-commerce channel strategy|You need a channel mix strategy covering Amazon India, Flipkart, Meesho, Blinkit, and Nykaa for your specific product category.",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"State-by-state expansion sequencing|You need a state expansion plan that sequences modern trade metro launch, then general trade expansion, with state-level licensing managed in advance.",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"Trade marketing and in-store activation|You need a trade marketing strategy covering shelf placement, POP materials, and retailer incentive structures for Indian general and modern trade.",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FMCG pricing architecture|You need an India price architecture covering MRP, trade margins, and price bridge from international to Indian pricing that maintains channel economics."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"National distributor identification — identifying and evaluating 3–5 qualified national FMCG distributors with the right category, coverage, and cold chain for your product category.",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"Modern trade buyer engagement — identifying and initiating relationships with category buyers at D-Mart, Reliance Smart, and Big Bazaar for product listing conversations.",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"E-commerce channel strategy — platform mix, seller structure, advertising strategy, and first-30-days sales plan for Amazon India, Flipkart, Meesho, and quick commerce.",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 expansion sequencing — phased state-by-state expansion plan with pre-cleared FSSAI licences, GSTIN registrations, and distributor appointment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"Trade marketing plan — shelf placement strategy, POP design brief, and retailer incentive structure for India general and modern trade.",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"FMCG financial model — revenue build from distribution expansion sequencing with trade margins, damage allowances, and working capital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FMCG categories does GreyRadius cover for India distribution strategy?|All FMCG categories — packaged food, beverages, personal care, household, health supplements, and OTC pharmaceuticals.",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FMCG distribution strategy engagement take?|Typically 6–8 weeks for distributor identification, channel strategy, and state expansion sequencing.",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qualified Indian FMCG national distributors?|Yes — national distributor identification and commercial introductions are core to this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recommended launch channel sequence for international FMCG brands entering India?|Modern trade metro launch first — D-Mart and Reliance Smart — then e-commerce activation, then general trade expansion. This sequence builds brand recognition before the higher-cost general trade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FMCG distribution strategy, India consumer goods distribution, India modern trade distribution, India general trade distribution, India FMCG distributor selection, India retail distribution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metro modern trade first: Mumbai, Delhi NCR, Bengaluru, Hyderabad, Chennai; then Tier 2 cities via general trade",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"900,000",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"Kirana stores in India",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"Plus 5,000 modern trade outlets, 800,000 pharmacy chemists, and 15 million e-commerce sellers — India's FMCG distribution is the world's most complex and most rewarding to master.",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"6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"India FMCG distribution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"National distributor identification, modern trade listing strategy, e-commerce channel plan, and state expansion sequencing.",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"D-Mart first",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FMCG market entry sequence",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"Modern trade metro listing builds brand recognition before the higher-cost general trade investment — the most capital-efficient India FMCG launch sequence."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"gulf-vision-2030-opportunities",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"Vision 2030 Commercial Opportunities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maps Vision 2030 commercial procurement opportunities for international companies across NEOM, Red Sea Project, Saudi Giga-projects, and sectoral transformation programmes.",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"Vision 2030 commercial opportunities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"The world's largest government-led commercial transformation — mapping procurement opportunities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"Saudi Arabia's Vision 2030 is the world's most significant commercial opportunity for international companies in government programme procurement — combining $1T+ in programme investment, active procurement across technology, healthcare, tourism, construction, logistics, financial services, and manufacturing, and a government that explicitly wants international companies as delivery partners. Understanding which Vision 2030 programmes are procuring what, at what stage, through which procurement pathways, is the most valuable commercial intelligence available for international companies evaluating Saudi Arabia market entry. GreyRadius maps Vision 2030 procurement opportunities and develops the access strategy for international companies seeking to participate.",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"Vision 2030 programme procurement is at peak intensity — NEOM's cognitive city technology procurement, Red Sea Project hotel and resort development, Diriyah heritage city construction, AlUla tourism infrastructure, and Qiddiya entertainment development are all in active procurement phases simultaneously in 2024–2027. International companies that access Vision 2030 procurement in this window are establishing relationships that generate sustained revenue through 2030 and beyond.",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"Vision 2030 covers 96 strategic objectives across 13 Vision Realisation Programmes — each with dedicated programme office, budget, and procurement function creating 96 parallel procurement entry points.",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"NEOM alone has a $500B+ development budget — Sindalah Island, Trojena ski resort, The Line cognitive city, and Oxagon industrial city are each individually larger than most countries' infrastructure programmes.",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"PIF portfolio companies are Vision 2030's commercial execution vehicles — Saudi Aramco, STC, SABIC, Saudi Airlines, and 20+ other PIF entities are all procuring technology, services, and products for Vision 2030 transformation.",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in-country value requirements apply to most Vision 2030 procurement — companies that understand ICV scoring and establish Saudi manufacturing or assembly create significant procurement advantages over pure-import competitors."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procurement access requires the right entry pathway — direct government tendering, PIF portfolio company procurement, and Vision Realisation Programme contracting all have different access requirements and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"Supplier pre-qualification is mandatory for most major Vision 2030 contracts — NEOM, Red Sea Company, and Diriyah Gate Authority all require formal pre-qualification before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compliance is commercially essential — companies without an ICV strategy face systematic procurement disadvantages in Saudi Arabia regardless of product quality.",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"Procurement timelines are government-paced — Vision 2030 procurement decisions can take 18–36 months from initial RFI to contract award requiring sustained commercial patience."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programme opportunity mapping|You need a map of which Vision 2030 programmes are actively procuring in your sector, at what stage, and through which procurement pathways.",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"Supplier pre-qualification strategy|You need to navigate NEOM, Red Sea Company, NEOM, and Saudi Aramco vendor pre-qualification processes for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strategy|You need an in-country value strategy that meets Vision 2030 ICV requirements and creates procurement qualification advantages.",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procurement timeline planning|You need a realistic timeline from initial programme engagement to contract award that your board can plan capital deployment against.",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"PIF portfolio company access|You need to identify which PIF portfolio companies are procuring in your sector and how to initiate commercial relationships with their procurement teams.",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partner and agent identification|You need a Saudi commercial agent or JV partner with Vision 2030 programme relationships that accelerates procurement access."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programme opportunity mapping — sector-specific mapping of active Vision 2030 procurement across NEOM, Red Sea, Diriyah, AlUla, Qiddiya, and sector VRPs.",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"Supplier pre-qualification navigation — process mapping and documentation preparation for NEOM, Red Sea Company, and major Saudi public entity vendor registration.",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strategy development — ICV scoring analysis, local manufacturing or assembly options, and ICV compliance plan for Saudi Arabia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"PIF portfolio company outreach — identification of relevant PIF portfolio company procurement contacts and structured commercial engagement plan.",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 commercial agent identification — qualified Saudi agents or JV partners with Vision 2030 programme relationships in your sector.",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"Vision 2030 procurement calendar — timeline planning for procurement phases from initial programme engagement to contract award."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Vision 2030 programmes does GreyRadius map procurement opportunities for?|All 13 Vision Realisation Programmes — NEOM, Red Sea Project, Diriyah, AlUla, Qiddiya, sports, tourism, health, education, financial sector, digital economy, national transformation, and housing.",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Vision 2030 opportunity mapping engagement take?|Typically 6–8 weeks for sector-specific programme mapping, procurement pathway analysis, and access strategy development.",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Saudi commercial agents for Vision 2030 procurement?|Yes — qualified Saudi agent identification with Vision 2030 programme relationships in your sector is part of our Gulf market entry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only cover Saudi Arabia for Vision 2030 or also UAE's equivalent programmes?|Both — UAE's National Agenda, Economic Vision 2031, and Smart Government strategy are all mapped alongside Saudi Vision 2030 in Gulf market entry engagements."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"Vision 2030 market entry, NEOM procurement opportunities, Saudi Arabia Vision 2030 consulting, Vision 2030 commercial access, Saudi giga-project market entry, Vision 2030 advisory",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Riyadh Vision 2030 programme offices, NEOM, Red Sea Project, Diriyah, AlUla, Qiddiya",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"Saudi Vision 2030 total programme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"stat1b": "96 strategic objectives, 13 Vision Realisation Programmes, and PIF portfolio transformation — the world's most active government programme procurement environment.",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"96",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"Vision 2030 strategic objectives — each a procurement entry point",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"Understanding which objectives are procuring in your sector and how to access them is the highest-value Gulf market intelligence available.",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"2030",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"Programme completion target — procurement active now",</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"Vision 2030 procurement is at peak intensity in 2024–2027 — the companies accessing it now are establishing relationships that generate sustained revenue through the decade."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"india-regulatory-guide",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Regulatory Guide for International Companies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maps India's regulatory landscape for international companies — FSSAI, CDSCO, IRDAI, RBI, SEBI, DoT, and sector-specific requirements with realistic timelines and compliance costs.",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"India regulatory guide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"India's regulatory landscape navigated — FSSAI, CDSCO, IRDAI, RBI, SEBI, DoT, and 20+ sector regulators mapped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regulatory landscape is one of the most complex in the world for international companies — with FSSAI for food, CDSCO for drugs and medical devices, IRDAI for insurance, RBI for banking and payments, SEBI for capital markets, DoT for telecommunications, CERT-In for cybersecurity, and 20+ additional sector-specific regulators all with distinct requirements. GreyRadius has navigated India's regulatory landscape across every major sector for international company clients and maps current regulatory requirements, realistic approval timelines, and compliance costs as part of every India market entry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regulatory environment is changing faster than at any point in its history — IRDAI's 100% FDI liberalisation, Defence FDI to 100%, DPDP Act implementation, CERT-In's mandatory breach reporting, and IN-SPACe space liberalisation have all happened in the past three years. International companies working from outdated regulatory knowledge are systematically underestimating access and overestimating restriction.",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regulatory timeline estimates from public guidelines are systematically understated — current CDSCO drug approval times, FSSAI health supplement registration, and IRDAI licensing timelines all run significantly longer than public documents suggest.",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has liberalised foreign investment significantly in the past five years — defence manufacturing to 100%, insurance to 100%, e-commerce infrastructure to 100%, and space to 74% have all opened previously restricted categories.",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"CERT-In's 2022 directives have transformed cybersecurity compliance requirements — mandatory 6-hour breach reporting, VPN logging, and security audit obligations now apply to all significant digital businesses operating in India.",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"India's DPDP Act is creating data governance compliance requirements — companies processing Indian personal data must implement consent management, data localisation for some categories, and security standards under DPDP."</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"Public regulatory guidelines do not reflect current approval timelines — FSSAI, CDSCO, and IRDAI approval times based on current queue, regulatory officer interpretation, and applicant preparation quality all differ from published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"Multiple regulators apply to many businesses — a health supplement company in India faces FSSAI, AYUSH, BIS, DPCO, and potentially CDSCO simultaneously requiring coordinated regulatory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"State-level licensing requirements add to central licensing — GST state registration, FSSAI state licence, drug licence, and shop and establishment licence all vary by state adding compliance complexity.",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interpretation varies by regulatory officer — the same application can receive different treatment from different FSSAI or CDSCO officers creating unpredictability that requires experienced regulatory counsel."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regulatory mapping for your sector|You need a current map of all regulatory requirements applicable to your business in India — central, state, and sector-specific.",</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"Realistic regulatory timeline assessment|You need current regulatory timeline estimates from regulatory specialists and recent applicant experience, not public guidelines.",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"Multi-regulator coordination strategy|You need a coordinated regulatory application strategy that manages multiple simultaneous regulatory applications efficiently.",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regulatory counsel identification|You need qualified India regulatory counsel with specific sector expertise and recent approval track record.",</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"DPDP and CERT-In compliance assessment|You need an assessment of your DPDP and CERT-In compliance obligations and the investment required to meet them.",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 licensing coordination|You need a state-by-state licensing plan that pre-clears required licences before your market launch date."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regulatory landscape mapping — complete mapping of central and state regulatory requirements applicable to your business with current approval timelines and compliance costs.",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timeline modelling — honest timeline estimates for each applicable regulatory approval based on current regulatory officer interpretation and recent applicant experience.",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"Multi-regulator coordination plan — phased regulatory application plan that sequences applications correctly and manages interdependencies between regulatory approvals.",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counsel identification — introduction to qualified India regulatory counsel with relevant sector expertise and recent approval track record.",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"DPDP and CERT-In compliance roadmap — assessment of DPDP data governance and CERT-In cybersecurity compliance obligations with implementation roadmap.",</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"State licensing calendar — state-by-state licensing requirements mapped against your planned market entry timeline."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India regulators does GreyRadius map?|FSSAI, CDSCO, IRDAI, RBI, SEBI, DoT, CERT-In, DPDP, IN-SPACe, DGCA, PESO, BIS, and all sector-specific regulators applicable to your business.",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India regulatory mapping take?|Typically 2–4 weeks as a standalone engagement, or incorporated into a broader market entry strategy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provide regulatory advice or introduce regulatory counsel?|We map requirements and realistic timelines — formal regulatory advice and application management are provided by qualified Indian regulatory counsel we introduce.",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often does India's regulatory landscape change?|Significant changes occur 2–3 times per year — our regulatory mapping always reflects current requirements rather than published guidelines that may be 12–24 months stale."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regulatory guide, FSSAI regulatory requirements, CDSCO India approval, IRDAI market entry, India regulatory compliance, India sector regulatory landscape, India business regulations",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central regulatory bodies in New Delhi and Mumbai; state licensing requirements mapped for all 28 states and 8 union territories relevant to engagement scope",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"20+",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sector regulators mapped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"FSSAI, CDSCO, IRDAI, RBI, SEBI, DoT, CERT-In, and sector-specific regulators — complete regulatory landscape for every sector where GreyRadius operates.",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"2–4",</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"Weeks for India regulatory landscape mapping",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"Current approval timelines from regulatory specialist interviews — not public guidelines that are systematically understated.",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"100%",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"Regulatory timelines verified against recent applicant experience",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"Every regulatory timeline estimate is cross-checked against recent applicant experience — not taken from public guidance documents."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"africa-fmcg-distribution",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FMCG Distribution Strategy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FMCG companies develop Africa distribution strategies covering modern trade, informal trade, and e-commerce distributor selection across Nigeria, Kenya, South Africa, and Ghana.",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"Africa FMCG distribution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"Reaching Africa's kiosks, supermarkets, and mobile commerce — distribution strategy for consumer goods companies entering Africa.",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FMCG distribution is characterised by one critical truth — informal trade still accounts for 70%+ of consumer goods volume in most Sub-Saharan African markets. International FMCG companies that focus exclusively on modern trade miss the majority of African consumers. GreyRadius helps international FMCG companies develop Africa distribution strategies that combine modern trade listing for brand building with informal trade reach for volume — with the right national distributor for each market as the commercial foundation.",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FMCG distribution landscape is changing — mobile van sales, e-commerce through Jumia, WhatsApp commerce, and traditional open-air markets are all coexisting and growing simultaneously. The FMCG brands that design distribution strategies for Africa's current hybrid channel reality rather than replicating Western modern-trade-only approaches will achieve national reach at lower cost and faster timescale.",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"Africa's informal trade accounts for 70%+ of FMCG volume — kiosks, open-air markets, and mobile van distributors reaching consumers that modern trade cannot access create the volume base for any serious Africa FMCG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"Nigeria's FMCG market requires Lagos as the pilot — establishing distribution in Lagos first, then Abuja, then secondary cities is the standard Nigeria FMCG market entry sequence used by all successful international brands.",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"Kenya's modern trade is more sophisticated than most Sub-Saharan Africa — Naivas, Carrefour, and QuickMart together reaching 50%+ of Nairobi's consumer goods spending create a viable modern-trade-first entry sequence.",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retail sector is world-class — Shoprite, Pick n Pay, SPAR, and Woolworths operate at European standards creating an accessible modern trade channel for international FMCG brands."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national distributor quality varies enormously — the difference between the best and worst FMCG distributors in Nigeria, Kenya, and Ghana is the single most important market entry variable.",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"Cold chain infrastructure outside major cities is limited — products requiring temperature control face significant distribution constraints beyond Tier 1 cities in most African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"Currency devaluation affects FMCG pricing strategy — Nigerian Naira, Ghanaian Cedi, and other currency movements require FMCG pricing architectures that absorb devaluation without frequent consumer price increases.",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requires sachet and small-pack strategy — African consumers in informal trade buy in small quantities requiring pack sizes that are smaller than international standard formats."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national distributor identification|You need to identify and rigorously evaluate national FMCG distributors in each target African market with the right coverage, cold chain, financial capacity, and track record.",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"Informal trade distribution strategy|You need a strategy for accessing Africa's 70% informal trade volume through mobile van distributors, open-air market wholesalers, and kiosk supply chains.",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modern trade listing strategy|You need a strategy for securing listings in Shoprite, Carrefour Africa, Naivas, and Spar Africa including buyer relationship development and trade term negotiation.",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pricing architecture|You need a pricing architecture that covers full-size and sachet formats with margins that work for African distributors and price points that work for African consumers.",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e-commerce channel strategy|You need a strategy for Jumia, Kilimall, and WhatsApp commerce in your target African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"Country-by-country expansion sequencing|You need a sequenced Africa expansion plan that builds from anchor markets outward."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"National distributor identification — identifying and evaluating 3–5 qualified national FMCG distributors per market with the right category coverage, informal trade reach, and cold chain.",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"Modern trade buyer engagement — initiating relationships with category buyers at Shoprite, Carrefour Africa, Naivas, and Pick n Pay for product listing conversations.",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"Informal trade access strategy — mobile van distribution, open-air market wholesaler engagement, and kiosk supply chain design for each target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"Pack size and pricing architecture — sachet and full-size format strategy with trade margin architecture for African distributor and consumer economics.",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"Country expansion sequencing — Nigeria-Kenya-South Africa-Ghana standard sequencing with market-specific adaptation for your category.",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FMCG financial model — revenue build from distribution expansion sequencing with trade margins, currency risk provisions, and working capital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FMCG categories does GreyRadius cover for Africa distribution strategy?|All FMCG categories — packaged food, beverages, personal care, household, health, and baby products.",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FMCG distribution strategy engagement take?|Typically 8–10 weeks for multi-market distributor identification, channel strategy, and country expansion sequencing.",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qualified African FMCG national distributors?|Yes — national distributor identification and commercial introductions are core to this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"Why does GreyRadius emphasise informal trade so heavily for Africa?|Because 70%+ of FMCG volume in most Sub-Saharan African markets moves through informal trade — any Africa FMCG strategy that ignores informal trade channels is ignoring the majority of the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FMCG distribution strategy, Nigeria consumer goods distribution, Kenya FMCG distributor, Africa informal trade distribution, Africa modern trade listing, Sub-Saharan FMCG distribution",</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"regions": "Nigeria — Lagos and Abuja; Kenya — Nairobi; South Africa — Johannesburg and Cape Town; Ghana — Accra; with secondary cities and informal trade nationwide",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"70%+",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"FMCG volume through informal trade in Sub-Saharan Africa",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"Kiosks, open-air markets, and mobile van distributors — the majority of Africa's FMCG volume that modern-trade-only strategies miss entirely.",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"8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"Africa FMCG distribution strategy delivery",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"Multi-market distributor identification, modern trade listing strategy, informal trade access plan, and country expansion sequencing.",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"Lagos first",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"Nigeria FMCG market entry sequence",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"Lagos pilot distribution then Abuja then secondary cities — the standard sequence used by all successful international FMCG brands entering Nigeria."</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"india-enterprise-buyer-guide",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Enterprise Buyer Guide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maps India's enterprise technology buying process for international companies — procurement cycles, decision-maker profiles, evaluation criteria, and reference customer development strategies.",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"India enterprise buyer guide for international technology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"Who buys enterprise technology in India, how they buy it, and how international companies win their first reference customers.",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enterprise technology buying process is fundamentally different from Western markets — and international technology companies consistently underestimate these differences. Indian enterprise procurement involves more stakeholders, longer timelines, more aggressive price negotiation, and a much higher weight on reference customers than Western enterprise sales. GreyRadius has supported technology companies through Indian enterprise sales processes across BFSI, healthcare, manufacturing, logistics, and government and maps the India enterprise buyer landscape as part of every technology market entry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enterprise technology market is in the middle of a structural upgrade cycle — cloud migration, AI adoption, and cybersecurity compliance investment are all simultaneously active creating multiple independent enterprise technology buying moments. Companies that understand the India enterprise buying process and position correctly for it will close deals faster than those applying Western sales playbooks to Indian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technology decisions involve 5–7 stakeholders — IT director, functional head, finance, procurement, and often the CEO or founder at mid-market companies. Managing this multi-stakeholder process differently from a Western 2-3 stakeholder process is the key to India enterprise sales success.",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"Reference customers are the most important India enterprise sales tool — Indian enterprise buyers place extraordinary weight on Indian reference customers who will take reference calls from prospects. A single strong Indian reference customer accelerates the next 10 deals.",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pricing at 30–50% of international list is not negotiation — it is the right price for the Indian market given enterprise budgets and competitive alternatives. Companies that approach India pricing as discounting rather than market pricing consistently struggle.",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"Sales cycles in India are 40–60% longer than Western equivalents — BFSI procurement in India averages 14 months from first meeting to signed contract versus 8 months in comparable Western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"Western sales playbooks do not translate — SDR-led outbound, digital-first demand generation, and inside sales models all underperform in India enterprise versus relationship-driven, in-person sales approaches.",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"Partner dependency is higher in India — system integrators and consulting partners have much stronger influence over technology decisions in India than in Western markets, making partner strategy critical.",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"POC and pilot requirements are nearly universal — Indian enterprise buyers almost always require a paid or unpaid proof of concept before committing to full deployment, extending deal cycles.",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deals are often won on support and implementation quality — Indian enterprise buyers weight post-sales support capability very highly, often more than product features."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buyer profiling|You need profiles of your target enterprise buyers in India — decision-maker roles, evaluation criteria, procurement process, and reference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sales process design|You need a sales process adapted for India enterprise buying — multi-stakeholder management, POC structure, pricing architecture, and partner involvement.",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 channel and partner strategy|You need a system integrator and consulting partner strategy that positions your product correctly with the partners who influence your target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reference customer development|You need a structured programme for developing Indian reference customers who will take reference calls and provide case study content.",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pricing strategy|You need India-specific pricing architecture that reflects Indian enterprise budget levels and competitive market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marketing strategy|You need an India enterprise demand generation approach — events, analyst relations, and content strategy calibrated for India enterprise buyer behaviour."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profiling — decision-maker role mapping, evaluation criteria, procurement process timeline, and reference requirements for your target India enterprise segment.",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sales process adaptation — multi-stakeholder management framework, POC programme design, pricing architecture, and negotiation approach for Indian enterprise deals.",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"System integrator partner strategy — identification of 3–5 target SI and consulting partners with influence over your target enterprise buyers and partnership activation plan.",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"Reference customer programme — structured programme for identifying, recruiting, and developing Indian reference customers including case study framework.",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pricing architecture — India-specific pricing model with enterprise tier structure, discount framework, and partner margin architecture.",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enterprise marketing plan — events calendar, analyst relations targets, LinkedIn content strategy, and demand generation approach calibrated for India enterprise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sectors does GreyRadius cover for India enterprise buyer profiling?|BFSI, healthcare, manufacturing, logistics, government, retail, and IT services — all major Indian enterprise technology buying sectors.",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enterprise buyer guide engagement take?|Typically 4–6 weeks as a standalone buyer profiling and sales process design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us to potential Indian reference customers?|Yes — reference customer identification and initial introductions are part of our India enterprise GTM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different is selling to Indian banks versus Indian manufacturers?|Very different — BFSI procurement is more structured, longer, and more compliance-focused; manufacturing procurement is more operations-focused and influenced by plant managers rather than IT. We profile sector-specific buyer processes."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enterprise buyer guide, India B2B technology sales, India enterprise procurement process, India enterprise sales strategy, India technology buyer, India enterprise software GTM",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BFSI in Mumbai, technology and manufacturing in Bengaluru and Pune, government in Delhi NCR, healthcare in Chennai and Hyderabad",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"5–7",</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"Stakeholders in a typical India enterprise technology decision",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"IT, functional head, finance, procurement, and often CEO or founder — managing this multi-stakeholder process differently from Western sales is the key to India enterprise success.",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"14 months",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"Average India BFSI enterprise sales cycle",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"40–60% longer than Western equivalents — Indian enterprise sales requires sustained relationship investment that inside sales and digital-only models cannot deliver.",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"Strong Indian reference customer accelerates the next 10 deals",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"Indian enterprise buyers place extraordinary weight on local reference customers — building the first reference customer is the highest-leverage India enterprise sales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"gulf-localisation-strategy",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"Gulf Localisation &amp; ICV Strategy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develop Gulf localisation strategies covering ICV compliance, Saudisation, Emiratisation, and local manufacturing or assembly for Saudi Arabia and UAE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"Gulf localisation and ICV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"In-country value, Saudisation, and Emiratisation — localisation strategy for international companies competing for Gulf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"Localisation requirements are the most consistently underestimated dimension of Gulf market entry for international companies — ICV scoring in Saudi Arabia, Emiratisation in UAE, and Omanisation in Oman all create mandatory local content obligations that affect procurement qualification, operating cost, and commercial structure. International companies that understand Gulf localisation requirements and build them into their market entry strategy from the beginning compete more effectively for Gulf government and enterprise procurement than those who discover the </w:t>
      </w:r>
      <w:r>
        <w:rPr>
          <w:rFonts w:ascii="Courier New" w:eastAsia="Courier New" w:hAnsi="Courier New" w:cs="Courier New"/>
          <w:color w:val="1B2A4A"/>
          <w:sz w:val="16"/>
          <w:szCs w:val="16"/>
        </w:rPr>
        <w:lastRenderedPageBreak/>
        <w:t>requirements after entering. GreyRadius maps Gulf localisation requirements and develops practical compliance strategies as part of every Gulf market entry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ICV programme is becoming more stringent — minimum ICV scores for government and quasi-government procurement are rising annually, and companies without a credible ICV strategy are being systematically excluded from major contract opportunities. Building ICV compliance in 2024–2026 positions companies for the peak Vision 2030 procurement volumes in 2027–2030.",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ICV minimum score requirement for government procurement is 30%+ and rising — companies that cannot demonstrate Saudi local content at or above the threshold are excluded from major contract categories regardless of product quality.",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scoring covers multiple localisation dimensions — Saudi workforce percentage, in-kingdom spending, local manufacturing, training investment, and technology transfer all contribute to ICV score.",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"Emiratisation in UAE is creating graduated requirements — increasing Emirati national employment percentages in financial services, insurance, and professional services are affecting staffing cost structures for international companies in UAE.",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"Local manufacturing or assembly — even at modest scale — creates ICV scoring advantages disproportionate to the investment — a small in-kingdom assembly operation can improve ICV scores by 15–20 points."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scoring methodology is complex — the 20+ ICV scoring dimensions each require documentation, third-party verification, and annual renewal creating significant compliance management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 manufacturing or assembly infrastructure is still developing — finding appropriate industrial zone space, qualified suppliers, and trained workforce for in-kingdom operations requires more planning than ICV assessments suggest.",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minimum percentages vary by sector — healthcare, banking, financial services, and telecommunications all have different Saudi national employment minimum thresholds affecting workforce planning.",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compliance is not a one-time achievement — ICV scores are reassessed annually and must be maintained or improved to retain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localisation requirements mapping|You need a complete map of ICV, Saudisation, and Emiratisation requirements applicable to your business across Saudi Arabia and UAE.",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scoring assessment and improvement plan|You need an assessment of your current ICV score and a specific action plan for achieving the minimum threshold for your target procurement categories.",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"In-kingdom manufacturing or assembly strategy|You need an assessment of whether in-kingdom manufacturing or assembly creates sufficient ICV advantage to justify the investment for your business.",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workforce planning|You need a Saudisation-compliant workforce plan that meets minimum national employment thresholds across your Saudi operations.",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documentation and verification process|You need a process for documenting, calculating, and submitting ICV scores for third-party verification and government submission.",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localisation partner identification|You need Saudi manufacturing partners, logistics companies, and professional services firms as ICV-qualifying in-country expenditure partners."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requirements mapping — complete ICV, Saudisation, and Emiratisation requirements mapped for your sector and procurement target categories.",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score assessment — current ICV score calculation and gap analysis against minimum threshold for your target procurement categories.",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improvement action plan — specific actions ranked by ICV score improvement per investment dollar — in-kingdom hiring, local purchasing, manufacturing, and technology transfer.",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"In-kingdom manufacturing feasibility — assessment of whether in-kingdom manufacturing or assembly is financially justified by ICV scoring benefits for your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workforce plan — Saudisation-compliant staffing plan with recruitment strategy, training programme, and progression framework.",</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documentation process — process design for monthly ICV data collection, annual calculation, and third-party verification submission."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"What is ICV and why does it matter for Gulf market entry?|In-Country Value measures the economic benefit of a company's operations for Saudi Arabia — higher ICV scores create procurement qualification advantages and are increasingly mandatory for government contracts.",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ICV apply in UAE as well as Saudi Arabia?|UAE has its own local content and Emiratisation requirements, distinct from Saudi ICV — we map both simultaneously for companies entering both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"What is the minimum ICV score needed for Saudi government procurement?|Minimum ICV thresholds vary by contract category and ministry — they range from 10% for some imports to 40%+ for professional services. We assess the specific threshold applicable to your target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developing a credible ICV strategy take?|Typically 4–6 weeks for ICV requirements mapping and improvement action plan — in-kingdom manufacturing feasibility adds 4–6 additional weeks."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ICV strategy, Saudi Arabia in country value, Saudisation strategy, Emiratisation strategy, Gulf localisation strategy, ICV compliance Saudi Arabia, Gulf procurement localisation",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Riyadh and all regions for Saudisation and ICV; UAE — Dubai and Abu Dhabi for Emiratisation",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"Saudi ICV minimum score for most government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"Rising annually — companies without a credible ICV strategy are systematically excluded from Saudi government and quasi-government contracts regardless of product quality.",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"20+",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"ICV scoring dimensions",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"Saudi workforce, in-kingdom spending, local manufacturing, training investment, and technology transfer — ICV compliance is multidimensional and requires active management.",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"15–20",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"ICV score points from in-kingdom assembly",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"Even modest in-kingdom assembly creates ICV scoring advantages disproportionate to the investment — often the most cost-effective ICV improvement action."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"india-b2b-saas-pricing",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"enterprise-saas",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B2B SaaS Pricing Strategy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B2B SaaS companies develop India-specific pricing strategies that drive enterprise adoption without destroying unit economics — grounded in Indian enterprise buyer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"India B2B SaaS pricing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"Indian enterprises pay 30–50% of US SaaS pricing. Here is how to build an India price architecture that works.",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"India SaaS pricing is the most commonly mishandled aspect of India market entry for international B2B software companies — and it is the most common reason India SaaS launches fail. Indian enterprises consistently reject international list price. The instinct to 'discount India' by applying a flat percentage to global pricing produces India prices that are still too high, erodes global pricing discipline, and does not reflect how India pricing should actually be structured. GreyRadius builds India SaaS pricing architectures grounded in primary research with Indian enterprise buyers — understanding what they pay for comparable products, what value they are willing to pay for, and what commercial structures work for India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SaaS market is growing at 30% annually — but it is also commoditising rapidly as hundreds of global SaaS vendors compete for Indian enterprise buyers. The companies that price correctly for India in 2024–2026 will build ARR at the rates that make India a significant revenue contributor; companies that price incorrectly will generate expensive Indian pipeline that rarely closes.",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"Indian enterprise SaaS budgets are 30–50% of equivalent US enterprise budgets — not because Indian enterprises do not value software, but because Indian business economics produce lower revenue-per-employee than US counterparts.",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"Usage-based pricing outperforms seat-based pricing in India — Indian enterprises prefer to pay for what they use and scale up than to commit to seats they may not fill, making usage-based models significantly more successful.",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"Annual upfront payment is preferred in India — Indian enterprise procurement typically approves annual budgets, making annual upfront contracts easier to approve than monthly subscriptions.",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channel partner margin must be built into India pricing — system integrator and reseller margins of 20–30% must be incorporated into India pricing architecture from the beginning, not added as afterthoughts."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"Flat percentage India discount is not a pricing strategy — applying 40% India discount to global list pricing produces India prices that are typically still too high for mid-market India enterprises and damages global pricing integrity.",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tier cannot simply be a lower price tier — India requires different pricing metrics (usage vs seats), different billing cycles (annual vs monthly), and different commercial structure (co-term, multi-year discounts) not just lower numbers.",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 pricing affects global price integrity — how you price India is observed by international enterprise buyers who use India pricing as leverage in global negotiations if the India tier is not clearly differentiated.",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"Enterprise and SME India pricing are fundamentally different — large Indian enterprises (Tata, Mahindra, HDFC) have budget processes similar to Western enterprises but mid-market Indian companies (Rs 100–500 crore) have completely different procurement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SaaS pricing research|You need primary research with 20–30 Indian enterprise buyers in your category to understand what they currently pay for comparable solutions and what value they would pay for your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architecture design|You need an India pricing architecture that covers enterprise and mid-market segments with the right metrics (usage vs seat vs outcome), billing cycle, and commercial structure.",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metric selection|You need to determine whether seat-based, usage-based, or outcome-based pricing works best for your product in the Indian market based on buyer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channel pricing design|You need SI and reseller margin architecture built into India pricing that makes the channel economics work without compressing vendor margins below viability.",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"India-global pricing boundary management|You need guardrails and differentiation that prevent India pricing from being used as leverage in global enterprise negotiations.",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implementation|You need CRM configuration, quoting tools, and sales training to implement India pricing consistently across your India commercial team."</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SaaS pricing research — 20–30 primary interviews with Indian enterprise buyers in your segment covering current spend, evaluation criteria, and willingness to pay for your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architecture — enterprise and mid-market price architecture with correct metrics, billing cycle, discount structure, and channel margin for India market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metric recommendation — data-driven recommendation on usage-based vs seat-based vs outcome-based pricing for India based on buyer research and competitive landscape.",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"Channel pricing design — SI and reseller margin architecture integrated into India price architecture from first principles.",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"Global pricing protection strategy — differentiation, geographic restriction, and commercial policy guardrails that prevent India pricing from undermining global enterprise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"India pricing rollout — CRM configuration, quoting templates, and sales team training for India pricing implementation."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much lower should India SaaS pricing be versus global pricing?|Typically 30–50% lower, but the right answer depends on your specific segment — enterprise banking software may be 35% lower, HR tech may be 50% lower. Primary buyer research is the only reliable way to determine India-specific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"Should India pricing be public or private?|Private with clear differentiation is the standard approach — India pricing is offered to companies meeting clear India criteria (registered Indian entity, India-based users) to prevent global enterprise buyers from claiming India pricing.",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usage-based or seat-based pricing for India?|Usage-based is more commonly successful in India because Indian enterprises prefer to pay for what they use and scale up. But this depends on the product — we research which metric Indian buyers prefer for your specific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do you handle multi-national Indian companies that want India pricing for global seats?|India pricing must be explicitly limited to India-based users — this restriction is standard practice and accepted by Indian enterprise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SaaS pricing strategy, India B2B software pricing, India enterprise software pricing, India SaaS pricing model, B2B pricing India, India technology pricing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enterprise pricing relevant across all Indian geographies; mid-market pricing particularly relevant for Mumbai, Delhi NCR, Bengaluru, and Hyderabad",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"30–50%",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SaaS pricing versus global list",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"Not negotiation — the correct India price for most SaaS categories based on Indian enterprise economics, competitive landscape, and buyer willingness to pay.",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"20–30",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"Indian enterprise buyer interviews per pricing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"Current spend, evaluation criteria, and willingness to pay — primary buyer research produces pricing architecture that is grounded in what Indian enterprises actually pay.",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"Annual upfront",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enterprise preferred billing cycle",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"Indian enterprise procurement approves annual budgets — annual upfront contracts are easier to approve than monthly subscriptions and produce better vendor cash flow."</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"africa-consumer-research",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Consumer Research &amp; Market Validation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conducts primary consumer research in Africa for international companies — validating demand, testing price points, and assessing distribution channel preferences before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"Africa consumer research and market validation",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"What African consumers actually want, what they will pay, and how they buy — primary research before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consumer markets are frequently described and rarely understood — analyst reports aggregate 54 diverse countries into generic statements about rising middle classes and mobile penetration that do not tell international companies whether their specific product will sell, at what price, through which channel, and in which of Africa's many distinct consumer segments. GreyRadius conducts primary consumer research in African markets — consumer interviews, focus groups, product testing, and distribution channel surveys — producing market validation that international companies can make investment decisions against.",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consumer markets are moving faster than secondary research can track — mobile money adoption, social commerce, and urban income growth are all changing African consumer behaviour at speeds that 12-month-old market reports cannot capture. Companies that base Africa market entry decisions on current primary research rather than stale secondary reports significantly outperform those that do not.",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"African consumer research consistently reveals significant price sensitivity across all income segments — price points that seem low by international standards routinely fail initial consumer acceptance testing in African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"Pack size and format preferences differ dramatically from international standards — sachet formats, small unit counts, and affordable individual servings consistently outsell international standard pack sizes at all African income levels.",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"Channel preference varies significantly between urban and peri-urban African consumers — urban Lagos and Nairobi consumers are accessible through modern trade and mobile commerce while peri-urban consumers require traditional trade and mobile money.",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"Brand trust requires demonstration in Africa — consumer willingness to try an unknown international brand without sampling, endorsement, or reference from trusted community members is significantly lower than in Western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"African consumer panels and quantitative research are expensive and unreliable — panel methodologies that work in developed markets do not work well in African markets with lower internet penetration and panel fatigue.",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"Urban African consumer research does not represent all Africa — Lagos, Nairobi, and Johannesburg consumers are unrepresentative of the broader African consumer market requiring market-specific research design.",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"Research translation and cultural mediation — research conducted by international research companies without local cultural fluency systematically misses nuances in African consumer responses.",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"Product category familiarity varies — African consumers may not have reference points for entirely new product categories, requiring research methodologies that include sufficient product education before preference testing."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"Africa consumer demand validation|You need primary consumer research in your target African markets validating that your product, at your proposed price point, meets genuine consumer needs.",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testing|You need to determine what African consumers in your target market and segment will actually pay for your product — not what they say they will pay in abstract.",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channel preference research|You need to understand whether your target African consumers prefer to buy through modern trade, informal trade, mobile commerce, or direct agents.",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"Brand and packaging consumer testing|You need to test your brand positioning and packaging with African consumers before investing in market launch.",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"Segmentation research|You need to understand the different African consumer segments within your target market — income, geography, lifestyle, and category usage — to identify the right launch segment.",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usage and satisfaction research|You need to understand what your target African consumers currently use to meet the need your product addresses and how satisfied they are."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validation — qualitative consumer interviews (20–30) in target African cities validating product concept, price point, and purchase intent.",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research — quantitative price sensitivity testing with statistical validity for your target African consumer segment.",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channel survey — structured survey of 50–100 consumers in target markets covering preferred purchase channels and mobile payment usage.",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"Concept and packaging testing — structured consumer testing of brand concept and packaging with African consumer feedback and iteration recommendations.",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"Consumer segmentation analysis — identification and sizing of distinct consumer segments within your target African market based on primary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usage research — structured research covering competitive product usage, satisfaction, switching barriers, and white space in your product category."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cities does GreyRadius conduct consumer research in?|Lagos, Abuja, Nairobi, Johannesburg, Cape Town, Accra, Addis Ababa, Dar es Salaam, and Kigali — all subject to engagement scope.",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Africa consumer research take?|Typically 4–6 weeks from research design to final report — qualitative consumer interviews and analysis.",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many consumer interviews does GreyRadius conduct per African market?|Typically 20–30 qualitative consumer interviews per city or market — designed to achieve thematic saturation rather than statistical significance.",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conduct group discussions or individual interviews?|Both — we design the research methodology for your specific question. Individual in-depth interviews for sensitive topics and premium segment research; focus groups for concept and packaging testing."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consumer research, African market validation, Nigeria consumer research, Kenya consumer testing, Africa primary research, African consumer demand validation, Sub-Saharan consumer market research",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"Lagos, Abuja, Nairobi, Johannesburg, Cape Town, Accra, Addis Ababa, Dar es Salaam, Kigali — all African research cities available subject to engagement scope",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"20–30",</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"Consumer interviews per African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"Designed for thematic saturation — understanding what African consumers want, will pay, and how they buy before committing to market entry investment.",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"4–6",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"Weeks from research design to final report",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"Research design, field execution, analysis, and presentation — rigorous primary research without excessive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"Price sensitivity",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"The most frequently underestimated Africa consumer research finding",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"African consumers consistently demonstrate greater price sensitivity than international benchmarks suggest — primary research reveals the actual price-value relationship for your product."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"gulf-enterprise-buyer-guide",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"Gulf Enterprise Buyer Guide | GreyRadius Consulting",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maps the Gulf enterprise buying process for international technology and services companies — decision-maker profiles, procurement timelines, Arabic requirements, and reference customer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"Gulf enterprise buyer guide for international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"How Gulf enterprises buy technology and services — and how international companies win their first Gulf reference customers.",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"Gulf enterprise procurement is fundamentally different from Western enterprise sales — and international companies consistently underestimate these differences. Government-adjacent buying processes, Arabic language requirements, relationship-first commercial culture, and Saudisation compliance requirements all create a procurement environment that Western sales playbooks are not designed for. GreyRadius has supported technology and services companies through Gulf enterprise and government sales processes across financial services, healthcare, energy, telecoms, and retail and maps the Gulf enterprise buyer landscape as part of every technology market entry engagement.",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enterprise technology investment is at record levels in 2024–2027 — Vision 2030 transformation mandates, AI deployment acceleration, and digital transformation of financial services are all creating active Gulf enterprise technology buying moments simultaneously. Companies that understand Gulf procurement dynamics will close deals faster and waste less pipeline investment than those applying Western B2B sales models.",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technology decisions are relationship-first — commercial relationships with government entities, NOCs, and large Gulf enterprises are initiated through senior introductions, not cold outreach or digital demand generation.",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demos and collateral are increasingly required — Gulf enterprise buyers, particularly in Saudi Arabia, expect Arabic-language product demonstrations and proposal documents for government and quasi-government procurement.",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"Reference customers must be Gulf-based — Gulf enterprise buyers place negligible weight on US or European reference customers. A single Saudi Aramco or Emirates NBD reference accelerates subsequent Gulf deals significantly.",</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"Procurement timelines are government-paced — government-adjacent Gulf enterprise deals take 18–36 months from first meeting to contract award requiring commercial patience that Western sales cultures find challenging."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"Cold outreach fails in Gulf enterprise — email and LinkedIn outreach to Gulf government officials and large enterprise buyers is almost never successful. Senior introductions through trusted intermediaries are the only reliable engagement initiation.",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"Proof of concept requirements are standard — Gulf enterprise buyers almost universally require a paid or unpaid pilot before committing to production deployment, extending deal timelines but building implementation confidence.",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"ICV and Saudisation compliance affects vendor selection — Gulf enterprise buyers increasingly require vendors to demonstrate ICV compliance and local hiring commitment before procurement qualification.",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"Arabic product capability is a hard filter — Gulf government buyers in Saudi Arabia will not proceed to evaluation of products that do not have credible Arabic language capability."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buyer profiling|You need profiles of your target Gulf enterprise buyers — decision-maker roles, procurement process, Arabic requirements, and reference customer expectations.",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sales process design|You need a sales process adapted for Gulf enterprise buying — senior introduction strategy, Arabic demo capability, POC structure, and ICV compliance.",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channel and partner strategy|You need a local agent, system integrator, and government relationship partner strategy that positions your product correctly with Gulf enterprise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reference customer development|You need a structured programme for developing Gulf reference customers — the single highest-leverage investment in Gulf enterprise sales.",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pricing strategy|You need Gulf-specific pricing architecture reflecting Gulf enterprise budget levels and competitive market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marketing strategy|You need a Gulf enterprise demand generation approach — events, Arabic thought leadership, and executive engagement calibrated for Gulf buyer behaviour."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buyer profiling — decision-maker role mapping, procurement process timeline, Arabic requirements, and reference customer expectations for your target Gulf enterprise segment.",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sales process design — senior introduction strategy, Arabic capability roadmap, POC programme design, and ICV compliance integration for Gulf enterprise deals.",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relationship partner strategy — identification of Gulf agents, SI partners, and government relationship advisors with genuine access to your target buyer community.",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"Reference customer programme — structured programme for identifying, recruiting, and developing Gulf reference customers in Saudi Arabia and UAE.",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pricing architecture — Gulf-specific pricing model reflecting enterprise budget levels, competitive dynamics, and ICV commercial requirements.",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marketing plan — events calendar, Arabic content strategy, and executive engagement approach calibrated for Gulf enterprise buyers."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sectors does GreyRadius cover for Gulf enterprise buyer profiling?|Financial services, healthcare, energy, telecoms, retail, and government — all major Gulf enterprise technology buying sectors.",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different is buying in Saudi Arabia versus UAE?|Saudi Arabia has more government-adjacent procurement with SDAIA and Vision 2030 programme influence; UAE is more commercially driven with multinational enterprise buyers alongside government. Both require relationship-first approaches.",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facilitate senior introductions to Gulf enterprise buyers?|We map the right introduction pathways and partners — facilitated introductions are an output of our Gulf GTM execution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important is Arabic language product capability for Gulf enterprise sales?|Critical for Saudi government and quasi-government; important for UAE government; less critical for UAE private sector multinational subsidiaries. We profile the specific requirement for your target segment."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enterprise buyer guide, Gulf B2B technology sales, Saudi Arabia enterprise procurement, UAE enterprise buying process, Gulf enterprise sales strategy, Gulf technology buyer",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multinational enterprise in Dubai and Abu Dhabi government entities; Saudi Arabia — Vision 2030 programme entities and PIF portfolio companies in Riyadh",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"18–36",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"Months for a Gulf government-adjacent enterprise deal",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"Commercial patience is required — Gulf procurement timelines are 2–3x longer than Western equivalents but deal values and contract duration are proportionally larger.",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"1",</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"Gulf reference customer accelerates subsequent Gulf deals significantly",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enterprise buyers place negligible weight on non-Gulf references — a single Saudi Aramco or Emirates NBD reference is worth 10 Western references in Gulf enterprise sales.",</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"stat3n": "Relationship first",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enterprise sales initiation model",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"Senior introductions through trusted intermediaries are the only reliable way to initiate Gulf enterprise relationships — cold outreach consistently fails in this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"southeast-asia-enterprise-buyer-guide",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"parent": "geographies",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Enterprise Buyer Guide | GreyRadius",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maps the Southeast Asia enterprise buying process for international technology companies — decision-maker profiles, market-by-market procurement dynamics, localisation requirements, and first-deal strategy.",</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enterprise buyer guide for international technology companies",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"tagline": "How enterprise technology is bought across ASEAN — and how international companies win first deals in Indonesia, Vietnam, Singapore, and beyond.",</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enterprise technology buying process varies more across its 10 markets than any other region in the world — Singapore enterprise procurement resembles Western markets, Indonesia involves longer timelines and more stakeholders, Vietnam requires government and enterprise simultaneous engagement, and Philippines procurement is heavily influenced by family business dynamics. International technology companies that apply a single ASEAN enterprise sales model consistently underperform companies that adapt to each market's specific dynamics. GreyRadius maps the ASEAN enterprise buyer landscape and adapts enterprise sales approaches for each priority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enterprise technology buying is accelerating — Singapore's AI adoption, Indonesia's digital transformation, Vietnam's manufacturing technology procurement, and Philippines' universal healthcare implementation are all creating active enterprise buying moments in 2024–2027. Companies that understand each market's buyer dynamics will close ASEAN enterprise deals significantly faster than those applying generic approaches.",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"Singapore enterprise decisions most closely resemble Western procurement — structured RFP processes, professional procurement teams, and English-language documentation create a familiar enterprise sales environment for international vendors.",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"Indonesia enterprise decisions are longer and more stakeholder-intensive — decisions at large Indonesian corporates involve owner family members, professional management, IT, and procurement creating 5–7 stakeholder processes with 18–24 month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"Vietnamese enterprise procurement is relationship-driven — long-term relationships with Vietnamese enterprise buyers and government technology officials are built through sustained in-country presence, not remote selling.",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reference customers are market-specific — a Singapore reference does not transfer to Indonesia, and an Indonesian reference has limited value in Vietnam. Market-specific reference customers are required for each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"Single ASEAN enterprise model fails — Indonesia's family business decision dynamics, Vietnam's government influence, Singapore's Western-style procurement, and Philippines' relationship-driven buying all require market-specific sales approaches.",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"Language localisation affects enterprise sales in non-Singapore markets — Bahasa Indonesia, Vietnamese, and Thai are all required for effective enterprise sales below the multinational subsidiary level.",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dependency varies — Singapore enterprise procurement is accessible without local partners while Indonesia and Vietnam enterprise sales almost always require local partner or agent involvement.",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"Enterprise reference customer development is market-specific — building reference customers in each ASEAN market requires sustained in-country investment that cannot be shortcut by remote selling."</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buyer profiling|You need profiles of your target enterprise buyers in each priority ASEAN market — decision-maker roles, procurement process, language requirements, and reference expectations.",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"Market-specific enterprise sales process design|You need enterprise sales processes adapted for Singapore, Indonesia, Vietnam, and Philippines enterprise buyer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channel and partner strategy|You need market-specific local partner and agent strategies that position your product correctly with enterprise buyers in each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reference customer development|You need a structured programme for developing reference customers in each priority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pricing strategy|You need market-specific pricing architecture reflecting enterprise budget levels in Singapore, Indonesia, Vietnam, and Philippines.",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localisation roadmap|You need a product localisation roadmap prioritising Bahasa Indonesia, Vietnamese, and Thai for enterprise buyer adoption."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"service_angles":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buyer profiling — decision-maker role mapping, procurement process timeline, and language requirements for target enterprise segments in each priority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"Market-specific enterprise sales process — adapted sales process for Singapore, Indonesia, Vietnam, and Philippines enterprise buying dynamics.",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local partner strategy — market-specific local partner and agent identification with genuine enterprise buyer access in each priority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reference customer programme — structured programme for identifying, recruiting, and developing reference customers across ASEAN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pricing architecture — market-specific pricing with enterprise tier structure, discount framework, and partner margin for each ASEAN market.",</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"ASEAN enterprise localisation plan — product localisation roadmap prioritising highest-ROI language adaptations for enterprise buyer adoption."</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"Which ASEAN markets does GreyRadius profile for enterprise buyer dynamics?|Singapore, Indonesia, Vietnam, Philippines, Thailand, and Malaysia — the six primary ASEAN enterprise technology markets.",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different is enterprise selling in Singapore versus Indonesia?|Very different — Singapore resembles Western enterprise procurement; Indonesia involves owner family, professional management, and government influence with 2x longer decision timelines.",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ASEAN local partners for enterprise technology sales?|Yes — market-specific local partner and agent identification are core to our ASEAN enterprise GTM service.",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"How important is product localisation for ASEAN enterprise sales?|Critical below the multinational subsidiary level — Bahasa Indonesia for Indonesia enterprise, Vietnamese for Vietnam, Thai for Thailand. Singapore enterprise operates in English."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enterprise buyer guide, ASEAN B2B technology sales, Indonesia enterprise procurement, Vietnam enterprise buying, Singapore enterprise sales, ASEAN technology buyer guide",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"regions": "Singapore, Indonesia — Jakarta enterprise cluster, Vietnam — Ho Chi Minh City and Hanoi, Philippines — Manila enterprise market, Thailand — Bangkok, Malaysia — Kuala Lumpur",</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"stat1n": "18–24",</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"stat1l": "Months for an Indonesia large-enterprise technology deal",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"stat1b": "Owner family, professional management, IT, and procurement — Indonesia's multi-stakeholder enterprise process requires 2x the patience of Singapore enterprise sales.",</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"stat2n": "6",</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"stat2l": "ASEAN markets each requiring different enterprise sales approach",</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"stat2b": "Singapore resembles Western procurement, Indonesia is relationship and family-driven, Vietnam is government-influenced — one ASEAN model fails across all six.",</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"stat3n": "Market-specific",</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"stat3l": "ASEAN reference customers must be local",</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"stat3b": "A Singapore reference does not transfer to Indonesia. An Indonesian reference has limited value in Vietnam. Each ASEAN market requires its own reference customer programme."</w:t>
      </w:r>
    </w:p>
    <w:p w:rsidR="00262F24"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62F24" w:rsidRDefault="00000000">
      <w:pPr>
        <w:shd w:val="clear" w:color="auto" w:fill="F0F0F0"/>
        <w:spacing w:before="14" w:after="14"/>
        <w:ind w:left="360"/>
      </w:pPr>
      <w:r>
        <w:rPr>
          <w:rFonts w:ascii="Courier New" w:eastAsia="Courier New" w:hAnsi="Courier New" w:cs="Courier New"/>
          <w:color w:val="1B2A4A"/>
          <w:sz w:val="16"/>
          <w:szCs w:val="16"/>
        </w:rPr>
        <w:t>]</w:t>
      </w:r>
    </w:p>
    <w:p w:rsidR="00262F24" w:rsidRDefault="00262F24">
      <w:pPr>
        <w:pBdr>
          <w:bottom w:val="single" w:sz="8" w:space="1" w:color="1B2A4A"/>
        </w:pBdr>
        <w:spacing w:before="200" w:after="200"/>
      </w:pPr>
    </w:p>
    <w:p w:rsidR="00262F24" w:rsidRDefault="00000000">
      <w:pPr>
        <w:pStyle w:val="Heading1"/>
      </w:pPr>
      <w:r>
        <w:t>Final pilot architecture summary</w:t>
      </w:r>
    </w:p>
    <w:p w:rsidR="00262F24" w:rsidRDefault="00000000">
      <w:pPr>
        <w:spacing w:before="60" w:after="60"/>
      </w:pPr>
      <w:r>
        <w:rPr>
          <w:color w:val="222222"/>
        </w:rPr>
        <w:t>Batch 19 completes the pilot phase of the GreyRadius programmatic SEO system.</w:t>
      </w:r>
    </w:p>
    <w:p w:rsidR="00262F24" w:rsidRDefault="00262F24">
      <w:pPr>
        <w:spacing w:before="60" w:after="60"/>
      </w:pPr>
    </w:p>
    <w:p w:rsidR="00262F24" w:rsidRDefault="00000000">
      <w:pPr>
        <w:spacing w:before="60" w:after="60"/>
      </w:pPr>
      <w:r>
        <w:rPr>
          <w:color w:val="222222"/>
        </w:rPr>
        <w:t>Total pages built across all batches:</w:t>
      </w:r>
    </w:p>
    <w:p w:rsidR="00262F24" w:rsidRDefault="00000000">
      <w:pPr>
        <w:spacing w:before="60" w:after="60"/>
      </w:pPr>
      <w:r>
        <w:rPr>
          <w:color w:val="222222"/>
        </w:rPr>
        <w:t xml:space="preserve">  Batches 1–18:   319 pages</w:t>
      </w:r>
    </w:p>
    <w:p w:rsidR="00262F24" w:rsidRDefault="00000000">
      <w:pPr>
        <w:spacing w:before="60" w:after="60"/>
      </w:pPr>
      <w:r>
        <w:rPr>
          <w:color w:val="222222"/>
        </w:rPr>
        <w:t xml:space="preserve">  Batch 19:        20 pages</w:t>
      </w:r>
    </w:p>
    <w:p w:rsidR="00262F24" w:rsidRDefault="00000000">
      <w:pPr>
        <w:spacing w:before="60" w:after="60"/>
      </w:pPr>
      <w:r>
        <w:rPr>
          <w:color w:val="222222"/>
        </w:rPr>
        <w:t xml:space="preserve">  Grand total:    339 pages</w:t>
      </w:r>
    </w:p>
    <w:p w:rsidR="00262F24" w:rsidRDefault="00262F24">
      <w:pPr>
        <w:spacing w:before="60" w:after="60"/>
      </w:pPr>
    </w:p>
    <w:p w:rsidR="00262F24" w:rsidRDefault="00000000">
      <w:pPr>
        <w:spacing w:before="60" w:after="60"/>
      </w:pPr>
      <w:r>
        <w:rPr>
          <w:color w:val="222222"/>
        </w:rPr>
        <w:t>Architecture coverage:</w:t>
      </w:r>
    </w:p>
    <w:p w:rsidR="00262F24" w:rsidRDefault="00000000">
      <w:pPr>
        <w:pStyle w:val="ListParagraph"/>
        <w:numPr>
          <w:ilvl w:val="0"/>
          <w:numId w:val="2"/>
        </w:numPr>
        <w:spacing w:before="40" w:after="40"/>
      </w:pPr>
      <w:r>
        <w:rPr>
          <w:color w:val="222222"/>
        </w:rPr>
        <w:t>Tier 1 pillar pages: market entry consulting, India, Gulf, Africa, Southeast Asia</w:t>
      </w:r>
    </w:p>
    <w:p w:rsidR="00262F24" w:rsidRDefault="00000000">
      <w:pPr>
        <w:pStyle w:val="ListParagraph"/>
        <w:numPr>
          <w:ilvl w:val="0"/>
          <w:numId w:val="2"/>
        </w:numPr>
        <w:spacing w:before="40" w:after="40"/>
      </w:pPr>
      <w:r>
        <w:rPr>
          <w:color w:val="222222"/>
        </w:rPr>
        <w:t>Tier 2 service pages: opportunity assessment, GTM execution, pitchbook, feasibility, AI consulting, Vision 2030, India regulatory, Gulf localisation, India enterprise buyer</w:t>
      </w:r>
    </w:p>
    <w:p w:rsidR="00262F24" w:rsidRDefault="00000000">
      <w:pPr>
        <w:pStyle w:val="ListParagraph"/>
        <w:numPr>
          <w:ilvl w:val="0"/>
          <w:numId w:val="2"/>
        </w:numPr>
        <w:spacing w:before="40" w:after="40"/>
      </w:pPr>
      <w:r>
        <w:rPr>
          <w:color w:val="222222"/>
        </w:rPr>
        <w:t>Tier 3 country market entry: 40+ countries across India, Gulf, Southeast Asia, and Africa</w:t>
      </w:r>
    </w:p>
    <w:p w:rsidR="00262F24" w:rsidRDefault="00000000">
      <w:pPr>
        <w:pStyle w:val="ListParagraph"/>
        <w:numPr>
          <w:ilvl w:val="0"/>
          <w:numId w:val="2"/>
        </w:numPr>
        <w:spacing w:before="40" w:after="40"/>
      </w:pPr>
      <w:r>
        <w:rPr>
          <w:color w:val="222222"/>
        </w:rPr>
        <w:lastRenderedPageBreak/>
        <w:t>Tier 3 sector pages: 200+ sector-specific market entry pages across 30+ industry verticals</w:t>
      </w:r>
    </w:p>
    <w:p w:rsidR="00262F24" w:rsidRDefault="00000000">
      <w:pPr>
        <w:pStyle w:val="ListParagraph"/>
        <w:numPr>
          <w:ilvl w:val="0"/>
          <w:numId w:val="2"/>
        </w:numPr>
        <w:spacing w:before="40" w:after="40"/>
      </w:pPr>
      <w:r>
        <w:rPr>
          <w:color w:val="222222"/>
        </w:rPr>
        <w:t>Combined market strategy pages: 20+ India-Gulf, India-Africa, and triple-market combined strategy pages</w:t>
      </w:r>
    </w:p>
    <w:p w:rsidR="00262F24" w:rsidRDefault="00262F24">
      <w:pPr>
        <w:spacing w:before="60" w:after="60"/>
      </w:pPr>
    </w:p>
    <w:p w:rsidR="00262F24" w:rsidRDefault="00000000">
      <w:pPr>
        <w:spacing w:before="60" w:after="60"/>
      </w:pPr>
      <w:r>
        <w:rPr>
          <w:color w:val="222222"/>
        </w:rPr>
        <w:t>Phase 2 expansion (post-pilot review): 80 additional pages targeting remaining country and sector gaps to reach 400-page target.</w:t>
      </w:r>
    </w:p>
    <w:p w:rsidR="00262F24" w:rsidRDefault="00000000">
      <w:pPr>
        <w:spacing w:before="400"/>
      </w:pPr>
      <w:r>
        <w:rPr>
          <w:i/>
          <w:iCs/>
          <w:color w:val="666666"/>
          <w:sz w:val="16"/>
          <w:szCs w:val="16"/>
        </w:rPr>
        <w:t>GreyRadius Consulting | SEO Build Pack Batch 19 — Pilot Close | June 2026 | Confidential</w:t>
      </w:r>
    </w:p>
    <w:sectPr w:rsidR="00262F2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46F16"/>
    <w:multiLevelType w:val="hybridMultilevel"/>
    <w:tmpl w:val="BA5E52AE"/>
    <w:lvl w:ilvl="0" w:tplc="65000EC4">
      <w:start w:val="1"/>
      <w:numFmt w:val="bullet"/>
      <w:lvlText w:val="•"/>
      <w:lvlJc w:val="left"/>
      <w:pPr>
        <w:ind w:left="720" w:hanging="360"/>
      </w:pPr>
    </w:lvl>
    <w:lvl w:ilvl="1" w:tplc="D8724766">
      <w:numFmt w:val="decimal"/>
      <w:lvlText w:val=""/>
      <w:lvlJc w:val="left"/>
    </w:lvl>
    <w:lvl w:ilvl="2" w:tplc="6E38DF12">
      <w:numFmt w:val="decimal"/>
      <w:lvlText w:val=""/>
      <w:lvlJc w:val="left"/>
    </w:lvl>
    <w:lvl w:ilvl="3" w:tplc="30AA479E">
      <w:numFmt w:val="decimal"/>
      <w:lvlText w:val=""/>
      <w:lvlJc w:val="left"/>
    </w:lvl>
    <w:lvl w:ilvl="4" w:tplc="D8B2D378">
      <w:numFmt w:val="decimal"/>
      <w:lvlText w:val=""/>
      <w:lvlJc w:val="left"/>
    </w:lvl>
    <w:lvl w:ilvl="5" w:tplc="1F6A8D0E">
      <w:numFmt w:val="decimal"/>
      <w:lvlText w:val=""/>
      <w:lvlJc w:val="left"/>
    </w:lvl>
    <w:lvl w:ilvl="6" w:tplc="FE64EBD6">
      <w:numFmt w:val="decimal"/>
      <w:lvlText w:val=""/>
      <w:lvlJc w:val="left"/>
    </w:lvl>
    <w:lvl w:ilvl="7" w:tplc="037CF566">
      <w:numFmt w:val="decimal"/>
      <w:lvlText w:val=""/>
      <w:lvlJc w:val="left"/>
    </w:lvl>
    <w:lvl w:ilvl="8" w:tplc="F92CCC40">
      <w:numFmt w:val="decimal"/>
      <w:lvlText w:val=""/>
      <w:lvlJc w:val="left"/>
    </w:lvl>
  </w:abstractNum>
  <w:abstractNum w:abstractNumId="1" w15:restartNumberingAfterBreak="0">
    <w:nsid w:val="4DAF033E"/>
    <w:multiLevelType w:val="hybridMultilevel"/>
    <w:tmpl w:val="26782C50"/>
    <w:lvl w:ilvl="0" w:tplc="6792D0BC">
      <w:start w:val="1"/>
      <w:numFmt w:val="bullet"/>
      <w:lvlText w:val="●"/>
      <w:lvlJc w:val="left"/>
      <w:pPr>
        <w:ind w:left="720" w:hanging="360"/>
      </w:pPr>
    </w:lvl>
    <w:lvl w:ilvl="1" w:tplc="4B4876E8">
      <w:start w:val="1"/>
      <w:numFmt w:val="bullet"/>
      <w:lvlText w:val="○"/>
      <w:lvlJc w:val="left"/>
      <w:pPr>
        <w:ind w:left="1440" w:hanging="360"/>
      </w:pPr>
    </w:lvl>
    <w:lvl w:ilvl="2" w:tplc="488E01BC">
      <w:start w:val="1"/>
      <w:numFmt w:val="bullet"/>
      <w:lvlText w:val="■"/>
      <w:lvlJc w:val="left"/>
      <w:pPr>
        <w:ind w:left="2160" w:hanging="360"/>
      </w:pPr>
    </w:lvl>
    <w:lvl w:ilvl="3" w:tplc="CED8EE04">
      <w:start w:val="1"/>
      <w:numFmt w:val="bullet"/>
      <w:lvlText w:val="●"/>
      <w:lvlJc w:val="left"/>
      <w:pPr>
        <w:ind w:left="2880" w:hanging="360"/>
      </w:pPr>
    </w:lvl>
    <w:lvl w:ilvl="4" w:tplc="C14E46C2">
      <w:start w:val="1"/>
      <w:numFmt w:val="bullet"/>
      <w:lvlText w:val="○"/>
      <w:lvlJc w:val="left"/>
      <w:pPr>
        <w:ind w:left="3600" w:hanging="360"/>
      </w:pPr>
    </w:lvl>
    <w:lvl w:ilvl="5" w:tplc="1338B18E">
      <w:start w:val="1"/>
      <w:numFmt w:val="bullet"/>
      <w:lvlText w:val="■"/>
      <w:lvlJc w:val="left"/>
      <w:pPr>
        <w:ind w:left="4320" w:hanging="360"/>
      </w:pPr>
    </w:lvl>
    <w:lvl w:ilvl="6" w:tplc="2EA83A7E">
      <w:start w:val="1"/>
      <w:numFmt w:val="bullet"/>
      <w:lvlText w:val="●"/>
      <w:lvlJc w:val="left"/>
      <w:pPr>
        <w:ind w:left="5040" w:hanging="360"/>
      </w:pPr>
    </w:lvl>
    <w:lvl w:ilvl="7" w:tplc="48AAF816">
      <w:start w:val="1"/>
      <w:numFmt w:val="bullet"/>
      <w:lvlText w:val="●"/>
      <w:lvlJc w:val="left"/>
      <w:pPr>
        <w:ind w:left="5760" w:hanging="360"/>
      </w:pPr>
    </w:lvl>
    <w:lvl w:ilvl="8" w:tplc="29309298">
      <w:start w:val="1"/>
      <w:numFmt w:val="bullet"/>
      <w:lvlText w:val="●"/>
      <w:lvlJc w:val="left"/>
      <w:pPr>
        <w:ind w:left="6480" w:hanging="360"/>
      </w:pPr>
    </w:lvl>
  </w:abstractNum>
  <w:num w:numId="1" w16cid:durableId="1218856713">
    <w:abstractNumId w:val="1"/>
    <w:lvlOverride w:ilvl="0">
      <w:startOverride w:val="1"/>
    </w:lvlOverride>
  </w:num>
  <w:num w:numId="2" w16cid:durableId="1696997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F24"/>
    <w:rsid w:val="00262F24"/>
    <w:rsid w:val="005C12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2C42E57-5C3D-2746-8BD8-7D0A1A5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24359</Words>
  <Characters>138848</Characters>
  <Application>Microsoft Office Word</Application>
  <DocSecurity>0</DocSecurity>
  <Lines>1157</Lines>
  <Paragraphs>325</Paragraphs>
  <ScaleCrop>false</ScaleCrop>
  <Company/>
  <LinksUpToDate>false</LinksUpToDate>
  <CharactersWithSpaces>162882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2026-06-06T04:27:00Z</dcterms:created>
  <dcterms:modified xsi:type="dcterms:W3CDTF">2026-06-06T04:27:00Z</dcterms:modified>
</cp:coreProperties>
</file>