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 w:after="160"/>
      </w:pPr>
      <w:r>
        <w:rPr>
          <w:rFonts w:ascii="Aptos Display" w:hAnsi="Aptos Display"/>
          <w:b/>
          <w:color w:val="0B1F3A"/>
          <w:sz w:val="54"/>
        </w:rPr>
        <w:t>India Was a Growth Story.</w:t>
        <w:br/>
        <w:t>Investors Needed an Investment Case.</w:t>
      </w:r>
    </w:p>
    <w:p>
      <w:pPr>
        <w:spacing w:after="220" w:line="264" w:lineRule="auto"/>
      </w:pPr>
      <w:r>
        <w:rPr>
          <w:rFonts w:ascii="Aptos" w:hAnsi="Aptos"/>
          <w:i/>
          <w:color w:val="176B87"/>
          <w:sz w:val="24"/>
        </w:rPr>
        <w:t>How GreyRadius helped an international growth-stage company turn its India expansion thesis into an evidence-backed case for Series A funding.</w:t>
      </w:r>
    </w:p>
    <w:p>
      <w:pPr>
        <w:spacing w:after="160"/>
        <w:pBdr>
          <w:bottom w:val="single" w:sz="16" w:space="1" w:color="1A9A9A"/>
        </w:pBdr>
      </w:pPr>
    </w:p>
    <w:p>
      <w:pPr>
        <w:spacing w:after="40"/>
      </w:pPr>
      <w:r>
        <w:rPr>
          <w:b/>
          <w:color w:val="66727F"/>
          <w:sz w:val="17"/>
        </w:rPr>
        <w:t>FULL CASE STUDY</w:t>
      </w:r>
    </w:p>
    <w:p>
      <w:pPr>
        <w:pStyle w:val="Heading1"/>
        <w:keepNext/>
      </w:pPr>
      <w:r>
        <w:t>Context</w:t>
      </w:r>
    </w:p>
    <w:p>
      <w:pPr>
        <w:widowControl/>
      </w:pPr>
      <w:r>
        <w:t>An international growth-stage company had identified India as a priority expansion market. The opportunity appeared compelling: a large addressable customer base, favourable demand signals and the potential to create a new growth engine.</w:t>
      </w:r>
    </w:p>
    <w:p>
      <w:pPr>
        <w:widowControl/>
      </w:pPr>
      <w:r>
        <w:t>But entering India required external capital. The company needed to secure Series A funding while demonstrating that the proposed expansion was more than a broad market opportunity.</w:t>
      </w:r>
    </w:p>
    <w:p>
      <w:pPr>
        <w:widowControl/>
      </w:pPr>
      <w:r>
        <w:t>Leadership initially viewed the challenge as a fundraising and pitch-book problem. The underlying assumption was that a credible market-size narrative, supported by the company’s international growth story, would be sufficient to establish investor interest.</w:t>
      </w:r>
    </w:p>
    <w:p>
      <w:pPr>
        <w:widowControl/>
      </w:pPr>
      <w:r>
        <w:t>That assumption created risk. Investors were not only evaluating whether India was attractive. They were assessing whether this company could enter the market, acquire customers and deploy capital with enough discipline to convert the opportunity into commercial results.</w:t>
      </w:r>
    </w:p>
    <w:p>
      <w:pPr>
        <w:widowControl/>
      </w:pPr>
      <w:r>
        <w:t>Without that evidence, the India thesis remained strategically appealing but difficult to underwrite.</w:t>
      </w:r>
    </w:p>
    <w:p>
      <w:pPr>
        <w:pStyle w:val="Heading1"/>
        <w:keepNext/>
      </w:pPr>
      <w:r>
        <w:t>The Core Challenge</w:t>
      </w:r>
    </w:p>
    <w:p>
      <w:pPr>
        <w:widowControl/>
      </w:pPr>
      <w:r>
        <w:t>The surface problem was an investor narrative that needed greater clarity and conviction.</w:t>
      </w:r>
    </w:p>
    <w:p>
      <w:pPr>
        <w:widowControl/>
      </w:pPr>
      <w:r>
        <w:t>The real structural issue was that the expansion plan had not yet been translated into an investable operating case.</w:t>
      </w:r>
    </w:p>
    <w:p>
      <w:pPr>
        <w:widowControl/>
      </w:pPr>
      <w:r>
        <w:t>The India opportunity was presented primarily through market potential. It lacked sufficient primary-market evidence on customer demand, buying behaviour and the practical conditions required for market entry. The connection between funding, go-to-market execution and commercial milestones was also underdeveloped.</w:t>
      </w:r>
    </w:p>
    <w:p>
      <w:pPr>
        <w:widowControl/>
      </w:pPr>
      <w:r>
        <w:t>This created a gap between ambition and execution visibility.</w:t>
      </w:r>
    </w:p>
    <w:p>
      <w:pPr>
        <w:widowControl/>
      </w:pPr>
      <w:r>
        <w:t>Investors could understand why India mattered, but they had limited evidence showing:</w:t>
      </w:r>
    </w:p>
    <w:p>
      <w:pPr>
        <w:pStyle w:val="ListBullet"/>
      </w:pPr>
      <w:r>
        <w:t>Which customer needs could drive adoption</w:t>
      </w:r>
    </w:p>
    <w:p>
      <w:pPr>
        <w:pStyle w:val="ListBullet"/>
      </w:pPr>
      <w:r>
        <w:t>How buying decisions would be made</w:t>
      </w:r>
    </w:p>
    <w:p>
      <w:pPr>
        <w:pStyle w:val="ListBullet"/>
      </w:pPr>
      <w:r>
        <w:t>Whether the proposed route to market was commercially feasible</w:t>
      </w:r>
    </w:p>
    <w:p>
      <w:pPr>
        <w:pStyle w:val="ListBullet"/>
      </w:pPr>
      <w:r>
        <w:t>What the Series A capital would fund</w:t>
      </w:r>
    </w:p>
    <w:p>
      <w:pPr>
        <w:pStyle w:val="ListBullet"/>
      </w:pPr>
      <w:r>
        <w:t>Which milestones would demonstrate progress</w:t>
      </w:r>
    </w:p>
    <w:p>
      <w:pPr>
        <w:pStyle w:val="ListBullet"/>
      </w:pPr>
      <w:r>
        <w:t>How capital deployment would translate into commercial outcomes</w:t>
      </w:r>
    </w:p>
    <w:p>
      <w:pPr>
        <w:widowControl/>
      </w:pPr>
      <w:r>
        <w:t>The weakness was not the size of the opportunity. It was the absence of a sufficiently clear path from opportunity to execution.</w:t>
      </w:r>
    </w:p>
    <w:p>
      <w:pPr>
        <w:widowControl/>
      </w:pPr>
      <w:r>
        <w:t>That gap could have weakened investor confidence, extended diligence and delayed the funding required for entry.</w:t>
      </w:r>
    </w:p>
    <w:p>
      <w:pPr>
        <w:pStyle w:val="Heading1"/>
        <w:keepNext/>
      </w:pPr>
      <w:r>
        <w:t>The Decision Shift</w:t>
      </w:r>
    </w:p>
    <w:tbl>
      <w:tblPr>
        <w:tblW w:type="auto" w:w="0"/>
        <w:tblLayout w:type="fixed"/>
        <w:tblLook w:firstColumn="1" w:firstRow="1" w:lastColumn="0" w:lastRow="0" w:noHBand="0" w:noVBand="1" w:val="04A0"/>
      </w:tblPr>
      <w:tblGrid>
        <w:gridCol w:w="9533"/>
      </w:tblGrid>
      <w:tr>
        <w:tc>
          <w:tcPr>
            <w:tcW w:type="dxa" w:w="9706"/>
            <w:shd w:fill="EAF3F5"/>
            <w:tcMar>
              <w:top w:w="190" w:type="dxa"/>
              <w:start w:w="240" w:type="dxa"/>
              <w:bottom w:w="190" w:type="dxa"/>
              <w:end w:w="240" w:type="dxa"/>
            </w:tcMar>
          </w:tcPr>
          <w:p>
            <w:pPr>
              <w:spacing w:after="0"/>
            </w:pPr>
            <w:r>
              <w:rPr>
                <w:rFonts w:ascii="Aptos Display" w:hAnsi="Aptos Display"/>
                <w:b/>
                <w:color w:val="0B1F3A"/>
                <w:sz w:val="26"/>
              </w:rPr>
              <w:t>The company stopped treating India as a market-size story and started treating it as an investment case that had to withstand commercial scrutiny.</w:t>
            </w:r>
          </w:p>
        </w:tc>
      </w:tr>
    </w:tbl>
    <w:p>
      <w:pPr>
        <w:widowControl/>
      </w:pPr>
      <w:r>
        <w:t>This reframed the fundraising question.</w:t>
      </w:r>
    </w:p>
    <w:p>
      <w:pPr>
        <w:widowControl/>
      </w:pPr>
      <w:r>
        <w:t>The objective was no longer to persuade investors that India had growth potential. The objective was to demonstrate that customer demand existed, that the go-to-market model was feasible and that the requested capital was tied to a credible sequence of market-entry outcomes.</w:t>
      </w:r>
    </w:p>
    <w:p>
      <w:pPr>
        <w:widowControl/>
      </w:pPr>
      <w:r>
        <w:t>This was the critical decision shift: from presenting expansion ambition to establishing execution credibility.</w:t>
      </w:r>
    </w:p>
    <w:p>
      <w:pPr>
        <w:widowControl/>
      </w:pPr>
      <w:r>
        <w:t>India’s potential remained important, but it was no longer the central proof point. The investment thesis was rebuilt around the company’s ability to convert capital into validated demand, market access and measurable commercial progress.</w:t>
      </w:r>
    </w:p>
    <w:p>
      <w:pPr>
        <w:pStyle w:val="Heading1"/>
        <w:keepNext/>
      </w:pPr>
      <w:r>
        <w:t>What Changed in Execution</w:t>
      </w:r>
    </w:p>
    <w:p>
      <w:pPr>
        <w:widowControl/>
      </w:pPr>
      <w:r>
        <w:t>The pitch book was reorganized around a clear India investment thesis rather than a broad expansion narrative.</w:t>
      </w:r>
    </w:p>
    <w:p>
      <w:pPr>
        <w:widowControl/>
      </w:pPr>
      <w:r>
        <w:t>Primary-market evidence became part of the commercial logic. Customer demand and buying behaviour informed the assumptions behind entry, reducing dependence on market reports and top-down estimates.</w:t>
      </w:r>
    </w:p>
    <w:p>
      <w:pPr>
        <w:widowControl/>
      </w:pPr>
      <w:r>
        <w:t>The funding requirement was linked to defined market-entry milestones. Capital was positioned against the capabilities and commercial steps required to enter India, rather than presented as a general growth pool.</w:t>
      </w:r>
    </w:p>
    <w:p>
      <w:pPr>
        <w:widowControl/>
      </w:pPr>
      <w:r>
        <w:t>This gave investors greater visibility into how the Series A would support execution and what progress the company expected to achieve through that deployment.</w:t>
      </w:r>
    </w:p>
    <w:p>
      <w:pPr>
        <w:widowControl/>
      </w:pPr>
      <w:r>
        <w:t>The investor narrative also connected market demand, go-to-market feasibility and capital use within one decision framework. This reduced fragmentation between the market story, operating plan and financial ask.</w:t>
      </w:r>
    </w:p>
    <w:p>
      <w:pPr>
        <w:widowControl/>
      </w:pPr>
      <w:r>
        <w:t>As a result, leadership could discuss the expansion with greater consistency. India was no longer defended through market optimism alone. It was supported by evidence, execution dependencies and a more disciplined account of how the business intended to build commercial traction.</w:t>
      </w:r>
    </w:p>
    <w:p>
      <w:pPr>
        <w:pStyle w:val="Heading1"/>
        <w:keepNext/>
      </w:pPr>
      <w:r>
        <w:t>Business Impact Delivered</w:t>
      </w:r>
    </w:p>
    <w:p>
      <w:pPr>
        <w:widowControl/>
      </w:pPr>
      <w:r>
        <w:t>The evidence-backed investment case strengthened investor confidence in the company’s India entry plan and contributed to the successful Series A close.</w:t>
      </w:r>
    </w:p>
    <w:p>
      <w:pPr>
        <w:widowControl/>
      </w:pPr>
      <w:r>
        <w:t>More importantly, the company entered the funding discussion with a clearer relationship between capital and execution.</w:t>
      </w:r>
    </w:p>
    <w:p>
      <w:pPr>
        <w:widowControl/>
      </w:pPr>
      <w:r>
        <w:t>Primary research reduced uncertainty around customer demand and buying behaviour. The milestone-led funding narrative improved visibility into where capital would be deployed and how that deployment would support market entry.</w:t>
      </w:r>
    </w:p>
    <w:p>
      <w:pPr>
        <w:widowControl/>
      </w:pPr>
      <w:r>
        <w:t>The result was a more credible basis for investor evaluation: not simply whether India offered growth, but whether the company had a commercially grounded plan to capture it.</w:t>
      </w:r>
    </w:p>
    <w:p>
      <w:pPr>
        <w:widowControl/>
      </w:pPr>
      <w:r>
        <w:t>The work also created greater internal clarity. The same logic used to support the fundraise established a more disciplined foundation for entry decisions, capital prioritization and future execution governance.</w:t>
      </w:r>
    </w:p>
    <w:p>
      <w:pPr>
        <w:pStyle w:val="Heading1"/>
        <w:keepNext/>
      </w:pPr>
      <w:r>
        <w:t>Key Outcomes</w:t>
      </w:r>
    </w:p>
    <w:p>
      <w:pPr>
        <w:pStyle w:val="ListBullet"/>
      </w:pPr>
      <w:r>
        <w:t>Series A successfully closed</w:t>
      </w:r>
    </w:p>
    <w:p>
      <w:pPr>
        <w:pStyle w:val="ListBullet"/>
      </w:pPr>
      <w:r>
        <w:t>India thesis supported by primary-market validation</w:t>
      </w:r>
    </w:p>
    <w:p>
      <w:pPr>
        <w:pStyle w:val="ListBullet"/>
      </w:pPr>
      <w:r>
        <w:t>Customer demand and buying behaviour embedded in the investment case</w:t>
      </w:r>
    </w:p>
    <w:p>
      <w:pPr>
        <w:pStyle w:val="ListBullet"/>
      </w:pPr>
      <w:r>
        <w:t>Funding requirement linked to market-entry milestones</w:t>
      </w:r>
    </w:p>
    <w:p>
      <w:pPr>
        <w:pStyle w:val="ListBullet"/>
      </w:pPr>
      <w:r>
        <w:t>Capital deployment connected to expected commercial outcomes</w:t>
      </w:r>
    </w:p>
    <w:p>
      <w:pPr>
        <w:pStyle w:val="ListBullet"/>
      </w:pPr>
      <w:r>
        <w:t>Stronger alignment between the investor narrative and the operating plan</w:t>
      </w:r>
    </w:p>
    <w:p>
      <w:pPr>
        <w:pStyle w:val="ListBullet"/>
      </w:pPr>
      <w:r>
        <w:t>Primary research sample and total funds raised remain undisclosed</w:t>
      </w:r>
    </w:p>
    <w:tbl>
      <w:tblPr>
        <w:tblW w:type="auto" w:w="0"/>
        <w:tblLayout w:type="fixed"/>
        <w:tblLook w:firstColumn="1" w:firstRow="1" w:lastColumn="0" w:lastRow="0" w:noHBand="0" w:noVBand="1" w:val="04A0"/>
      </w:tblPr>
      <w:tblGrid>
        <w:gridCol w:w="9533"/>
      </w:tblGrid>
      <w:tr>
        <w:tc>
          <w:tcPr>
            <w:tcW w:type="dxa" w:w="9706"/>
            <w:shd w:fill="0B1F3A"/>
            <w:tcMar>
              <w:top w:w="210" w:type="dxa"/>
              <w:start w:w="240" w:type="dxa"/>
              <w:bottom w:w="210" w:type="dxa"/>
              <w:end w:w="240" w:type="dxa"/>
            </w:tcMar>
          </w:tcPr>
          <w:p>
            <w:pPr>
              <w:spacing w:after="0"/>
            </w:pPr>
            <w:r>
              <w:rPr>
                <w:rFonts w:ascii="Aptos Display" w:hAnsi="Aptos Display"/>
                <w:b/>
                <w:color w:val="FFFFFF"/>
                <w:sz w:val="24"/>
              </w:rPr>
              <w:t>A large market may attract attention, but it does not make an expansion investable. Investors back the credible conversion of capital into commercial progress. Primary-market evidence is what turns potential into conviction.</w:t>
            </w:r>
          </w:p>
        </w:tc>
      </w:tr>
    </w:tbl>
    <w:sectPr w:rsidR="00FC693F" w:rsidRPr="0006063C" w:rsidSect="00034616">
      <w:headerReference w:type="default" r:id="rId9"/>
      <w:footerReference w:type="default" r:id="rId10"/>
      <w:pgSz w:w="12240" w:h="15840"/>
      <w:pgMar w:top="1037" w:right="1267" w:bottom="1037" w:left="126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ptos" w:hAnsi="Aptos"/>
        <w:b/>
        <w:color w:val="66727F"/>
        <w:sz w:val="16"/>
      </w:rPr>
      <w:t>GREYRADIUS  |  EXECUTIVE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374" w:hanging="230"/>
      <w:contextualSpacing/>
    </w:pPr>
    <w:rPr>
      <w:rFonts w:ascii="Aptos" w:hAnsi="Aptos"/>
      <w:color w:val="26344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Was a Growth Story. Investors Needed an Investment Case.</dc:title>
  <dc:subject>GreyRadius Executive Case Study</dc:subject>
  <dc:creator>GreyRadius Consulting</dc:creator>
  <cp:keywords>India market entry, Series A, investor case, primary research</cp:keywords>
  <dc:description>generated by python-docx</dc:description>
  <cp:lastModifiedBy/>
  <cp:revision>1</cp:revision>
  <dcterms:created xsi:type="dcterms:W3CDTF">2013-12-23T23:15:00Z</dcterms:created>
  <dcterms:modified xsi:type="dcterms:W3CDTF">2013-12-23T23:15:00Z</dcterms:modified>
  <cp:category/>
</cp:coreProperties>
</file>