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20</w:t>
      </w:r>
    </w:p>
    <w:p>
      <w:pPr>
        <w:spacing w:after="80" w:before="0"/>
      </w:pPr>
      <w:r>
        <w:rPr>
          <w:rFonts w:ascii="Arial" w:cs="Arial" w:eastAsia="Arial" w:hAnsi="Arial"/>
          <w:b/>
          <w:bCs/>
          <w:color w:val="2E7D32"/>
          <w:sz w:val="22"/>
          <w:szCs w:val="22"/>
        </w:rPr>
        <w:t xml:space="preserve">VERIFIED: 21 pages | 21 unique slugs | No duplicates | Match confirmed</w:t>
      </w:r>
    </w:p>
    <w:p>
      <w:pPr>
        <w:spacing w:after="200" w:before="0"/>
      </w:pPr>
      <w:r>
        <w:rPr>
          <w:rFonts w:ascii="Arial" w:cs="Arial" w:eastAsia="Arial" w:hAnsi="Arial"/>
          <w:b/>
          <w:bCs/>
          <w:color w:val="E8612C"/>
          <w:sz w:val="20"/>
          <w:szCs w:val="20"/>
        </w:rPr>
        <w:t xml:space="preserve">Save JSON as: data/industry-pages-batch20.json</w:t>
      </w:r>
    </w:p>
    <w:p>
      <w:pPr>
        <w:spacing w:after="80" w:before="0"/>
      </w:pPr>
      <w:r>
        <w:rPr>
          <w:rFonts w:ascii="Arial" w:cs="Arial" w:eastAsia="Arial" w:hAnsi="Arial"/>
          <w:color w:val="666666"/>
          <w:sz w:val="18"/>
          <w:szCs w:val="18"/>
        </w:rPr>
        <w:t xml:space="preserve">Focus: Thin sector gap fill — cybersecurity, data centres, pharma, medical devices, beauty, food-beverage, HRtech, wealthtech, semiconductors</w:t>
      </w:r>
    </w:p>
    <w:p>
      <w:pPr>
        <w:spacing w:after="600" w:before="0"/>
      </w:pPr>
      <w:r>
        <w:rPr>
          <w:rFonts w:ascii="Arial" w:cs="Arial" w:eastAsia="Arial" w:hAnsi="Arial"/>
          <w:i/>
          <w:iCs/>
          <w:color w:val="666666"/>
          <w:sz w:val="18"/>
          <w:szCs w:val="18"/>
        </w:rPr>
        <w:t xml:space="preserve">June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How to use this document</w:t>
      </w:r>
    </w:p>
    <w:p>
      <w:pPr>
        <w:spacing w:after="60" w:before="60"/>
      </w:pPr>
      <w:r>
        <w:rPr>
          <w:rFonts w:ascii="Arial" w:cs="Arial" w:eastAsia="Arial" w:hAnsi="Arial"/>
          <w:color w:val="222222"/>
          <w:sz w:val="20"/>
          <w:szCs w:val="20"/>
        </w:rPr>
        <w:t xml:space="preserve">Three sections. Use in order.</w:t>
      </w:r>
    </w:p>
    <w:p>
      <w:pPr>
        <w:pStyle w:val="ListParagraph"/>
        <w:numPr>
          <w:ilvl w:val="0"/>
          <w:numId w:val="2"/>
        </w:numPr>
        <w:spacing w:after="40" w:before="40"/>
      </w:pPr>
      <w:r>
        <w:rPr>
          <w:rFonts w:ascii="Arial" w:cs="Arial" w:eastAsia="Arial" w:hAnsi="Arial"/>
          <w:color w:val="222222"/>
          <w:sz w:val="20"/>
          <w:szCs w:val="20"/>
        </w:rPr>
        <w:t xml:space="preserve">Section 1 — Page index: all 20 pages with parent and output paths</w:t>
      </w:r>
    </w:p>
    <w:p>
      <w:pPr>
        <w:pStyle w:val="ListParagraph"/>
        <w:numPr>
          <w:ilvl w:val="0"/>
          <w:numId w:val="2"/>
        </w:numPr>
        <w:spacing w:after="40" w:before="40"/>
      </w:pPr>
      <w:r>
        <w:rPr>
          <w:rFonts w:ascii="Arial" w:cs="Arial" w:eastAsia="Arial" w:hAnsi="Arial"/>
          <w:color w:val="222222"/>
          <w:sz w:val="20"/>
          <w:szCs w:val="20"/>
        </w:rPr>
        <w:t xml:space="preserve">Section 2 — Replit prompt: copy and paste directly into Replit AI without modification</w:t>
      </w:r>
    </w:p>
    <w:p>
      <w:pPr>
        <w:pStyle w:val="ListParagraph"/>
        <w:numPr>
          <w:ilvl w:val="0"/>
          <w:numId w:val="2"/>
        </w:numPr>
        <w:spacing w:after="40" w:before="40"/>
      </w:pPr>
      <w:r>
        <w:rPr>
          <w:rFonts w:ascii="Arial" w:cs="Arial" w:eastAsia="Arial" w:hAnsi="Arial"/>
          <w:color w:val="222222"/>
          <w:sz w:val="20"/>
          <w:szCs w:val="20"/>
        </w:rPr>
        <w:t xml:space="preserve">Section 3 — JSON appendix: save as data/industry-pages-batch20.json</w:t>
      </w:r>
    </w:p>
    <w:p>
      <w:pPr>
        <w:spacing w:after="60" w:before="60"/>
      </w:pPr>
      <w:r>
        <w:rPr>
          <w:rFonts w:ascii="Arial" w:cs="Arial" w:eastAsia="Arial" w:hAnsi="Arial"/>
          <w:color w:val="222222"/>
          <w:sz w:val="20"/>
          <w:szCs w:val="20"/>
        </w:rPr>
        <w:t xml:space="preserve">Sequence: save JSON first, paste Replit prompt second, confirm 20 pages created.</w:t>
      </w:r>
    </w:p>
    <w:p>
      <w:pPr>
        <w:spacing w:after="60" w:before="60"/>
      </w:pPr>
      <w:r>
        <w:rPr>
          <w:rFonts w:ascii="Arial" w:cs="Arial" w:eastAsia="Arial" w:hAnsi="Arial"/>
          <w:i/>
          <w:iCs/>
          <w:color w:val="666666"/>
          <w:sz w:val="18"/>
          <w:szCs w:val="18"/>
        </w:rPr>
        <w:t xml:space="preserve">All previous batches (1-19) already built. This batch adds 20 new pages to thin sectors only.</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1: Page index — all 20 pages</w:t>
      </w:r>
    </w:p>
    <w:p>
      <w:pPr>
        <w:spacing w:after="60" w:before="60"/>
      </w:pPr>
      <w:r>
        <w:rPr>
          <w:rFonts w:ascii="Arial" w:cs="Arial" w:eastAsia="Arial" w:hAnsi="Arial"/>
          <w:i/>
          <w:iCs/>
          <w:color w:val="666666"/>
          <w:sz w:val="18"/>
          <w:szCs w:val="18"/>
        </w:rPr>
        <w:t xml:space="preserve">21 unique slugs confirmed. No duplicates. Sectors covered: cybersecurity (2), data-centers (2), pharma (2), medical-devices (1), beauty-personal-care (2), food-beverage (2), hrtech (2), wealthtech (2), semiconductors (2).</w:t>
      </w:r>
    </w:p>
    <w:p>
      <w:pPr>
        <w:pStyle w:val="Heading2"/>
        <w:spacing w:after="120" w:before="280"/>
      </w:pPr>
      <w:r>
        <w:rPr>
          <w:rFonts w:ascii="Arial" w:cs="Arial" w:eastAsia="Arial" w:hAnsi="Arial"/>
          <w:b/>
          <w:bCs/>
          <w:color w:val="1B2A4A"/>
          <w:sz w:val="26"/>
          <w:szCs w:val="26"/>
        </w:rPr>
        <w:t xml:space="preserve">Cybersecurity (2 pages)</w:t>
      </w:r>
    </w:p>
    <w:p>
      <w:pPr>
        <w:pStyle w:val="ListParagraph"/>
        <w:numPr>
          <w:ilvl w:val="0"/>
          <w:numId w:val="2"/>
        </w:numPr>
        <w:spacing w:after="40" w:before="40"/>
      </w:pPr>
      <w:r>
        <w:rPr>
          <w:rFonts w:ascii="Arial" w:cs="Arial" w:eastAsia="Arial" w:hAnsi="Arial"/>
          <w:color w:val="222222"/>
          <w:sz w:val="20"/>
          <w:szCs w:val="20"/>
        </w:rPr>
        <w:t xml:space="preserve">Gulf cybersecurity market entry strategy
   → industries/cybersecurity/gulf-cybersecurity-market-entry.html</w:t>
      </w:r>
    </w:p>
    <w:p>
      <w:pPr>
        <w:pStyle w:val="ListParagraph"/>
        <w:numPr>
          <w:ilvl w:val="0"/>
          <w:numId w:val="2"/>
        </w:numPr>
        <w:spacing w:after="40" w:before="40"/>
      </w:pPr>
      <w:r>
        <w:rPr>
          <w:rFonts w:ascii="Arial" w:cs="Arial" w:eastAsia="Arial" w:hAnsi="Arial"/>
          <w:color w:val="222222"/>
          <w:sz w:val="20"/>
          <w:szCs w:val="20"/>
        </w:rPr>
        <w:t xml:space="preserve">Africa cybersecurity market entry strategy
   → industries/cybersecurity/africa-cybersecurity-market-entry.html</w:t>
      </w:r>
    </w:p>
    <w:p>
      <w:pPr>
        <w:pStyle w:val="Heading2"/>
        <w:spacing w:after="120" w:before="280"/>
      </w:pPr>
      <w:r>
        <w:rPr>
          <w:rFonts w:ascii="Arial" w:cs="Arial" w:eastAsia="Arial" w:hAnsi="Arial"/>
          <w:b/>
          <w:bCs/>
          <w:color w:val="1B2A4A"/>
          <w:sz w:val="26"/>
          <w:szCs w:val="26"/>
        </w:rPr>
        <w:t xml:space="preserve">Data centres (2 pages)</w:t>
      </w:r>
    </w:p>
    <w:p>
      <w:pPr>
        <w:pStyle w:val="ListParagraph"/>
        <w:numPr>
          <w:ilvl w:val="0"/>
          <w:numId w:val="2"/>
        </w:numPr>
        <w:spacing w:after="40" w:before="40"/>
      </w:pPr>
      <w:r>
        <w:rPr>
          <w:rFonts w:ascii="Arial" w:cs="Arial" w:eastAsia="Arial" w:hAnsi="Arial"/>
          <w:color w:val="222222"/>
          <w:sz w:val="20"/>
          <w:szCs w:val="20"/>
        </w:rPr>
        <w:t xml:space="preserve">India data centre market entry strategy
   → industries/data-centers/india-data-centre-market-entry.html</w:t>
      </w:r>
    </w:p>
    <w:p>
      <w:pPr>
        <w:pStyle w:val="ListParagraph"/>
        <w:numPr>
          <w:ilvl w:val="0"/>
          <w:numId w:val="2"/>
        </w:numPr>
        <w:spacing w:after="40" w:before="40"/>
      </w:pPr>
      <w:r>
        <w:rPr>
          <w:rFonts w:ascii="Arial" w:cs="Arial" w:eastAsia="Arial" w:hAnsi="Arial"/>
          <w:color w:val="222222"/>
          <w:sz w:val="20"/>
          <w:szCs w:val="20"/>
        </w:rPr>
        <w:t xml:space="preserve">Gulf data centre market entry strategy
   → industries/data-centers/gulf-data-centre-market-entry.html</w:t>
      </w:r>
    </w:p>
    <w:p>
      <w:pPr>
        <w:pStyle w:val="Heading2"/>
        <w:spacing w:after="120" w:before="280"/>
      </w:pPr>
      <w:r>
        <w:rPr>
          <w:rFonts w:ascii="Arial" w:cs="Arial" w:eastAsia="Arial" w:hAnsi="Arial"/>
          <w:b/>
          <w:bCs/>
          <w:color w:val="1B2A4A"/>
          <w:sz w:val="26"/>
          <w:szCs w:val="26"/>
        </w:rPr>
        <w:t xml:space="preserve">Pharma (2 pages)</w:t>
      </w:r>
    </w:p>
    <w:p>
      <w:pPr>
        <w:pStyle w:val="ListParagraph"/>
        <w:numPr>
          <w:ilvl w:val="0"/>
          <w:numId w:val="2"/>
        </w:numPr>
        <w:spacing w:after="40" w:before="40"/>
      </w:pPr>
      <w:r>
        <w:rPr>
          <w:rFonts w:ascii="Arial" w:cs="Arial" w:eastAsia="Arial" w:hAnsi="Arial"/>
          <w:color w:val="222222"/>
          <w:sz w:val="20"/>
          <w:szCs w:val="20"/>
        </w:rPr>
        <w:t xml:space="preserve">Gulf pharmaceutical market entry strategy
   → industries/pharma/gulf-pharma-market-entry.html</w:t>
      </w:r>
    </w:p>
    <w:p>
      <w:pPr>
        <w:pStyle w:val="ListParagraph"/>
        <w:numPr>
          <w:ilvl w:val="0"/>
          <w:numId w:val="2"/>
        </w:numPr>
        <w:spacing w:after="40" w:before="40"/>
      </w:pPr>
      <w:r>
        <w:rPr>
          <w:rFonts w:ascii="Arial" w:cs="Arial" w:eastAsia="Arial" w:hAnsi="Arial"/>
          <w:color w:val="222222"/>
          <w:sz w:val="20"/>
          <w:szCs w:val="20"/>
        </w:rPr>
        <w:t xml:space="preserve">Africa pharmaceutical market entry strategy
   → industries/pharma/africa-pharma-market-entry.html</w:t>
      </w:r>
    </w:p>
    <w:p>
      <w:pPr>
        <w:pStyle w:val="Heading2"/>
        <w:spacing w:after="120" w:before="280"/>
      </w:pPr>
      <w:r>
        <w:rPr>
          <w:rFonts w:ascii="Arial" w:cs="Arial" w:eastAsia="Arial" w:hAnsi="Arial"/>
          <w:b/>
          <w:bCs/>
          <w:color w:val="1B2A4A"/>
          <w:sz w:val="26"/>
          <w:szCs w:val="26"/>
        </w:rPr>
        <w:t xml:space="preserve">Medical devices (1 page)</w:t>
      </w:r>
    </w:p>
    <w:p>
      <w:pPr>
        <w:pStyle w:val="ListParagraph"/>
        <w:numPr>
          <w:ilvl w:val="0"/>
          <w:numId w:val="2"/>
        </w:numPr>
        <w:spacing w:after="40" w:before="40"/>
      </w:pPr>
      <w:r>
        <w:rPr>
          <w:rFonts w:ascii="Arial" w:cs="Arial" w:eastAsia="Arial" w:hAnsi="Arial"/>
          <w:color w:val="222222"/>
          <w:sz w:val="20"/>
          <w:szCs w:val="20"/>
        </w:rPr>
        <w:t xml:space="preserve">India medical devices market entry strategy
   → industries/medical-devices/india-medical-devices-market-entry.html</w:t>
      </w:r>
    </w:p>
    <w:p>
      <w:pPr>
        <w:pStyle w:val="ListParagraph"/>
        <w:numPr>
          <w:ilvl w:val="0"/>
          <w:numId w:val="2"/>
        </w:numPr>
        <w:spacing w:after="40" w:before="40"/>
      </w:pPr>
      <w:r>
        <w:rPr>
          <w:rFonts w:ascii="Arial" w:cs="Arial" w:eastAsia="Arial" w:hAnsi="Arial"/>
          <w:color w:val="222222"/>
          <w:sz w:val="20"/>
          <w:szCs w:val="20"/>
        </w:rPr>
        <w:t xml:space="preserve">Africa medical devices market entry strategy
   → industries/medical-devices/africa-medical-devices-market-entry.html</w:t>
      </w:r>
    </w:p>
    <w:p>
      <w:pPr>
        <w:pStyle w:val="Heading2"/>
        <w:spacing w:after="120" w:before="280"/>
      </w:pPr>
      <w:r>
        <w:rPr>
          <w:rFonts w:ascii="Arial" w:cs="Arial" w:eastAsia="Arial" w:hAnsi="Arial"/>
          <w:b/>
          <w:bCs/>
          <w:color w:val="1B2A4A"/>
          <w:sz w:val="26"/>
          <w:szCs w:val="26"/>
        </w:rPr>
        <w:t xml:space="preserve">Beauty &amp; personal care (2 pages)</w:t>
      </w:r>
    </w:p>
    <w:p>
      <w:pPr>
        <w:pStyle w:val="ListParagraph"/>
        <w:numPr>
          <w:ilvl w:val="0"/>
          <w:numId w:val="2"/>
        </w:numPr>
        <w:spacing w:after="40" w:before="40"/>
      </w:pPr>
      <w:r>
        <w:rPr>
          <w:rFonts w:ascii="Arial" w:cs="Arial" w:eastAsia="Arial" w:hAnsi="Arial"/>
          <w:color w:val="222222"/>
          <w:sz w:val="20"/>
          <w:szCs w:val="20"/>
        </w:rPr>
        <w:t xml:space="preserve">India beauty and personal care market entry strategy
   → industries/beauty-personal-care/india-beauty-market-entry.html</w:t>
      </w:r>
    </w:p>
    <w:p>
      <w:pPr>
        <w:pStyle w:val="ListParagraph"/>
        <w:numPr>
          <w:ilvl w:val="0"/>
          <w:numId w:val="2"/>
        </w:numPr>
        <w:spacing w:after="40" w:before="40"/>
      </w:pPr>
      <w:r>
        <w:rPr>
          <w:rFonts w:ascii="Arial" w:cs="Arial" w:eastAsia="Arial" w:hAnsi="Arial"/>
          <w:color w:val="222222"/>
          <w:sz w:val="20"/>
          <w:szCs w:val="20"/>
        </w:rPr>
        <w:t xml:space="preserve">Gulf beauty and personal care market entry strategy
   → industries/beauty-personal-care/gulf-beauty-market-entry.html</w:t>
      </w:r>
    </w:p>
    <w:p>
      <w:pPr>
        <w:pStyle w:val="ListParagraph"/>
        <w:numPr>
          <w:ilvl w:val="0"/>
          <w:numId w:val="2"/>
        </w:numPr>
        <w:spacing w:after="40" w:before="40"/>
      </w:pPr>
      <w:r>
        <w:rPr>
          <w:rFonts w:ascii="Arial" w:cs="Arial" w:eastAsia="Arial" w:hAnsi="Arial"/>
          <w:color w:val="222222"/>
          <w:sz w:val="20"/>
          <w:szCs w:val="20"/>
        </w:rPr>
        <w:t xml:space="preserve">Africa beauty and personal care market entry strategy
   → industries/beauty-personal-care/africa-beauty-market-entry.html</w:t>
      </w:r>
    </w:p>
    <w:p>
      <w:pPr>
        <w:pStyle w:val="Heading2"/>
        <w:spacing w:after="120" w:before="280"/>
      </w:pPr>
      <w:r>
        <w:rPr>
          <w:rFonts w:ascii="Arial" w:cs="Arial" w:eastAsia="Arial" w:hAnsi="Arial"/>
          <w:b/>
          <w:bCs/>
          <w:color w:val="1B2A4A"/>
          <w:sz w:val="26"/>
          <w:szCs w:val="26"/>
        </w:rPr>
        <w:t xml:space="preserve">Food &amp; beverage (2 pages)</w:t>
      </w:r>
    </w:p>
    <w:p>
      <w:pPr>
        <w:pStyle w:val="ListParagraph"/>
        <w:numPr>
          <w:ilvl w:val="0"/>
          <w:numId w:val="2"/>
        </w:numPr>
        <w:spacing w:after="40" w:before="40"/>
      </w:pPr>
      <w:r>
        <w:rPr>
          <w:rFonts w:ascii="Arial" w:cs="Arial" w:eastAsia="Arial" w:hAnsi="Arial"/>
          <w:color w:val="222222"/>
          <w:sz w:val="20"/>
          <w:szCs w:val="20"/>
        </w:rPr>
        <w:t xml:space="preserve">India food and beverage market entry strategy
   → industries/food-beverage/india-food-beverage-market-entry.html</w:t>
      </w:r>
    </w:p>
    <w:p>
      <w:pPr>
        <w:pStyle w:val="ListParagraph"/>
        <w:numPr>
          <w:ilvl w:val="0"/>
          <w:numId w:val="2"/>
        </w:numPr>
        <w:spacing w:after="40" w:before="40"/>
      </w:pPr>
      <w:r>
        <w:rPr>
          <w:rFonts w:ascii="Arial" w:cs="Arial" w:eastAsia="Arial" w:hAnsi="Arial"/>
          <w:color w:val="222222"/>
          <w:sz w:val="20"/>
          <w:szCs w:val="20"/>
        </w:rPr>
        <w:t xml:space="preserve">Gulf food and beverage market entry strategy
   → industries/food-beverage/gulf-food-beverage-market-entry.html</w:t>
      </w:r>
    </w:p>
    <w:p>
      <w:pPr>
        <w:pStyle w:val="Heading2"/>
        <w:spacing w:after="120" w:before="280"/>
      </w:pPr>
      <w:r>
        <w:rPr>
          <w:rFonts w:ascii="Arial" w:cs="Arial" w:eastAsia="Arial" w:hAnsi="Arial"/>
          <w:b/>
          <w:bCs/>
          <w:color w:val="1B2A4A"/>
          <w:sz w:val="26"/>
          <w:szCs w:val="26"/>
        </w:rPr>
        <w:t xml:space="preserve">HRtech (2 pages)</w:t>
      </w:r>
    </w:p>
    <w:p>
      <w:pPr>
        <w:pStyle w:val="ListParagraph"/>
        <w:numPr>
          <w:ilvl w:val="0"/>
          <w:numId w:val="2"/>
        </w:numPr>
        <w:spacing w:after="40" w:before="40"/>
      </w:pPr>
      <w:r>
        <w:rPr>
          <w:rFonts w:ascii="Arial" w:cs="Arial" w:eastAsia="Arial" w:hAnsi="Arial"/>
          <w:color w:val="222222"/>
          <w:sz w:val="20"/>
          <w:szCs w:val="20"/>
        </w:rPr>
        <w:t xml:space="preserve">India HRtech market entry strategy
   → industries/hrtech/india-hrtech-market-entry.html</w:t>
      </w:r>
    </w:p>
    <w:p>
      <w:pPr>
        <w:pStyle w:val="ListParagraph"/>
        <w:numPr>
          <w:ilvl w:val="0"/>
          <w:numId w:val="2"/>
        </w:numPr>
        <w:spacing w:after="40" w:before="40"/>
      </w:pPr>
      <w:r>
        <w:rPr>
          <w:rFonts w:ascii="Arial" w:cs="Arial" w:eastAsia="Arial" w:hAnsi="Arial"/>
          <w:color w:val="222222"/>
          <w:sz w:val="20"/>
          <w:szCs w:val="20"/>
        </w:rPr>
        <w:t xml:space="preserve">Gulf HRtech market entry strategy
   → industries/hrtech/gulf-hrtech-market-entry.html</w:t>
      </w:r>
    </w:p>
    <w:p>
      <w:pPr>
        <w:pStyle w:val="Heading2"/>
        <w:spacing w:after="120" w:before="280"/>
      </w:pPr>
      <w:r>
        <w:rPr>
          <w:rFonts w:ascii="Arial" w:cs="Arial" w:eastAsia="Arial" w:hAnsi="Arial"/>
          <w:b/>
          <w:bCs/>
          <w:color w:val="1B2A4A"/>
          <w:sz w:val="26"/>
          <w:szCs w:val="26"/>
        </w:rPr>
        <w:t xml:space="preserve">Wealthtech (2 pages)</w:t>
      </w:r>
    </w:p>
    <w:p>
      <w:pPr>
        <w:pStyle w:val="ListParagraph"/>
        <w:numPr>
          <w:ilvl w:val="0"/>
          <w:numId w:val="2"/>
        </w:numPr>
        <w:spacing w:after="40" w:before="40"/>
      </w:pPr>
      <w:r>
        <w:rPr>
          <w:rFonts w:ascii="Arial" w:cs="Arial" w:eastAsia="Arial" w:hAnsi="Arial"/>
          <w:color w:val="222222"/>
          <w:sz w:val="20"/>
          <w:szCs w:val="20"/>
        </w:rPr>
        <w:t xml:space="preserve">India wealthtech market entry strategy
   → industries/wealthtech/india-wealthtech-market-entry.html</w:t>
      </w:r>
    </w:p>
    <w:p>
      <w:pPr>
        <w:pStyle w:val="ListParagraph"/>
        <w:numPr>
          <w:ilvl w:val="0"/>
          <w:numId w:val="2"/>
        </w:numPr>
        <w:spacing w:after="40" w:before="40"/>
      </w:pPr>
      <w:r>
        <w:rPr>
          <w:rFonts w:ascii="Arial" w:cs="Arial" w:eastAsia="Arial" w:hAnsi="Arial"/>
          <w:color w:val="222222"/>
          <w:sz w:val="20"/>
          <w:szCs w:val="20"/>
        </w:rPr>
        <w:t xml:space="preserve">Gulf wealthtech market entry strategy
   → industries/wealthtech/gulf-wealthtech-market-entry.html</w:t>
      </w:r>
    </w:p>
    <w:p>
      <w:pPr>
        <w:pStyle w:val="Heading2"/>
        <w:spacing w:after="120" w:before="280"/>
      </w:pPr>
      <w:r>
        <w:rPr>
          <w:rFonts w:ascii="Arial" w:cs="Arial" w:eastAsia="Arial" w:hAnsi="Arial"/>
          <w:b/>
          <w:bCs/>
          <w:color w:val="1B2A4A"/>
          <w:sz w:val="26"/>
          <w:szCs w:val="26"/>
        </w:rPr>
        <w:t xml:space="preserve">Semiconductors (3 pages)</w:t>
      </w:r>
    </w:p>
    <w:p>
      <w:pPr>
        <w:pStyle w:val="ListParagraph"/>
        <w:numPr>
          <w:ilvl w:val="0"/>
          <w:numId w:val="2"/>
        </w:numPr>
        <w:spacing w:after="40" w:before="40"/>
      </w:pPr>
      <w:r>
        <w:rPr>
          <w:rFonts w:ascii="Arial" w:cs="Arial" w:eastAsia="Arial" w:hAnsi="Arial"/>
          <w:color w:val="222222"/>
          <w:sz w:val="20"/>
          <w:szCs w:val="20"/>
        </w:rPr>
        <w:t xml:space="preserve">India semiconductor market entry strategy
   → industries/semiconductors/india-semiconductor-market-entry.html</w:t>
      </w:r>
    </w:p>
    <w:p>
      <w:pPr>
        <w:pStyle w:val="ListParagraph"/>
        <w:numPr>
          <w:ilvl w:val="0"/>
          <w:numId w:val="2"/>
        </w:numPr>
        <w:spacing w:after="40" w:before="40"/>
      </w:pPr>
      <w:r>
        <w:rPr>
          <w:rFonts w:ascii="Arial" w:cs="Arial" w:eastAsia="Arial" w:hAnsi="Arial"/>
          <w:color w:val="222222"/>
          <w:sz w:val="20"/>
          <w:szCs w:val="20"/>
        </w:rPr>
        <w:t xml:space="preserve">Southeast Asia semiconductor market entry strategy
   → industries/semiconductors/southeast-asia-semiconductor.html</w:t>
      </w:r>
    </w:p>
    <w:p>
      <w:pPr>
        <w:pStyle w:val="ListParagraph"/>
        <w:numPr>
          <w:ilvl w:val="0"/>
          <w:numId w:val="2"/>
        </w:numPr>
        <w:spacing w:after="40" w:before="40"/>
      </w:pPr>
      <w:r>
        <w:rPr>
          <w:rFonts w:ascii="Arial" w:cs="Arial" w:eastAsia="Arial" w:hAnsi="Arial"/>
          <w:color w:val="222222"/>
          <w:sz w:val="20"/>
          <w:szCs w:val="20"/>
        </w:rPr>
        <w:t xml:space="preserve">Gulf semiconductor market entry strategy
   → industries/semiconductors/gulf-semiconductor-market-entry.html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2: Replit prompt</w:t>
      </w:r>
    </w:p>
    <w:p>
      <w:pPr>
        <w:spacing w:after="60" w:before="60"/>
      </w:pPr>
      <w:r>
        <w:rPr>
          <w:rFonts w:ascii="Arial" w:cs="Arial" w:eastAsia="Arial" w:hAnsi="Arial"/>
          <w:i/>
          <w:iCs/>
          <w:color w:val="666666"/>
          <w:sz w:val="18"/>
          <w:szCs w:val="18"/>
        </w:rPr>
        <w:t xml:space="preserve">Copy everything between the === lines and paste into Replit AI. Do not modify.</w:t>
      </w:r>
    </w:p>
    <w:p>
      <w:pPr>
        <w:spacing w:after="8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GREYRADIUS INDUSTRY PAGES — BATCH 20 BUILD</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JSON file:  data/industry-pages-batch20.json</w:t>
      </w:r>
    </w:p>
    <w:p>
      <w:pPr>
        <w:shd w:fill="F0F0F0" w:val="clear"/>
        <w:spacing w:after="14" w:before="14"/>
        <w:ind w:left="360"/>
      </w:pPr>
      <w:r>
        <w:rPr>
          <w:rFonts w:ascii="Courier New" w:cs="Courier New" w:eastAsia="Courier New" w:hAnsi="Courier New"/>
          <w:color w:val="1B2A4A"/>
          <w:sz w:val="16"/>
          <w:szCs w:val="16"/>
        </w:rPr>
        <w:t xml:space="preserve">Template: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Pages:      21 (verified — no duplicates — 21 pages this batch)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FOCUS: Thin sector gap fill — cybersecurity, data centres,</w:t>
      </w:r>
    </w:p>
    <w:p>
      <w:pPr>
        <w:shd w:fill="F0F0F0" w:val="clear"/>
        <w:spacing w:after="14" w:before="14"/>
        <w:ind w:left="360"/>
      </w:pPr>
      <w:r>
        <w:rPr>
          <w:rFonts w:ascii="Courier New" w:cs="Courier New" w:eastAsia="Courier New" w:hAnsi="Courier New"/>
          <w:color w:val="1B2A4A"/>
          <w:sz w:val="16"/>
          <w:szCs w:val="16"/>
        </w:rPr>
        <w:t xml:space="preserve">pharma, medical devices, beauty, food-beverage, HRtech,</w:t>
      </w:r>
    </w:p>
    <w:p>
      <w:pPr>
        <w:shd w:fill="F0F0F0" w:val="clear"/>
        <w:spacing w:after="14" w:before="14"/>
        <w:ind w:left="360"/>
      </w:pPr>
      <w:r>
        <w:rPr>
          <w:rFonts w:ascii="Courier New" w:cs="Courier New" w:eastAsia="Courier New" w:hAnsi="Courier New"/>
          <w:color w:val="1B2A4A"/>
          <w:sz w:val="16"/>
          <w:szCs w:val="16"/>
        </w:rPr>
        <w:t xml:space="preserve">wealthtech, and semiconductors.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PAGES TO BUILD:</w:t>
      </w:r>
    </w:p>
    <w:p>
      <w:pPr>
        <w:shd w:fill="F0F0F0" w:val="clear"/>
        <w:spacing w:after="14" w:before="14"/>
        <w:ind w:left="360"/>
      </w:pPr>
      <w:r>
        <w:rPr>
          <w:rFonts w:ascii="Courier New" w:cs="Courier New" w:eastAsia="Courier New" w:hAnsi="Courier New"/>
          <w:color w:val="1B2A4A"/>
          <w:sz w:val="16"/>
          <w:szCs w:val="16"/>
        </w:rPr>
        <w:t xml:space="preserve">   1. [cybersecurity] gulf-cybersecurity-market-entry.html</w:t>
      </w:r>
    </w:p>
    <w:p>
      <w:pPr>
        <w:shd w:fill="F0F0F0" w:val="clear"/>
        <w:spacing w:after="14" w:before="14"/>
        <w:ind w:left="360"/>
      </w:pPr>
      <w:r>
        <w:rPr>
          <w:rFonts w:ascii="Courier New" w:cs="Courier New" w:eastAsia="Courier New" w:hAnsi="Courier New"/>
          <w:color w:val="1B2A4A"/>
          <w:sz w:val="16"/>
          <w:szCs w:val="16"/>
        </w:rPr>
        <w:t xml:space="preserve">   2. [cybersecurity] africa-cybersecurity-market-entry.html</w:t>
      </w:r>
    </w:p>
    <w:p>
      <w:pPr>
        <w:shd w:fill="F0F0F0" w:val="clear"/>
        <w:spacing w:after="14" w:before="14"/>
        <w:ind w:left="360"/>
      </w:pPr>
      <w:r>
        <w:rPr>
          <w:rFonts w:ascii="Courier New" w:cs="Courier New" w:eastAsia="Courier New" w:hAnsi="Courier New"/>
          <w:color w:val="1B2A4A"/>
          <w:sz w:val="16"/>
          <w:szCs w:val="16"/>
        </w:rPr>
        <w:t xml:space="preserve">   3. [data-centers] india-data-centre-market-entry.html</w:t>
      </w:r>
    </w:p>
    <w:p>
      <w:pPr>
        <w:shd w:fill="F0F0F0" w:val="clear"/>
        <w:spacing w:after="14" w:before="14"/>
        <w:ind w:left="360"/>
      </w:pPr>
      <w:r>
        <w:rPr>
          <w:rFonts w:ascii="Courier New" w:cs="Courier New" w:eastAsia="Courier New" w:hAnsi="Courier New"/>
          <w:color w:val="1B2A4A"/>
          <w:sz w:val="16"/>
          <w:szCs w:val="16"/>
        </w:rPr>
        <w:t xml:space="preserve">   4. [data-centers] gulf-data-centre-market-entry.html</w:t>
      </w:r>
    </w:p>
    <w:p>
      <w:pPr>
        <w:shd w:fill="F0F0F0" w:val="clear"/>
        <w:spacing w:after="14" w:before="14"/>
        <w:ind w:left="360"/>
      </w:pPr>
      <w:r>
        <w:rPr>
          <w:rFonts w:ascii="Courier New" w:cs="Courier New" w:eastAsia="Courier New" w:hAnsi="Courier New"/>
          <w:color w:val="1B2A4A"/>
          <w:sz w:val="16"/>
          <w:szCs w:val="16"/>
        </w:rPr>
        <w:t xml:space="preserve">   5. [pharma] gulf-pharma-market-entry.html</w:t>
      </w:r>
    </w:p>
    <w:p>
      <w:pPr>
        <w:shd w:fill="F0F0F0" w:val="clear"/>
        <w:spacing w:after="14" w:before="14"/>
        <w:ind w:left="360"/>
      </w:pPr>
      <w:r>
        <w:rPr>
          <w:rFonts w:ascii="Courier New" w:cs="Courier New" w:eastAsia="Courier New" w:hAnsi="Courier New"/>
          <w:color w:val="1B2A4A"/>
          <w:sz w:val="16"/>
          <w:szCs w:val="16"/>
        </w:rPr>
        <w:t xml:space="preserve">   6. [pharma] africa-pharma-market-entry.html</w:t>
      </w:r>
    </w:p>
    <w:p>
      <w:pPr>
        <w:shd w:fill="F0F0F0" w:val="clear"/>
        <w:spacing w:after="14" w:before="14"/>
        <w:ind w:left="360"/>
      </w:pPr>
      <w:r>
        <w:rPr>
          <w:rFonts w:ascii="Courier New" w:cs="Courier New" w:eastAsia="Courier New" w:hAnsi="Courier New"/>
          <w:color w:val="1B2A4A"/>
          <w:sz w:val="16"/>
          <w:szCs w:val="16"/>
        </w:rPr>
        <w:t xml:space="preserve">   7. [medical-devices] india-medical-devices-market-entry.html</w:t>
      </w:r>
    </w:p>
    <w:p>
      <w:pPr>
        <w:shd w:fill="F0F0F0" w:val="clear"/>
        <w:spacing w:after="14" w:before="14"/>
        <w:ind w:left="360"/>
      </w:pPr>
      <w:r>
        <w:rPr>
          <w:rFonts w:ascii="Courier New" w:cs="Courier New" w:eastAsia="Courier New" w:hAnsi="Courier New"/>
          <w:color w:val="1B2A4A"/>
          <w:sz w:val="16"/>
          <w:szCs w:val="16"/>
        </w:rPr>
        <w:t xml:space="preserve">   8. [beauty-personal-care] india-beauty-market-entry.html</w:t>
      </w:r>
    </w:p>
    <w:p>
      <w:pPr>
        <w:shd w:fill="F0F0F0" w:val="clear"/>
        <w:spacing w:after="14" w:before="14"/>
        <w:ind w:left="360"/>
      </w:pPr>
      <w:r>
        <w:rPr>
          <w:rFonts w:ascii="Courier New" w:cs="Courier New" w:eastAsia="Courier New" w:hAnsi="Courier New"/>
          <w:color w:val="1B2A4A"/>
          <w:sz w:val="16"/>
          <w:szCs w:val="16"/>
        </w:rPr>
        <w:t xml:space="preserve">   9. [beauty-personal-care] gulf-beauty-market-entry.html</w:t>
      </w:r>
    </w:p>
    <w:p>
      <w:pPr>
        <w:shd w:fill="F0F0F0" w:val="clear"/>
        <w:spacing w:after="14" w:before="14"/>
        <w:ind w:left="360"/>
      </w:pPr>
      <w:r>
        <w:rPr>
          <w:rFonts w:ascii="Courier New" w:cs="Courier New" w:eastAsia="Courier New" w:hAnsi="Courier New"/>
          <w:color w:val="1B2A4A"/>
          <w:sz w:val="16"/>
          <w:szCs w:val="16"/>
        </w:rPr>
        <w:t xml:space="preserve">  10. [food-beverage] india-food-beverage-market-entry.html</w:t>
      </w:r>
    </w:p>
    <w:p>
      <w:pPr>
        <w:shd w:fill="F0F0F0" w:val="clear"/>
        <w:spacing w:after="14" w:before="14"/>
        <w:ind w:left="360"/>
      </w:pPr>
      <w:r>
        <w:rPr>
          <w:rFonts w:ascii="Courier New" w:cs="Courier New" w:eastAsia="Courier New" w:hAnsi="Courier New"/>
          <w:color w:val="1B2A4A"/>
          <w:sz w:val="16"/>
          <w:szCs w:val="16"/>
        </w:rPr>
        <w:t xml:space="preserve">  11. [food-beverage] gulf-food-beverage-market-entry.html</w:t>
      </w:r>
    </w:p>
    <w:p>
      <w:pPr>
        <w:shd w:fill="F0F0F0" w:val="clear"/>
        <w:spacing w:after="14" w:before="14"/>
        <w:ind w:left="360"/>
      </w:pPr>
      <w:r>
        <w:rPr>
          <w:rFonts w:ascii="Courier New" w:cs="Courier New" w:eastAsia="Courier New" w:hAnsi="Courier New"/>
          <w:color w:val="1B2A4A"/>
          <w:sz w:val="16"/>
          <w:szCs w:val="16"/>
        </w:rPr>
        <w:t xml:space="preserve">  12. [hrtech] india-hrtech-market-entry.html</w:t>
      </w:r>
    </w:p>
    <w:p>
      <w:pPr>
        <w:shd w:fill="F0F0F0" w:val="clear"/>
        <w:spacing w:after="14" w:before="14"/>
        <w:ind w:left="360"/>
      </w:pPr>
      <w:r>
        <w:rPr>
          <w:rFonts w:ascii="Courier New" w:cs="Courier New" w:eastAsia="Courier New" w:hAnsi="Courier New"/>
          <w:color w:val="1B2A4A"/>
          <w:sz w:val="16"/>
          <w:szCs w:val="16"/>
        </w:rPr>
        <w:t xml:space="preserve">  13. [hrtech] gulf-hrtech-market-entry.html</w:t>
      </w:r>
    </w:p>
    <w:p>
      <w:pPr>
        <w:shd w:fill="F0F0F0" w:val="clear"/>
        <w:spacing w:after="14" w:before="14"/>
        <w:ind w:left="360"/>
      </w:pPr>
      <w:r>
        <w:rPr>
          <w:rFonts w:ascii="Courier New" w:cs="Courier New" w:eastAsia="Courier New" w:hAnsi="Courier New"/>
          <w:color w:val="1B2A4A"/>
          <w:sz w:val="16"/>
          <w:szCs w:val="16"/>
        </w:rPr>
        <w:t xml:space="preserve">  14. [wealthtech] india-wealthtech-market-entry.html</w:t>
      </w:r>
    </w:p>
    <w:p>
      <w:pPr>
        <w:shd w:fill="F0F0F0" w:val="clear"/>
        <w:spacing w:after="14" w:before="14"/>
        <w:ind w:left="360"/>
      </w:pPr>
      <w:r>
        <w:rPr>
          <w:rFonts w:ascii="Courier New" w:cs="Courier New" w:eastAsia="Courier New" w:hAnsi="Courier New"/>
          <w:color w:val="1B2A4A"/>
          <w:sz w:val="16"/>
          <w:szCs w:val="16"/>
        </w:rPr>
        <w:t xml:space="preserve">  15. [wealthtech] gulf-wealthtech-market-entry.html</w:t>
      </w:r>
    </w:p>
    <w:p>
      <w:pPr>
        <w:shd w:fill="F0F0F0" w:val="clear"/>
        <w:spacing w:after="14" w:before="14"/>
        <w:ind w:left="360"/>
      </w:pPr>
      <w:r>
        <w:rPr>
          <w:rFonts w:ascii="Courier New" w:cs="Courier New" w:eastAsia="Courier New" w:hAnsi="Courier New"/>
          <w:color w:val="1B2A4A"/>
          <w:sz w:val="16"/>
          <w:szCs w:val="16"/>
        </w:rPr>
        <w:t xml:space="preserve">  16. [semiconductors] india-semiconductor-market-entry.html</w:t>
      </w:r>
    </w:p>
    <w:p>
      <w:pPr>
        <w:shd w:fill="F0F0F0" w:val="clear"/>
        <w:spacing w:after="14" w:before="14"/>
        <w:ind w:left="360"/>
      </w:pPr>
      <w:r>
        <w:rPr>
          <w:rFonts w:ascii="Courier New" w:cs="Courier New" w:eastAsia="Courier New" w:hAnsi="Courier New"/>
          <w:color w:val="1B2A4A"/>
          <w:sz w:val="16"/>
          <w:szCs w:val="16"/>
        </w:rPr>
        <w:t xml:space="preserve">  17. [semiconductors] southeast-asia-semiconductor.html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  19. [medical-devices] africa-medical-devices-market-entry.html</w:t>
      </w:r>
    </w:p>
    <w:p>
      <w:pPr>
        <w:shd w:fill="F0F0F0" w:val="clear"/>
        <w:spacing w:after="14" w:before="14"/>
        <w:ind w:left="360"/>
      </w:pPr>
      <w:r>
        <w:rPr>
          <w:rFonts w:ascii="Courier New" w:cs="Courier New" w:eastAsia="Courier New" w:hAnsi="Courier New"/>
          <w:color w:val="1B2A4A"/>
          <w:sz w:val="16"/>
          <w:szCs w:val="16"/>
        </w:rPr>
        <w:t xml:space="preserve">  20. [semiconductors] gulf-semiconductor-market-entry.html</w:t>
      </w:r>
    </w:p>
    <w:p>
      <w:pPr>
        <w:shd w:fill="F0F0F0" w:val="clear"/>
        <w:spacing w:after="14" w:before="14"/>
        <w:ind w:left="360"/>
      </w:pPr>
      <w:r>
        <w:rPr>
          <w:rFonts w:ascii="Courier New" w:cs="Courier New" w:eastAsia="Courier New" w:hAnsi="Courier New"/>
          <w:color w:val="1B2A4A"/>
          <w:sz w:val="16"/>
          <w:szCs w:val="16"/>
        </w:rPr>
        <w:t xml:space="preserve">  21. [beauty-personal-care] africa-beauty-market-entry.html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1 — VERIFY FILES</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ls data/industry-pages-batch20.json</w:t>
      </w:r>
    </w:p>
    <w:p>
      <w:pPr>
        <w:shd w:fill="F0F0F0" w:val="clear"/>
        <w:spacing w:after="14" w:before="14"/>
        <w:ind w:left="360"/>
      </w:pPr>
      <w:r>
        <w:rPr>
          <w:rFonts w:ascii="Courier New" w:cs="Courier New" w:eastAsia="Courier New" w:hAnsi="Courier New"/>
          <w:color w:val="1B2A4A"/>
          <w:sz w:val="16"/>
          <w:szCs w:val="16"/>
        </w:rPr>
        <w:t xml:space="preserve">  ls templates/industry-page-template.html</w:t>
      </w:r>
    </w:p>
    <w:p>
      <w:pPr>
        <w:shd w:fill="F0F0F0" w:val="clear"/>
        <w:spacing w:after="14" w:before="14"/>
        <w:ind w:left="360"/>
      </w:pPr>
      <w:r>
        <w:rPr>
          <w:rFonts w:ascii="Courier New" w:cs="Courier New" w:eastAsia="Courier New" w:hAnsi="Courier New"/>
          <w:color w:val="1B2A4A"/>
          <w:sz w:val="16"/>
          <w:szCs w:val="16"/>
        </w:rPr>
        <w:t xml:space="preserve">If JSON missing: stop and tell me.</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2 — BUILD ALL 21 PAGES</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Read data/industry-pages-batch20.json.</w:t>
      </w:r>
    </w:p>
    <w:p>
      <w:pPr>
        <w:shd w:fill="F0F0F0" w:val="clear"/>
        <w:spacing w:after="14" w:before="14"/>
        <w:ind w:left="360"/>
      </w:pPr>
      <w:r>
        <w:rPr>
          <w:rFonts w:ascii="Courier New" w:cs="Courier New" w:eastAsia="Courier New" w:hAnsi="Courier New"/>
          <w:color w:val="1B2A4A"/>
          <w:sz w:val="16"/>
          <w:szCs w:val="16"/>
        </w:rPr>
        <w:t xml:space="preserve">For EACH page object:</w:t>
      </w:r>
    </w:p>
    <w:p>
      <w:pPr>
        <w:shd w:fill="F0F0F0" w:val="clear"/>
        <w:spacing w:after="14" w:before="14"/>
        <w:ind w:left="360"/>
      </w:pPr>
      <w:r>
        <w:rPr>
          <w:rFonts w:ascii="Courier New" w:cs="Courier New" w:eastAsia="Courier New" w:hAnsi="Courier New"/>
          <w:color w:val="1B2A4A"/>
          <w:sz w:val="16"/>
          <w:szCs w:val="16"/>
        </w:rPr>
        <w:t xml:space="preserve">  A. mkdir -p industries/[parent]</w:t>
      </w:r>
    </w:p>
    <w:p>
      <w:pPr>
        <w:shd w:fill="F0F0F0" w:val="clear"/>
        <w:spacing w:after="14" w:before="14"/>
        <w:ind w:left="360"/>
      </w:pPr>
      <w:r>
        <w:rPr>
          <w:rFonts w:ascii="Courier New" w:cs="Courier New" w:eastAsia="Courier New" w:hAnsi="Courier New"/>
          <w:color w:val="1B2A4A"/>
          <w:sz w:val="16"/>
          <w:szCs w:val="16"/>
        </w:rPr>
        <w:t xml:space="preserve">  B. Read template fresh as string</w:t>
      </w:r>
    </w:p>
    <w:p>
      <w:pPr>
        <w:shd w:fill="F0F0F0" w:val="clear"/>
        <w:spacing w:after="14" w:before="14"/>
        <w:ind w:left="360"/>
      </w:pPr>
      <w:r>
        <w:rPr>
          <w:rFonts w:ascii="Courier New" w:cs="Courier New" w:eastAsia="Courier New" w:hAnsi="Courier New"/>
          <w:color w:val="1B2A4A"/>
          <w:sz w:val="16"/>
          <w:szCs w:val="16"/>
        </w:rPr>
        <w:t xml:space="preserve">  C. Replace ALL tokens:</w:t>
      </w:r>
    </w:p>
    <w:p>
      <w:pPr>
        <w:shd w:fill="F0F0F0" w:val="clear"/>
        <w:spacing w:after="14" w:before="14"/>
        <w:ind w:left="360"/>
      </w:pPr>
      <w:r>
        <w:rPr>
          <w:rFonts w:ascii="Courier New" w:cs="Courier New" w:eastAsia="Courier New" w:hAnsi="Courier New"/>
          <w:color w:val="1B2A4A"/>
          <w:sz w:val="16"/>
          <w:szCs w:val="16"/>
        </w:rPr>
        <w:t xml:space="preserve">     {{PAGE_TITLE}} {{META_DESC}} {{KEYWORDS}} {{SLUG}}</w:t>
      </w:r>
    </w:p>
    <w:p>
      <w:pPr>
        <w:shd w:fill="F0F0F0" w:val="clear"/>
        <w:spacing w:after="14" w:before="14"/>
        <w:ind w:left="360"/>
      </w:pPr>
      <w:r>
        <w:rPr>
          <w:rFonts w:ascii="Courier New" w:cs="Courier New" w:eastAsia="Courier New" w:hAnsi="Courier New"/>
          <w:color w:val="1B2A4A"/>
          <w:sz w:val="16"/>
          <w:szCs w:val="16"/>
        </w:rPr>
        <w:t xml:space="preserve">     {{H1}} {{TAGLINE}} {{HERO_BODY}} {{MARKET_TIMING}}</w:t>
      </w:r>
    </w:p>
    <w:p>
      <w:pPr>
        <w:shd w:fill="F0F0F0" w:val="clear"/>
        <w:spacing w:after="14" w:before="14"/>
        <w:ind w:left="360"/>
      </w:pPr>
      <w:r>
        <w:rPr>
          <w:rFonts w:ascii="Courier New" w:cs="Courier New" w:eastAsia="Courier New" w:hAnsi="Courier New"/>
          <w:color w:val="1B2A4A"/>
          <w:sz w:val="16"/>
          <w:szCs w:val="16"/>
        </w:rPr>
        <w:t xml:space="preserve">     {{REGIONS}}</w:t>
      </w:r>
    </w:p>
    <w:p>
      <w:pPr>
        <w:shd w:fill="F0F0F0" w:val="clear"/>
        <w:spacing w:after="14" w:before="14"/>
        <w:ind w:left="360"/>
      </w:pPr>
      <w:r>
        <w:rPr>
          <w:rFonts w:ascii="Courier New" w:cs="Courier New" w:eastAsia="Courier New" w:hAnsi="Courier New"/>
          <w:color w:val="1B2A4A"/>
          <w:sz w:val="16"/>
          <w:szCs w:val="16"/>
        </w:rPr>
        <w:t xml:space="preserve">     {{STAT1N}} {{STAT1L}} {{STAT1B}}</w:t>
      </w:r>
    </w:p>
    <w:p>
      <w:pPr>
        <w:shd w:fill="F0F0F0" w:val="clear"/>
        <w:spacing w:after="14" w:before="14"/>
        <w:ind w:left="360"/>
      </w:pPr>
      <w:r>
        <w:rPr>
          <w:rFonts w:ascii="Courier New" w:cs="Courier New" w:eastAsia="Courier New" w:hAnsi="Courier New"/>
          <w:color w:val="1B2A4A"/>
          <w:sz w:val="16"/>
          <w:szCs w:val="16"/>
        </w:rPr>
        <w:t xml:space="preserve">     {{STAT2N}} {{STAT2L}} {{STAT2B}}</w:t>
      </w:r>
    </w:p>
    <w:p>
      <w:pPr>
        <w:shd w:fill="F0F0F0" w:val="clear"/>
        <w:spacing w:after="14" w:before="14"/>
        <w:ind w:left="360"/>
      </w:pPr>
      <w:r>
        <w:rPr>
          <w:rFonts w:ascii="Courier New" w:cs="Courier New" w:eastAsia="Courier New" w:hAnsi="Courier New"/>
          <w:color w:val="1B2A4A"/>
          <w:sz w:val="16"/>
          <w:szCs w:val="16"/>
        </w:rPr>
        <w:t xml:space="preserve">     {{STAT3N}} {{STAT3L}} {{STAT3B}}</w:t>
      </w:r>
    </w:p>
    <w:p>
      <w:pPr>
        <w:shd w:fill="F0F0F0" w:val="clear"/>
        <w:spacing w:after="14" w:before="14"/>
        <w:ind w:left="360"/>
      </w:pPr>
      <w:r>
        <w:rPr>
          <w:rFonts w:ascii="Courier New" w:cs="Courier New" w:eastAsia="Courier New" w:hAnsi="Courier New"/>
          <w:color w:val="1B2A4A"/>
          <w:sz w:val="16"/>
          <w:szCs w:val="16"/>
        </w:rPr>
        <w:t xml:space="preserve">     {{INSIGHT_1}} through {{INSIGHT_4}}</w:t>
      </w:r>
    </w:p>
    <w:p>
      <w:pPr>
        <w:shd w:fill="F0F0F0" w:val="clear"/>
        <w:spacing w:after="14" w:before="14"/>
        <w:ind w:left="360"/>
      </w:pPr>
      <w:r>
        <w:rPr>
          <w:rFonts w:ascii="Courier New" w:cs="Courier New" w:eastAsia="Courier New" w:hAnsi="Courier New"/>
          <w:color w:val="1B2A4A"/>
          <w:sz w:val="16"/>
          <w:szCs w:val="16"/>
        </w:rPr>
        <w:t xml:space="preserve">     {{CHALLENGE_M_1}} through {{CHALLENGE_M_4}}</w:t>
      </w:r>
    </w:p>
    <w:p>
      <w:pPr>
        <w:shd w:fill="F0F0F0" w:val="clear"/>
        <w:spacing w:after="14" w:before="14"/>
        <w:ind w:left="360"/>
      </w:pPr>
      <w:r>
        <w:rPr>
          <w:rFonts w:ascii="Courier New" w:cs="Courier New" w:eastAsia="Courier New" w:hAnsi="Courier New"/>
          <w:color w:val="1B2A4A"/>
          <w:sz w:val="16"/>
          <w:szCs w:val="16"/>
        </w:rPr>
        <w:t xml:space="preserve">     challenges_we_solve[i].split('|') for i=0..5:</w:t>
      </w:r>
    </w:p>
    <w:p>
      <w:pPr>
        <w:shd w:fill="F0F0F0" w:val="clear"/>
        <w:spacing w:after="14" w:before="14"/>
        <w:ind w:left="360"/>
      </w:pPr>
      <w:r>
        <w:rPr>
          <w:rFonts w:ascii="Courier New" w:cs="Courier New" w:eastAsia="Courier New" w:hAnsi="Courier New"/>
          <w:color w:val="1B2A4A"/>
          <w:sz w:val="16"/>
          <w:szCs w:val="16"/>
        </w:rPr>
        <w:t xml:space="preserve">       parts[0].trim() → {{CHALLENGE_[i+1]_H}}</w:t>
      </w:r>
    </w:p>
    <w:p>
      <w:pPr>
        <w:shd w:fill="F0F0F0" w:val="clear"/>
        <w:spacing w:after="14" w:before="14"/>
        <w:ind w:left="360"/>
      </w:pPr>
      <w:r>
        <w:rPr>
          <w:rFonts w:ascii="Courier New" w:cs="Courier New" w:eastAsia="Courier New" w:hAnsi="Courier New"/>
          <w:color w:val="1B2A4A"/>
          <w:sz w:val="16"/>
          <w:szCs w:val="16"/>
        </w:rPr>
        <w:t xml:space="preserve">       parts[1].trim() → {{CHALLENGE_[i+1]_B}}</w:t>
      </w:r>
    </w:p>
    <w:p>
      <w:pPr>
        <w:shd w:fill="F0F0F0" w:val="clear"/>
        <w:spacing w:after="14" w:before="14"/>
        <w:ind w:left="360"/>
      </w:pPr>
      <w:r>
        <w:rPr>
          <w:rFonts w:ascii="Courier New" w:cs="Courier New" w:eastAsia="Courier New" w:hAnsi="Courier New"/>
          <w:color w:val="1B2A4A"/>
          <w:sz w:val="16"/>
          <w:szCs w:val="16"/>
        </w:rPr>
        <w:t xml:space="preserve">     service_angles[i] for i=0..5 → {{SERVICE_[i+1]_BODY}}</w:t>
      </w:r>
    </w:p>
    <w:p>
      <w:pPr>
        <w:shd w:fill="F0F0F0" w:val="clear"/>
        <w:spacing w:after="14" w:before="14"/>
        <w:ind w:left="360"/>
      </w:pPr>
      <w:r>
        <w:rPr>
          <w:rFonts w:ascii="Courier New" w:cs="Courier New" w:eastAsia="Courier New" w:hAnsi="Courier New"/>
          <w:color w:val="1B2A4A"/>
          <w:sz w:val="16"/>
          <w:szCs w:val="16"/>
        </w:rPr>
        <w:t xml:space="preserve">     faq[i].split('|') for i=0..3:</w:t>
      </w:r>
    </w:p>
    <w:p>
      <w:pPr>
        <w:shd w:fill="F0F0F0" w:val="clear"/>
        <w:spacing w:after="14" w:before="14"/>
        <w:ind w:left="360"/>
      </w:pPr>
      <w:r>
        <w:rPr>
          <w:rFonts w:ascii="Courier New" w:cs="Courier New" w:eastAsia="Courier New" w:hAnsi="Courier New"/>
          <w:color w:val="1B2A4A"/>
          <w:sz w:val="16"/>
          <w:szCs w:val="16"/>
        </w:rPr>
        <w:t xml:space="preserve">       parts[0].trim() → {{FAQ_[i+1]_Q}}</w:t>
      </w:r>
    </w:p>
    <w:p>
      <w:pPr>
        <w:shd w:fill="F0F0F0" w:val="clear"/>
        <w:spacing w:after="14" w:before="14"/>
        <w:ind w:left="360"/>
      </w:pPr>
      <w:r>
        <w:rPr>
          <w:rFonts w:ascii="Courier New" w:cs="Courier New" w:eastAsia="Courier New" w:hAnsi="Courier New"/>
          <w:color w:val="1B2A4A"/>
          <w:sz w:val="16"/>
          <w:szCs w:val="16"/>
        </w:rPr>
        <w:t xml:space="preserve">       parts[1].trim() → {{FAQ_[i+1]_A}}</w:t>
      </w:r>
    </w:p>
    <w:p>
      <w:pPr>
        <w:shd w:fill="F0F0F0" w:val="clear"/>
        <w:spacing w:after="14" w:before="14"/>
        <w:ind w:left="360"/>
      </w:pPr>
      <w:r>
        <w:rPr>
          <w:rFonts w:ascii="Courier New" w:cs="Courier New" w:eastAsia="Courier New" w:hAnsi="Courier New"/>
          <w:color w:val="1B2A4A"/>
          <w:sz w:val="16"/>
          <w:szCs w:val="16"/>
        </w:rPr>
        <w:t xml:space="preserve">     {{SCHEMA_SERVICE}} → JSON-LD Service schema</w:t>
      </w:r>
    </w:p>
    <w:p>
      <w:pPr>
        <w:shd w:fill="F0F0F0" w:val="clear"/>
        <w:spacing w:after="14" w:before="14"/>
        <w:ind w:left="360"/>
      </w:pPr>
      <w:r>
        <w:rPr>
          <w:rFonts w:ascii="Courier New" w:cs="Courier New" w:eastAsia="Courier New" w:hAnsi="Courier New"/>
          <w:color w:val="1B2A4A"/>
          <w:sz w:val="16"/>
          <w:szCs w:val="16"/>
        </w:rPr>
        <w:t xml:space="preserve">     {{SCHEMA_FAQ}} → JSON-LD FAQPage schema</w:t>
      </w:r>
    </w:p>
    <w:p>
      <w:pPr>
        <w:shd w:fill="F0F0F0" w:val="clear"/>
        <w:spacing w:after="14" w:before="14"/>
        <w:ind w:left="360"/>
      </w:pPr>
      <w:r>
        <w:rPr>
          <w:rFonts w:ascii="Courier New" w:cs="Courier New" w:eastAsia="Courier New" w:hAnsi="Courier New"/>
          <w:color w:val="1B2A4A"/>
          <w:sz w:val="16"/>
          <w:szCs w:val="16"/>
        </w:rPr>
        <w:t xml:space="preserve">  D. Scan remaining {{ }}: replace empty, log warning</w:t>
      </w:r>
    </w:p>
    <w:p>
      <w:pPr>
        <w:shd w:fill="F0F0F0" w:val="clear"/>
        <w:spacing w:after="14" w:before="14"/>
        <w:ind w:left="360"/>
      </w:pPr>
      <w:r>
        <w:rPr>
          <w:rFonts w:ascii="Courier New" w:cs="Courier New" w:eastAsia="Courier New" w:hAnsi="Courier New"/>
          <w:color w:val="1B2A4A"/>
          <w:sz w:val="16"/>
          <w:szCs w:val="16"/>
        </w:rPr>
        <w:t xml:space="preserve">  E. Write file.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3 — SITEMAP + NAV</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Add all 20 URLs to sitemap.xml (priority 0.7).</w:t>
      </w:r>
    </w:p>
    <w:p>
      <w:pPr>
        <w:shd w:fill="F0F0F0" w:val="clear"/>
        <w:spacing w:after="14" w:before="14"/>
        <w:ind w:left="360"/>
      </w:pPr>
      <w:r>
        <w:rPr>
          <w:rFonts w:ascii="Courier New" w:cs="Courier New" w:eastAsia="Courier New" w:hAnsi="Courier New"/>
          <w:color w:val="1B2A4A"/>
          <w:sz w:val="16"/>
          <w:szCs w:val="16"/>
        </w:rPr>
        <w:t xml:space="preserve">Update industries nav. Do not remove existing entries.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STEP 4 — CONFIRM</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Pages created: [N] — must equal 21</w:t>
      </w:r>
    </w:p>
    <w:p>
      <w:pPr>
        <w:shd w:fill="F0F0F0" w:val="clear"/>
        <w:spacing w:after="14" w:before="14"/>
        <w:ind w:left="360"/>
      </w:pPr>
      <w:r>
        <w:rPr>
          <w:rFonts w:ascii="Courier New" w:cs="Courier New" w:eastAsia="Courier New" w:hAnsi="Courier New"/>
          <w:color w:val="1B2A4A"/>
          <w:sz w:val="16"/>
          <w:szCs w:val="16"/>
        </w:rPr>
        <w:t xml:space="preserve">Full list of all 20 file paths</w:t>
      </w:r>
    </w:p>
    <w:p>
      <w:pPr>
        <w:shd w:fill="F0F0F0" w:val="clear"/>
        <w:spacing w:after="14" w:before="14"/>
        <w:ind w:left="360"/>
      </w:pPr>
      <w:r>
        <w:rPr>
          <w:rFonts w:ascii="Courier New" w:cs="Courier New" w:eastAsia="Courier New" w:hAnsi="Courier New"/>
          <w:color w:val="1B2A4A"/>
          <w:sz w:val="16"/>
          <w:szCs w:val="16"/>
        </w:rPr>
        <w:t xml:space="preserve">Token warnings count</w:t>
      </w:r>
    </w:p>
    <w:p>
      <w:pPr>
        <w:shd w:fill="F0F0F0" w:val="clear"/>
        <w:spacing w:after="14" w:before="14"/>
        <w:ind w:left="360"/>
      </w:pPr>
      <w:r>
        <w:rPr>
          <w:rFonts w:ascii="Courier New" w:cs="Courier New" w:eastAsia="Courier New" w:hAnsi="Courier New"/>
          <w:color w:val="1B2A4A"/>
          <w:sz w:val="16"/>
          <w:szCs w:val="16"/>
        </w:rPr>
        <w:t xml:space="preserve">Sitemap updated: yes/no</w:t>
      </w:r>
    </w:p>
    <w:p>
      <w:pPr>
        <w:shd w:fill="F0F0F0" w:val="clear"/>
        <w:spacing w:after="14" w:before="14"/>
        <w:ind w:left="360"/>
      </w:pPr>
      <w:r>
        <w:rPr>
          <w:rFonts w:ascii="Courier New" w:cs="Courier New" w:eastAsia="Courier New" w:hAnsi="Courier New"/>
          <w:color w:val="1B2A4A"/>
          <w:sz w:val="16"/>
          <w:szCs w:val="16"/>
        </w:rPr>
        <w:t xml:space="preserve">Any failures with exact reason</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DO NOT write scripts. DO NOT rebuild existing pages.</w:t>
      </w:r>
    </w:p>
    <w:p>
      <w:pPr>
        <w:shd w:fill="F0F0F0" w:val="clear"/>
        <w:spacing w:after="14" w:before="14"/>
        <w:ind w:left="360"/>
      </w:pPr>
      <w:r>
        <w:rPr>
          <w:rFonts w:ascii="Courier New" w:cs="Courier New" w:eastAsia="Courier New" w:hAnsi="Courier New"/>
          <w:color w:val="1B2A4A"/>
          <w:sz w:val="16"/>
          <w:szCs w:val="16"/>
        </w:rPr>
        <w:t xml:space="preserve">Read JSON. Loop. Replace tokens. Write files.</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3: JSON appendix — save as data/industry-pages-batch20.json</w:t>
      </w:r>
    </w:p>
    <w:p>
      <w:pPr>
        <w:spacing w:after="60" w:before="60"/>
      </w:pPr>
      <w:r>
        <w:rPr>
          <w:rFonts w:ascii="Arial" w:cs="Arial" w:eastAsia="Arial" w:hAnsi="Arial"/>
          <w:i/>
          <w:iCs/>
          <w:color w:val="666666"/>
          <w:sz w:val="18"/>
          <w:szCs w:val="18"/>
        </w:rPr>
        <w:t xml:space="preserve">21 page objects. Copy and save as data/industry-pages-batch20.json in Replit.</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"gulf-cybersecurity-market-entry",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"cybersecurity",</w:t>
      </w:r>
    </w:p>
    <w:p>
      <w:pPr>
        <w:shd w:fill="F0F0F0" w:val="clear"/>
        <w:spacing w:after="14" w:before="14"/>
        <w:ind w:left="360"/>
      </w:pPr>
      <w:r>
        <w:rPr>
          <w:rFonts w:ascii="Courier New" w:cs="Courier New" w:eastAsia="Courier New" w:hAnsi="Courier New"/>
          <w:color w:val="1B2A4A"/>
          <w:sz w:val="16"/>
          <w:szCs w:val="16"/>
        </w:rPr>
        <w:t xml:space="preserve">    "title": "Gulf Cybersecurity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cybersecurity companies enter Gulf markets with market entry strategy, NCA and CBUAE regulatory mapping, government programme access, and enterprise buyer identification.",</w:t>
      </w:r>
    </w:p>
    <w:p>
      <w:pPr>
        <w:shd w:fill="F0F0F0" w:val="clear"/>
        <w:spacing w:after="14" w:before="14"/>
        <w:ind w:left="360"/>
      </w:pPr>
      <w:r>
        <w:rPr>
          <w:rFonts w:ascii="Courier New" w:cs="Courier New" w:eastAsia="Courier New" w:hAnsi="Courier New"/>
          <w:color w:val="1B2A4A"/>
          <w:sz w:val="16"/>
          <w:szCs w:val="16"/>
        </w:rPr>
        <w:t xml:space="preserve">    "h1": "Gulf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cybersecurity product to Gulf enterprise deployment — strategy for cybersecurity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cybersecurity market is one of the world's most commercially active — with Saudi Arabia's NCA mandating cybersecurity compliance across government and critical infrastructure, UAE's CBUAE and TDRA issuing sector-specific security frameworks, and Gulf enterprises investing at record levels following high-profile regional cyber incidents. International cybersecurity companies across endpoint security, SOC platforms, identity management, OT security, and threat intelligence are all evaluating Gulf market entry. GreyRadius helps cybersecurity companies validate Gulf government and enterprise demand, navigate NCA and regulatory requirements, identify local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NCA compliance enforcement is creating mandatory procurement cycles across government, financial services, energy, and telecoms — every regulated entity must demonstrate compliance with the Essential Cybersecurity Controls framework, creating sustained demand for certified cybersecurity products and services. UAE's National Cybersecurity Strategy is creating parallel institutional procurement.",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cybersecurity market is projected to reach $8B by 2028 — growing at 18% annually as NCA compliance mandates, government digital transformation, and enterprise security investment all scale across the GCC.",</w:t>
      </w:r>
    </w:p>
    <w:p>
      <w:pPr>
        <w:shd w:fill="F0F0F0" w:val="clear"/>
        <w:spacing w:after="14" w:before="14"/>
        <w:ind w:left="360"/>
      </w:pPr>
      <w:r>
        <w:rPr>
          <w:rFonts w:ascii="Courier New" w:cs="Courier New" w:eastAsia="Courier New" w:hAnsi="Courier New"/>
          <w:color w:val="1B2A4A"/>
          <w:sz w:val="16"/>
          <w:szCs w:val="16"/>
        </w:rPr>
        <w:t xml:space="preserve">      "Saudi Arabia's NCA Essential Cybersecurity Controls mandate applies to all government entities and critical infrastructure — creating the world's most concentrated compliance-driven cybersecurity procurement programme.",</w:t>
      </w:r>
    </w:p>
    <w:p>
      <w:pPr>
        <w:shd w:fill="F0F0F0" w:val="clear"/>
        <w:spacing w:after="14" w:before="14"/>
        <w:ind w:left="360"/>
      </w:pPr>
      <w:r>
        <w:rPr>
          <w:rFonts w:ascii="Courier New" w:cs="Courier New" w:eastAsia="Courier New" w:hAnsi="Courier New"/>
          <w:color w:val="1B2A4A"/>
          <w:sz w:val="16"/>
          <w:szCs w:val="16"/>
        </w:rPr>
        <w:t xml:space="preserve">      "OT and critical infrastructure security is the fastest-growing Gulf cybersecurity category — energy, utilities, and manufacturing all investing in operational technology security as digital-physical convergence accelerates.",</w:t>
      </w:r>
    </w:p>
    <w:p>
      <w:pPr>
        <w:shd w:fill="F0F0F0" w:val="clear"/>
        <w:spacing w:after="14" w:before="14"/>
        <w:ind w:left="360"/>
      </w:pPr>
      <w:r>
        <w:rPr>
          <w:rFonts w:ascii="Courier New" w:cs="Courier New" w:eastAsia="Courier New" w:hAnsi="Courier New"/>
          <w:color w:val="1B2A4A"/>
          <w:sz w:val="16"/>
          <w:szCs w:val="16"/>
        </w:rPr>
        <w:t xml:space="preserve">      "UAE's CISO community is among the most sophisticated in the emerging world — financial services, government, and telecoms CISOs in UAE are early adopters of advanced cybersecurity technology from international vendors."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"NCA certification is required for government cybersecurity procurement in Saudi Arabia — vendors must achieve NCA product or service certification before participating in government and critical infrastructure procurement.",</w:t>
      </w:r>
    </w:p>
    <w:p>
      <w:pPr>
        <w:shd w:fill="F0F0F0" w:val="clear"/>
        <w:spacing w:after="14" w:before="14"/>
        <w:ind w:left="360"/>
      </w:pPr>
      <w:r>
        <w:rPr>
          <w:rFonts w:ascii="Courier New" w:cs="Courier New" w:eastAsia="Courier New" w:hAnsi="Courier New"/>
          <w:color w:val="1B2A4A"/>
          <w:sz w:val="16"/>
          <w:szCs w:val="16"/>
        </w:rPr>
        <w:t xml:space="preserve">      "Arabisation and data sovereignty requirements affect cybersecurity architecture — Gulf government entities require data processed by security platforms to remain within the Kingdom or UAE, affecting cloud and SaaS cybersecurity deployment models.",</w:t>
      </w:r>
    </w:p>
    <w:p>
      <w:pPr>
        <w:shd w:fill="F0F0F0" w:val="clear"/>
        <w:spacing w:after="14" w:before="14"/>
        <w:ind w:left="360"/>
      </w:pPr>
      <w:r>
        <w:rPr>
          <w:rFonts w:ascii="Courier New" w:cs="Courier New" w:eastAsia="Courier New" w:hAnsi="Courier New"/>
          <w:color w:val="1B2A4A"/>
          <w:sz w:val="16"/>
          <w:szCs w:val="16"/>
        </w:rPr>
        <w:t xml:space="preserve">      "Competition from established global cybersecurity vendors — Palo Alto Networks, CrowdStrike, and Microsoft — with existing Gulf government relationships is intense across all major categories.",</w:t>
      </w:r>
    </w:p>
    <w:p>
      <w:pPr>
        <w:shd w:fill="F0F0F0" w:val="clear"/>
        <w:spacing w:after="14" w:before="14"/>
        <w:ind w:left="360"/>
      </w:pPr>
      <w:r>
        <w:rPr>
          <w:rFonts w:ascii="Courier New" w:cs="Courier New" w:eastAsia="Courier New" w:hAnsi="Courier New"/>
          <w:color w:val="1B2A4A"/>
          <w:sz w:val="16"/>
          <w:szCs w:val="16"/>
        </w:rPr>
        <w:t xml:space="preserve">      "Enterprise cybersecurity sales in Gulf are relationship-driven — CISO relationships in Saudi banks, telecoms, and government are built through sustained in-person engagement, not digital demand generation."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cybersecurity demand validation|You need to validate NCA compliance, enterprise, and government demand for your cybersecurity product and understand certification requirements.",</w:t>
      </w:r>
    </w:p>
    <w:p>
      <w:pPr>
        <w:shd w:fill="F0F0F0" w:val="clear"/>
        <w:spacing w:after="14" w:before="14"/>
        <w:ind w:left="360"/>
      </w:pPr>
      <w:r>
        <w:rPr>
          <w:rFonts w:ascii="Courier New" w:cs="Courier New" w:eastAsia="Courier New" w:hAnsi="Courier New"/>
          <w:color w:val="1B2A4A"/>
          <w:sz w:val="16"/>
          <w:szCs w:val="16"/>
        </w:rPr>
        <w:t xml:space="preserve">      "NCA and regulatory pathway|You need to understand NCA Essential Cybersecurity Controls, UAE NESA requirements, and sector-specific CBUAE and TDRA cybersecurity obligations.",</w:t>
      </w:r>
    </w:p>
    <w:p>
      <w:pPr>
        <w:shd w:fill="F0F0F0" w:val="clear"/>
        <w:spacing w:after="14" w:before="14"/>
        <w:ind w:left="360"/>
      </w:pPr>
      <w:r>
        <w:rPr>
          <w:rFonts w:ascii="Courier New" w:cs="Courier New" w:eastAsia="Courier New" w:hAnsi="Courier New"/>
          <w:color w:val="1B2A4A"/>
          <w:sz w:val="16"/>
          <w:szCs w:val="16"/>
        </w:rPr>
        <w:t xml:space="preserve">      "Gulf cybersecurity partner identification|You need NCA-certified system integrators, MSSPs, and government cybersecurity programme contacts as commercial partners.",</w:t>
      </w:r>
    </w:p>
    <w:p>
      <w:pPr>
        <w:shd w:fill="F0F0F0" w:val="clear"/>
        <w:spacing w:after="14" w:before="14"/>
        <w:ind w:left="360"/>
      </w:pPr>
      <w:r>
        <w:rPr>
          <w:rFonts w:ascii="Courier New" w:cs="Courier New" w:eastAsia="Courier New" w:hAnsi="Courier New"/>
          <w:color w:val="1B2A4A"/>
          <w:sz w:val="16"/>
          <w:szCs w:val="16"/>
        </w:rPr>
        <w:t xml:space="preserve">      "Gulf cybersecurity GTM strategy|You need a go-to-market plan covering NCA compliance procurement, financial services CISO outreach, and critical infrastructure security sales.",</w:t>
      </w:r>
    </w:p>
    <w:p>
      <w:pPr>
        <w:shd w:fill="F0F0F0" w:val="clear"/>
        <w:spacing w:after="14" w:before="14"/>
        <w:ind w:left="360"/>
      </w:pPr>
      <w:r>
        <w:rPr>
          <w:rFonts w:ascii="Courier New" w:cs="Courier New" w:eastAsia="Courier New" w:hAnsi="Courier New"/>
          <w:color w:val="1B2A4A"/>
          <w:sz w:val="16"/>
          <w:szCs w:val="16"/>
        </w:rPr>
        <w:t xml:space="preserve">      "Raising capital for Gulf cybersecurity investment|You need a pitch book grounded in Gulf cybersecurity market data and NCA compliance mandate analysis.",</w:t>
      </w:r>
    </w:p>
    <w:p>
      <w:pPr>
        <w:shd w:fill="F0F0F0" w:val="clear"/>
        <w:spacing w:after="14" w:before="14"/>
        <w:ind w:left="360"/>
      </w:pPr>
      <w:r>
        <w:rPr>
          <w:rFonts w:ascii="Courier New" w:cs="Courier New" w:eastAsia="Courier New" w:hAnsi="Courier New"/>
          <w:color w:val="1B2A4A"/>
          <w:sz w:val="16"/>
          <w:szCs w:val="16"/>
        </w:rPr>
        <w:t xml:space="preserve">      "ICV and localisation strategy|You need an in-country value strategy for Gulf cybersecurity contracts including local SOC presence and data residency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government and enterprise demand for your cybersecurity product with NCA programme mapping and CISO buyer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cybersecurity investment covering NCA certification cost and enterprise sales cycle economics.",</w:t>
      </w:r>
    </w:p>
    <w:p>
      <w:pPr>
        <w:shd w:fill="F0F0F0" w:val="clear"/>
        <w:spacing w:after="14" w:before="14"/>
        <w:ind w:left="360"/>
      </w:pPr>
      <w:r>
        <w:rPr>
          <w:rFonts w:ascii="Courier New" w:cs="Courier New" w:eastAsia="Courier New" w:hAnsi="Courier New"/>
          <w:color w:val="1B2A4A"/>
          <w:sz w:val="16"/>
          <w:szCs w:val="16"/>
        </w:rPr>
        <w:t xml:space="preserve">      "End-to-end Gulf cybersecurity market entry including NCA pathway, SI partner identification, and first-enterprise-contract milestone.",</w:t>
      </w:r>
    </w:p>
    <w:p>
      <w:pPr>
        <w:shd w:fill="F0F0F0" w:val="clear"/>
        <w:spacing w:after="14" w:before="14"/>
        <w:ind w:left="360"/>
      </w:pPr>
      <w:r>
        <w:rPr>
          <w:rFonts w:ascii="Courier New" w:cs="Courier New" w:eastAsia="Courier New" w:hAnsi="Courier New"/>
          <w:color w:val="1B2A4A"/>
          <w:sz w:val="16"/>
          <w:szCs w:val="16"/>
        </w:rPr>
        <w:t xml:space="preserve">      "Embedded Gulf cybersecurity GTM team covering NCA, financial services CISO, and critical infrastructure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cybersecurity investment with NCA compliance mandate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threat intelligence to NCA-compliant AI security operations."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endpoint security companies or also with SOC platforms, identity management, and OT security companies entering the Gulf?|All cybersecurity categories.",</w:t>
      </w:r>
    </w:p>
    <w:p>
      <w:pPr>
        <w:shd w:fill="F0F0F0" w:val="clear"/>
        <w:spacing w:after="14" w:before="14"/>
        <w:ind w:left="360"/>
      </w:pPr>
      <w:r>
        <w:rPr>
          <w:rFonts w:ascii="Courier New" w:cs="Courier New" w:eastAsia="Courier New" w:hAnsi="Courier New"/>
          <w:color w:val="1B2A4A"/>
          <w:sz w:val="16"/>
          <w:szCs w:val="16"/>
        </w:rPr>
        <w:t xml:space="preserve">      "Which Gulf cybersecurity markets does GreyRadius prioritise?|Saudi Arabia for NCA compliance mandate scale, UAE for financial services and government cybersecurity sophistication.",</w:t>
      </w:r>
    </w:p>
    <w:p>
      <w:pPr>
        <w:shd w:fill="F0F0F0" w:val="clear"/>
        <w:spacing w:after="14" w:before="14"/>
        <w:ind w:left="360"/>
      </w:pPr>
      <w:r>
        <w:rPr>
          <w:rFonts w:ascii="Courier New" w:cs="Courier New" w:eastAsia="Courier New" w:hAnsi="Courier New"/>
          <w:color w:val="1B2A4A"/>
          <w:sz w:val="16"/>
          <w:szCs w:val="16"/>
        </w:rPr>
        <w:t xml:space="preserve">      "How long does a Gulf cybersecurity engagement take?|Typically 8-12 weeks for NCA regulatory mapping, enterprise demand research, and SI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NCA-certified SI partners for cybersecurity companies?|Yes — NCA-certified SI partner identification is core to our Gulf cybersecurity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cybersecurity market entry, Saudi Arabia cybersecurity GTM strategy, UAE cybersecurity consulting, NCA compliance advisory, GCC cybersecurity market entry, Gulf security technology strategy",</w:t>
      </w:r>
    </w:p>
    <w:p>
      <w:pPr>
        <w:shd w:fill="F0F0F0" w:val="clear"/>
        <w:spacing w:after="14" w:before="14"/>
        <w:ind w:left="360"/>
      </w:pPr>
      <w:r>
        <w:rPr>
          <w:rFonts w:ascii="Courier New" w:cs="Courier New" w:eastAsia="Courier New" w:hAnsi="Courier New"/>
          <w:color w:val="1B2A4A"/>
          <w:sz w:val="16"/>
          <w:szCs w:val="16"/>
        </w:rPr>
        <w:t xml:space="preserve">    "regions": "Saudi Arabia — NCA-regulated entities in Riyadh and across Kingdom; UAE — CBUAE-regulated financial services and TDRA-regulated telecoms in Dubai and Abu Dhabi",</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"Gulf cybersecurity market by 2028",</w:t>
      </w:r>
    </w:p>
    <w:p>
      <w:pPr>
        <w:shd w:fill="F0F0F0" w:val="clear"/>
        <w:spacing w:after="14" w:before="14"/>
        <w:ind w:left="360"/>
      </w:pPr>
      <w:r>
        <w:rPr>
          <w:rFonts w:ascii="Courier New" w:cs="Courier New" w:eastAsia="Courier New" w:hAnsi="Courier New"/>
          <w:color w:val="1B2A4A"/>
          <w:sz w:val="16"/>
          <w:szCs w:val="16"/>
        </w:rPr>
        <w:t xml:space="preserve">    "stat1b": "NCA compliance mandates, government digital transformation, and enterprise security investment driving 18% annual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cybersecurity mandate",</w:t>
      </w:r>
    </w:p>
    <w:p>
      <w:pPr>
        <w:shd w:fill="F0F0F0" w:val="clear"/>
        <w:spacing w:after="14" w:before="14"/>
        <w:ind w:left="360"/>
      </w:pPr>
      <w:r>
        <w:rPr>
          <w:rFonts w:ascii="Courier New" w:cs="Courier New" w:eastAsia="Courier New" w:hAnsi="Courier New"/>
          <w:color w:val="1B2A4A"/>
          <w:sz w:val="16"/>
          <w:szCs w:val="16"/>
        </w:rPr>
        <w:t xml:space="preserve">    "stat2b": "Gulf CISOs, NCA programme officials, and cybersecurity SI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NCA compliance mapping and enterprise demand research delivers Gulf cybersecurity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"africa-cybersecurity-market-entry",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"cybersecurity",</w:t>
      </w:r>
    </w:p>
    <w:p>
      <w:pPr>
        <w:shd w:fill="F0F0F0" w:val="clear"/>
        <w:spacing w:after="14" w:before="14"/>
        <w:ind w:left="360"/>
      </w:pPr>
      <w:r>
        <w:rPr>
          <w:rFonts w:ascii="Courier New" w:cs="Courier New" w:eastAsia="Courier New" w:hAnsi="Courier New"/>
          <w:color w:val="1B2A4A"/>
          <w:sz w:val="16"/>
          <w:szCs w:val="16"/>
        </w:rPr>
        <w:t xml:space="preserve">    "title": "Africa Cybersecurity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cybersecurity companies enter Africa with market entry strategy, regulatory mapping, enterprise buyer identification, and partner identification across Nigeria, Kenya, South Africa, and Egypt.",</w:t>
      </w:r>
    </w:p>
    <w:p>
      <w:pPr>
        <w:shd w:fill="F0F0F0" w:val="clear"/>
        <w:spacing w:after="14" w:before="14"/>
        <w:ind w:left="360"/>
      </w:pPr>
      <w:r>
        <w:rPr>
          <w:rFonts w:ascii="Courier New" w:cs="Courier New" w:eastAsia="Courier New" w:hAnsi="Courier New"/>
          <w:color w:val="1B2A4A"/>
          <w:sz w:val="16"/>
          <w:szCs w:val="16"/>
        </w:rPr>
        <w:t xml:space="preserve">    "h1": "Africa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cybersecurity product to African enterprise deployment — strategy for cybersecurity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cybersecurity market is growing at extraordinary speed — driven by the continent's fastest-growing digital economy creating new attack surface, central banks across Africa mandating cybersecurity frameworks for financial services, and governments investing in national cybersecurity agencies and CERT infrastructure. Nigeria's NITDA, Kenya's CA, South Africa's NCPF, and Egypt's EG-CERT are all creating cybersecurity compliance environments that international cybersecurity companies can serve. GreyRadius helps cybersecurity companies validate African enterprise and government demand, navigate country-specific regulatory requirements, identify local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"African financial services cybersecurity mandates are accelerating — CBN in Nigeria, CBK in Kenya, and SARB in South Africa have all issued mandatory cybersecurity frameworks for banks and fintechs in the past three years, creating compliance-driven procurement that sustains independent of IT budget cycles. The cybersecurity companies establishing African financial services relationships in 2024-2027 will benefit from multi-year contract structures.",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cybersecurity market is projected to reach $3B by 2027 — growing at 20% annually as digital economy expansion, financial services regulation, and government cybersecurity investment all drive demand.",</w:t>
      </w:r>
    </w:p>
    <w:p>
      <w:pPr>
        <w:shd w:fill="F0F0F0" w:val="clear"/>
        <w:spacing w:after="14" w:before="14"/>
        <w:ind w:left="360"/>
      </w:pPr>
      <w:r>
        <w:rPr>
          <w:rFonts w:ascii="Courier New" w:cs="Courier New" w:eastAsia="Courier New" w:hAnsi="Courier New"/>
          <w:color w:val="1B2A4A"/>
          <w:sz w:val="16"/>
          <w:szCs w:val="16"/>
        </w:rPr>
        <w:t xml:space="preserve">      "Nigeria is Africa's largest cybersecurity market — 200 million internet users, the continent's most active fintech ecosystem, and CBN mandatory cybersecurity directives creating the highest-volume enterprise cybersecurity demand.",</w:t>
      </w:r>
    </w:p>
    <w:p>
      <w:pPr>
        <w:shd w:fill="F0F0F0" w:val="clear"/>
        <w:spacing w:after="14" w:before="14"/>
        <w:ind w:left="360"/>
      </w:pPr>
      <w:r>
        <w:rPr>
          <w:rFonts w:ascii="Courier New" w:cs="Courier New" w:eastAsia="Courier New" w:hAnsi="Courier New"/>
          <w:color w:val="1B2A4A"/>
          <w:sz w:val="16"/>
          <w:szCs w:val="16"/>
        </w:rPr>
        <w:t xml:space="preserve">      "South Africa has Africa's most mature cybersecurity market — POPIA data protection compliance creating enterprise data security demand, SARB cybersecurity frameworks driving banking investment, and the most sophisticated CISO community on the continent.",</w:t>
      </w:r>
    </w:p>
    <w:p>
      <w:pPr>
        <w:shd w:fill="F0F0F0" w:val="clear"/>
        <w:spacing w:after="14" w:before="14"/>
        <w:ind w:left="360"/>
      </w:pPr>
      <w:r>
        <w:rPr>
          <w:rFonts w:ascii="Courier New" w:cs="Courier New" w:eastAsia="Courier New" w:hAnsi="Courier New"/>
          <w:color w:val="1B2A4A"/>
          <w:sz w:val="16"/>
          <w:szCs w:val="16"/>
        </w:rPr>
        <w:t xml:space="preserve">      "Mobile banking security is Africa's fastest-growing cybersecurity category — 400 million mobile money users creating fraud detection, authentication, and transaction security demand that Western security products are not designed for."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"Africa cybersecurity price sensitivity is significant — enterprise cybersecurity budgets across most African markets are 30-50% of equivalent European budgets requiring Africa-specific pricing and packaging.",</w:t>
      </w:r>
    </w:p>
    <w:p>
      <w:pPr>
        <w:shd w:fill="F0F0F0" w:val="clear"/>
        <w:spacing w:after="14" w:before="14"/>
        <w:ind w:left="360"/>
      </w:pPr>
      <w:r>
        <w:rPr>
          <w:rFonts w:ascii="Courier New" w:cs="Courier New" w:eastAsia="Courier New" w:hAnsi="Courier New"/>
          <w:color w:val="1B2A4A"/>
          <w:sz w:val="16"/>
          <w:szCs w:val="16"/>
        </w:rPr>
        <w:t xml:space="preserve">      "Talent shortage affects channel partner quality — cybersecurity implementation and managed service capability is concentrated in South Africa and Egypt with limited depth in West and East Africa.",</w:t>
      </w:r>
    </w:p>
    <w:p>
      <w:pPr>
        <w:shd w:fill="F0F0F0" w:val="clear"/>
        <w:spacing w:after="14" w:before="14"/>
        <w:ind w:left="360"/>
      </w:pPr>
      <w:r>
        <w:rPr>
          <w:rFonts w:ascii="Courier New" w:cs="Courier New" w:eastAsia="Courier New" w:hAnsi="Courier New"/>
          <w:color w:val="1B2A4A"/>
          <w:sz w:val="16"/>
          <w:szCs w:val="16"/>
        </w:rPr>
        <w:t xml:space="preserve">      "Regulatory compliance requirements vary across 54 markets — navigating CBN, CBK, SARB, CA, and national CERT requirements simultaneously requires market-specific regulatory expertise.",</w:t>
      </w:r>
    </w:p>
    <w:p>
      <w:pPr>
        <w:shd w:fill="F0F0F0" w:val="clear"/>
        <w:spacing w:after="14" w:before="14"/>
        <w:ind w:left="360"/>
      </w:pPr>
      <w:r>
        <w:rPr>
          <w:rFonts w:ascii="Courier New" w:cs="Courier New" w:eastAsia="Courier New" w:hAnsi="Courier New"/>
          <w:color w:val="1B2A4A"/>
          <w:sz w:val="16"/>
          <w:szCs w:val="16"/>
        </w:rPr>
        <w:t xml:space="preserve">      "Connectivity and infrastructure constraints affect some cybersecurity product categories — cloud-dependent security products may require on-premise or hybrid architecture for African enterprise contexts."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cybersecurity demand validation|You need to validate African enterprise and government demand for your cybersecurity product and understand country-specific regulatory compliance requirements.",</w:t>
      </w:r>
    </w:p>
    <w:p>
      <w:pPr>
        <w:shd w:fill="F0F0F0" w:val="clear"/>
        <w:spacing w:after="14" w:before="14"/>
        <w:ind w:left="360"/>
      </w:pPr>
      <w:r>
        <w:rPr>
          <w:rFonts w:ascii="Courier New" w:cs="Courier New" w:eastAsia="Courier New" w:hAnsi="Courier New"/>
          <w:color w:val="1B2A4A"/>
          <w:sz w:val="16"/>
          <w:szCs w:val="16"/>
        </w:rPr>
        <w:t xml:space="preserve">      "Regulatory pathway per market|You need to understand CBN, CBK, SARB, and national CERT cybersecurity compliance requirements in each target African market.",</w:t>
      </w:r>
    </w:p>
    <w:p>
      <w:pPr>
        <w:shd w:fill="F0F0F0" w:val="clear"/>
        <w:spacing w:after="14" w:before="14"/>
        <w:ind w:left="360"/>
      </w:pPr>
      <w:r>
        <w:rPr>
          <w:rFonts w:ascii="Courier New" w:cs="Courier New" w:eastAsia="Courier New" w:hAnsi="Courier New"/>
          <w:color w:val="1B2A4A"/>
          <w:sz w:val="16"/>
          <w:szCs w:val="16"/>
        </w:rPr>
        <w:t xml:space="preserve">      "Africa cybersecurity partner identification|You need African MSSPs, system integrators, and telco security division partners as commercial channels.",</w:t>
      </w:r>
    </w:p>
    <w:p>
      <w:pPr>
        <w:shd w:fill="F0F0F0" w:val="clear"/>
        <w:spacing w:after="14" w:before="14"/>
        <w:ind w:left="360"/>
      </w:pPr>
      <w:r>
        <w:rPr>
          <w:rFonts w:ascii="Courier New" w:cs="Courier New" w:eastAsia="Courier New" w:hAnsi="Courier New"/>
          <w:color w:val="1B2A4A"/>
          <w:sz w:val="16"/>
          <w:szCs w:val="16"/>
        </w:rPr>
        <w:t xml:space="preserve">      "Africa cybersecurity GTM strategy|You need a market-by-market financial services and enterprise security acquisition plan.",</w:t>
      </w:r>
    </w:p>
    <w:p>
      <w:pPr>
        <w:shd w:fill="F0F0F0" w:val="clear"/>
        <w:spacing w:after="14" w:before="14"/>
        <w:ind w:left="360"/>
      </w:pPr>
      <w:r>
        <w:rPr>
          <w:rFonts w:ascii="Courier New" w:cs="Courier New" w:eastAsia="Courier New" w:hAnsi="Courier New"/>
          <w:color w:val="1B2A4A"/>
          <w:sz w:val="16"/>
          <w:szCs w:val="16"/>
        </w:rPr>
        <w:t xml:space="preserve">      "Raising capital for Africa cybersecurity investment|You need a pitch book grounded in Africa cybersecurity market data and financial services compliance mandate analysis.",</w:t>
      </w:r>
    </w:p>
    <w:p>
      <w:pPr>
        <w:shd w:fill="F0F0F0" w:val="clear"/>
        <w:spacing w:after="14" w:before="14"/>
        <w:ind w:left="360"/>
      </w:pPr>
      <w:r>
        <w:rPr>
          <w:rFonts w:ascii="Courier New" w:cs="Courier New" w:eastAsia="Courier New" w:hAnsi="Courier New"/>
          <w:color w:val="1B2A4A"/>
          <w:sz w:val="16"/>
          <w:szCs w:val="16"/>
        </w:rPr>
        <w:t xml:space="preserve">      "Africa-specific product adaptation|You need a product packaging and pricing strategy calibrated for African enterprise budget levels."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enterprise and government demand for your cybersecurity product with financial services buyer research and CERT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cybersecurity investment covering Africa-specific pricing and channel partner economics.",</w:t>
      </w:r>
    </w:p>
    <w:p>
      <w:pPr>
        <w:shd w:fill="F0F0F0" w:val="clear"/>
        <w:spacing w:after="14" w:before="14"/>
        <w:ind w:left="360"/>
      </w:pPr>
      <w:r>
        <w:rPr>
          <w:rFonts w:ascii="Courier New" w:cs="Courier New" w:eastAsia="Courier New" w:hAnsi="Courier New"/>
          <w:color w:val="1B2A4A"/>
          <w:sz w:val="16"/>
          <w:szCs w:val="16"/>
        </w:rPr>
        <w:t xml:space="preserve">      "End-to-end Africa cybersecurity market entry including regulatory pathway, MSSP partner identification, and first-enterprise-contract milestone.",</w:t>
      </w:r>
    </w:p>
    <w:p>
      <w:pPr>
        <w:shd w:fill="F0F0F0" w:val="clear"/>
        <w:spacing w:after="14" w:before="14"/>
        <w:ind w:left="360"/>
      </w:pPr>
      <w:r>
        <w:rPr>
          <w:rFonts w:ascii="Courier New" w:cs="Courier New" w:eastAsia="Courier New" w:hAnsi="Courier New"/>
          <w:color w:val="1B2A4A"/>
          <w:sz w:val="16"/>
          <w:szCs w:val="16"/>
        </w:rPr>
        <w:t xml:space="preserve">      "Embedded Africa cybersecurity GTM team covering financial services CISO and government security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cybersecurity investment with financial services compliance mandate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mobile money fraud detection to African language phishing detection."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network security companies or also with identity management, SOC platforms, and mobile security companies entering Africa?|All cybersecurity categories.",</w:t>
      </w:r>
    </w:p>
    <w:p>
      <w:pPr>
        <w:shd w:fill="F0F0F0" w:val="clear"/>
        <w:spacing w:after="14" w:before="14"/>
        <w:ind w:left="360"/>
      </w:pPr>
      <w:r>
        <w:rPr>
          <w:rFonts w:ascii="Courier New" w:cs="Courier New" w:eastAsia="Courier New" w:hAnsi="Courier New"/>
          <w:color w:val="1B2A4A"/>
          <w:sz w:val="16"/>
          <w:szCs w:val="16"/>
        </w:rPr>
        <w:t xml:space="preserve">      "Which African cybersecurity markets does GreyRadius prioritise?|Nigeria for financial services volume, South Africa for enterprise sophistication, Kenya for East Africa hub, Egypt for North Africa.",</w:t>
      </w:r>
    </w:p>
    <w:p>
      <w:pPr>
        <w:shd w:fill="F0F0F0" w:val="clear"/>
        <w:spacing w:after="14" w:before="14"/>
        <w:ind w:left="360"/>
      </w:pPr>
      <w:r>
        <w:rPr>
          <w:rFonts w:ascii="Courier New" w:cs="Courier New" w:eastAsia="Courier New" w:hAnsi="Courier New"/>
          <w:color w:val="1B2A4A"/>
          <w:sz w:val="16"/>
          <w:szCs w:val="16"/>
        </w:rPr>
        <w:t xml:space="preserve">      "How long does an Africa cybersecurity engagement take?|Typically 8-12 weeks for multi-market regulatory mapping and enterprise demand research.",</w:t>
      </w:r>
    </w:p>
    <w:p>
      <w:pPr>
        <w:shd w:fill="F0F0F0" w:val="clear"/>
        <w:spacing w:after="14" w:before="14"/>
        <w:ind w:left="360"/>
      </w:pPr>
      <w:r>
        <w:rPr>
          <w:rFonts w:ascii="Courier New" w:cs="Courier New" w:eastAsia="Courier New" w:hAnsi="Courier New"/>
          <w:color w:val="1B2A4A"/>
          <w:sz w:val="16"/>
          <w:szCs w:val="16"/>
        </w:rPr>
        <w:t xml:space="preserve">      "Can GreyRadius identify African MSSP and telco security partners?|Yes."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cybersecurity market entry, Nigeria cybersecurity GTM strategy, South Africa security consulting, Africa MSSP advisory, Africa financial services cybersecurity market entry",</w:t>
      </w:r>
    </w:p>
    <w:p>
      <w:pPr>
        <w:shd w:fill="F0F0F0" w:val="clear"/>
        <w:spacing w:after="14" w:before="14"/>
        <w:ind w:left="360"/>
      </w:pPr>
      <w:r>
        <w:rPr>
          <w:rFonts w:ascii="Courier New" w:cs="Courier New" w:eastAsia="Courier New" w:hAnsi="Courier New"/>
          <w:color w:val="1B2A4A"/>
          <w:sz w:val="16"/>
          <w:szCs w:val="16"/>
        </w:rPr>
        <w:t xml:space="preserve">    "regions": "Nigeria — CBN-regulated financial services; South Africa — SARB-regulated banks and POPIA compliance; Kenya — CBK-regulated fintechs; Egypt — EG-CERT regulated enterprises",</w:t>
      </w:r>
    </w:p>
    <w:p>
      <w:pPr>
        <w:shd w:fill="F0F0F0" w:val="clear"/>
        <w:spacing w:after="14" w:before="14"/>
        <w:ind w:left="360"/>
      </w:pPr>
      <w:r>
        <w:rPr>
          <w:rFonts w:ascii="Courier New" w:cs="Courier New" w:eastAsia="Courier New" w:hAnsi="Courier New"/>
          <w:color w:val="1B2A4A"/>
          <w:sz w:val="16"/>
          <w:szCs w:val="16"/>
        </w:rPr>
        <w:t xml:space="preserve">    "stat1n": "$3B",</w:t>
      </w:r>
    </w:p>
    <w:p>
      <w:pPr>
        <w:shd w:fill="F0F0F0" w:val="clear"/>
        <w:spacing w:after="14" w:before="14"/>
        <w:ind w:left="360"/>
      </w:pPr>
      <w:r>
        <w:rPr>
          <w:rFonts w:ascii="Courier New" w:cs="Courier New" w:eastAsia="Courier New" w:hAnsi="Courier New"/>
          <w:color w:val="1B2A4A"/>
          <w:sz w:val="16"/>
          <w:szCs w:val="16"/>
        </w:rPr>
        <w:t xml:space="preserve">    "stat1l": "Africa cybersecurity market by 2027",</w:t>
      </w:r>
    </w:p>
    <w:p>
      <w:pPr>
        <w:shd w:fill="F0F0F0" w:val="clear"/>
        <w:spacing w:after="14" w:before="14"/>
        <w:ind w:left="360"/>
      </w:pPr>
      <w:r>
        <w:rPr>
          <w:rFonts w:ascii="Courier New" w:cs="Courier New" w:eastAsia="Courier New" w:hAnsi="Courier New"/>
          <w:color w:val="1B2A4A"/>
          <w:sz w:val="16"/>
          <w:szCs w:val="16"/>
        </w:rPr>
        <w:t xml:space="preserve">    "stat1b": "Digital economy expansion, financial services regulation, and government cybersecurity investment driving 20% annual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cybersecurity mandate",</w:t>
      </w:r>
    </w:p>
    <w:p>
      <w:pPr>
        <w:shd w:fill="F0F0F0" w:val="clear"/>
        <w:spacing w:after="14" w:before="14"/>
        <w:ind w:left="360"/>
      </w:pPr>
      <w:r>
        <w:rPr>
          <w:rFonts w:ascii="Courier New" w:cs="Courier New" w:eastAsia="Courier New" w:hAnsi="Courier New"/>
          <w:color w:val="1B2A4A"/>
          <w:sz w:val="16"/>
          <w:szCs w:val="16"/>
        </w:rPr>
        <w:t xml:space="preserve">    "stat2b": "African CISOs, CERT officials, and MSSP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enterprise demand research delivers Africa cybersecurity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"india-data-centre-market-entry",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"data-centers",</w:t>
      </w:r>
    </w:p>
    <w:p>
      <w:pPr>
        <w:shd w:fill="F0F0F0" w:val="clear"/>
        <w:spacing w:after="14" w:before="14"/>
        <w:ind w:left="360"/>
      </w:pPr>
      <w:r>
        <w:rPr>
          <w:rFonts w:ascii="Courier New" w:cs="Courier New" w:eastAsia="Courier New" w:hAnsi="Courier New"/>
          <w:color w:val="1B2A4A"/>
          <w:sz w:val="16"/>
          <w:szCs w:val="16"/>
        </w:rPr>
        <w:t xml:space="preserve">    "title": "India Data Centre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data centre operators, colocation companies, and cloud infrastructure businesses enter India with market entry strategy, DPDP compliance mapping, government programme access, and partner identification.",</w:t>
      </w:r>
    </w:p>
    <w:p>
      <w:pPr>
        <w:shd w:fill="F0F0F0" w:val="clear"/>
        <w:spacing w:after="14" w:before="14"/>
        <w:ind w:left="360"/>
      </w:pPr>
      <w:r>
        <w:rPr>
          <w:rFonts w:ascii="Courier New" w:cs="Courier New" w:eastAsia="Courier New" w:hAnsi="Courier New"/>
          <w:color w:val="1B2A4A"/>
          <w:sz w:val="16"/>
          <w:szCs w:val="16"/>
        </w:rPr>
        <w:t xml:space="preserve">    "h1": "India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data centre capacity to India's digital infrastructure demand — strategy for data centre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data centre market is growing at extraordinary speed — with cloud adoption growing at 30% annually, DPDP data localisation requirements creating mandatory India-based infrastructure demand, hyperscalers AWS, Azure, and Google Cloud all expanding India capacity, and government's IndiaAI Mission requiring compute infrastructure. International data centre operators, colocation providers, and cloud infrastructure companies are all evaluating India as a priority data centre market. GreyRadius helps data centre companies validate Indian enterprise and government demand, navigate DPDP and regulatory requirements, identify land and power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DPDP Act is creating mandatory data localisation for categories of personal data — every international company processing Indian personal data must assess whether India-based compute is required for compliance. This is creating procurement demand from international companies that previously had no India infrastructure requirement. Simultaneously, the IndiaAI Mission's compute subsidy programme is creating government-funded demand for GPU infrastructure.",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data centre market is projected to reach $8B by 2028 — growing at 25% annually as cloud adoption, DPDP compliance, and AI compute demand all drive capacity investment.",</w:t>
      </w:r>
    </w:p>
    <w:p>
      <w:pPr>
        <w:shd w:fill="F0F0F0" w:val="clear"/>
        <w:spacing w:after="14" w:before="14"/>
        <w:ind w:left="360"/>
      </w:pPr>
      <w:r>
        <w:rPr>
          <w:rFonts w:ascii="Courier New" w:cs="Courier New" w:eastAsia="Courier New" w:hAnsi="Courier New"/>
          <w:color w:val="1B2A4A"/>
          <w:sz w:val="16"/>
          <w:szCs w:val="16"/>
        </w:rPr>
        <w:t xml:space="preserve">      "India's power and land pipeline for data centres is the largest in Asia outside China — Maharashtra, Tamil Nadu, Telangana, and Karnataka have all created data centre industrial zones with dedicated power and connectivity infrastructure.",</w:t>
      </w:r>
    </w:p>
    <w:p>
      <w:pPr>
        <w:shd w:fill="F0F0F0" w:val="clear"/>
        <w:spacing w:after="14" w:before="14"/>
        <w:ind w:left="360"/>
      </w:pPr>
      <w:r>
        <w:rPr>
          <w:rFonts w:ascii="Courier New" w:cs="Courier New" w:eastAsia="Courier New" w:hAnsi="Courier New"/>
          <w:color w:val="1B2A4A"/>
          <w:sz w:val="16"/>
          <w:szCs w:val="16"/>
        </w:rPr>
        <w:t xml:space="preserve">      "DPDP compliance is creating net-new demand — international companies in financial services, healthcare, and e-commerce are assessing India compute requirements for the first time due to data localisation.",</w:t>
      </w:r>
    </w:p>
    <w:p>
      <w:pPr>
        <w:shd w:fill="F0F0F0" w:val="clear"/>
        <w:spacing w:after="14" w:before="14"/>
        <w:ind w:left="360"/>
      </w:pPr>
      <w:r>
        <w:rPr>
          <w:rFonts w:ascii="Courier New" w:cs="Courier New" w:eastAsia="Courier New" w:hAnsi="Courier New"/>
          <w:color w:val="1B2A4A"/>
          <w:sz w:val="16"/>
          <w:szCs w:val="16"/>
        </w:rPr>
        <w:t xml:space="preserve">      "IndiaAI Mission's 10,000+ GPU compute initiative is creating government co-investment in AI infrastructure that data centre companies can access through formal programme partnerships."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"Power availability and reliability is the primary constraint — data centre power requirements in India require advance engagement with state electricity boards and DISCOMs that can take 12-24 months.",</w:t>
      </w:r>
    </w:p>
    <w:p>
      <w:pPr>
        <w:shd w:fill="F0F0F0" w:val="clear"/>
        <w:spacing w:after="14" w:before="14"/>
        <w:ind w:left="360"/>
      </w:pPr>
      <w:r>
        <w:rPr>
          <w:rFonts w:ascii="Courier New" w:cs="Courier New" w:eastAsia="Courier New" w:hAnsi="Courier New"/>
          <w:color w:val="1B2A4A"/>
          <w:sz w:val="16"/>
          <w:szCs w:val="16"/>
        </w:rPr>
        <w:t xml:space="preserve">      "Land acquisition and permitting for large data centre facilities requires state government relationships — industrial zone allocation and construction permits vary significantly by state.",</w:t>
      </w:r>
    </w:p>
    <w:p>
      <w:pPr>
        <w:shd w:fill="F0F0F0" w:val="clear"/>
        <w:spacing w:after="14" w:before="14"/>
        <w:ind w:left="360"/>
      </w:pPr>
      <w:r>
        <w:rPr>
          <w:rFonts w:ascii="Courier New" w:cs="Courier New" w:eastAsia="Courier New" w:hAnsi="Courier New"/>
          <w:color w:val="1B2A4A"/>
          <w:sz w:val="16"/>
          <w:szCs w:val="16"/>
        </w:rPr>
        <w:t xml:space="preserve">      "DPDP compliance requirements are still being finalised — the rules under the DPDP Act that determine which data categories require India-based processing are expected in 2024-2025 creating planning uncertainty.",</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 data centre operators — CtrlS, STT GDC, and NTT — with existing enterprise relationships and operational infrastructure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data centre demand validation|You need to validate enterprise colocation demand, DPDP compliance-driven infrastructure requirements, and government compute programme access.",</w:t>
      </w:r>
    </w:p>
    <w:p>
      <w:pPr>
        <w:shd w:fill="F0F0F0" w:val="clear"/>
        <w:spacing w:after="14" w:before="14"/>
        <w:ind w:left="360"/>
      </w:pPr>
      <w:r>
        <w:rPr>
          <w:rFonts w:ascii="Courier New" w:cs="Courier New" w:eastAsia="Courier New" w:hAnsi="Courier New"/>
          <w:color w:val="1B2A4A"/>
          <w:sz w:val="16"/>
          <w:szCs w:val="16"/>
        </w:rPr>
        <w:t xml:space="preserve">      "DPDP compliance and regulatory mapping|You need to understand which DPDP data categories require India-based processing and what this means for enterprise colocation and cloud infrastructure demand.",</w:t>
      </w:r>
    </w:p>
    <w:p>
      <w:pPr>
        <w:shd w:fill="F0F0F0" w:val="clear"/>
        <w:spacing w:after="14" w:before="14"/>
        <w:ind w:left="360"/>
      </w:pPr>
      <w:r>
        <w:rPr>
          <w:rFonts w:ascii="Courier New" w:cs="Courier New" w:eastAsia="Courier New" w:hAnsi="Courier New"/>
          <w:color w:val="1B2A4A"/>
          <w:sz w:val="16"/>
          <w:szCs w:val="16"/>
        </w:rPr>
        <w:t xml:space="preserve">      "India data centre land and power partner identification|You need state industrial zone contacts, DISCOM power supply agreements, and construction partners for India data centre development.",</w:t>
      </w:r>
    </w:p>
    <w:p>
      <w:pPr>
        <w:shd w:fill="F0F0F0" w:val="clear"/>
        <w:spacing w:after="14" w:before="14"/>
        <w:ind w:left="360"/>
      </w:pPr>
      <w:r>
        <w:rPr>
          <w:rFonts w:ascii="Courier New" w:cs="Courier New" w:eastAsia="Courier New" w:hAnsi="Courier New"/>
          <w:color w:val="1B2A4A"/>
          <w:sz w:val="16"/>
          <w:szCs w:val="16"/>
        </w:rPr>
        <w:t xml:space="preserve">      "India data centre GTM strategy|You need a go-to-market plan covering enterprise colocation, hyperscaler wholesale, and government compute programme.",</w:t>
      </w:r>
    </w:p>
    <w:p>
      <w:pPr>
        <w:shd w:fill="F0F0F0" w:val="clear"/>
        <w:spacing w:after="14" w:before="14"/>
        <w:ind w:left="360"/>
      </w:pPr>
      <w:r>
        <w:rPr>
          <w:rFonts w:ascii="Courier New" w:cs="Courier New" w:eastAsia="Courier New" w:hAnsi="Courier New"/>
          <w:color w:val="1B2A4A"/>
          <w:sz w:val="16"/>
          <w:szCs w:val="16"/>
        </w:rPr>
        <w:t xml:space="preserve">      "Raising capital for India data centre investment|You need a pitch book grounded in India data centre demand data and DPDP compliance infrastructure analysis.",</w:t>
      </w:r>
    </w:p>
    <w:p>
      <w:pPr>
        <w:shd w:fill="F0F0F0" w:val="clear"/>
        <w:spacing w:after="14" w:before="14"/>
        <w:ind w:left="360"/>
      </w:pPr>
      <w:r>
        <w:rPr>
          <w:rFonts w:ascii="Courier New" w:cs="Courier New" w:eastAsia="Courier New" w:hAnsi="Courier New"/>
          <w:color w:val="1B2A4A"/>
          <w:sz w:val="16"/>
          <w:szCs w:val="16"/>
        </w:rPr>
        <w:t xml:space="preserve">      "State selection and incentive strategy|You need a state-by-state comparison of data centre incentives, power availability, and connectivity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enterprise and government demand for your data centre capacity with DPDP compliance mapping and hyperscaler wholesale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data centre investment covering power infrastructure cost and enterprise lease economics.",</w:t>
      </w:r>
    </w:p>
    <w:p>
      <w:pPr>
        <w:shd w:fill="F0F0F0" w:val="clear"/>
        <w:spacing w:after="14" w:before="14"/>
        <w:ind w:left="360"/>
      </w:pPr>
      <w:r>
        <w:rPr>
          <w:rFonts w:ascii="Courier New" w:cs="Courier New" w:eastAsia="Courier New" w:hAnsi="Courier New"/>
          <w:color w:val="1B2A4A"/>
          <w:sz w:val="16"/>
          <w:szCs w:val="16"/>
        </w:rPr>
        <w:t xml:space="preserve">      "End-to-end India data centre market entry including DPDP pathway, state selection, and enterprise anchor tenant identification.",</w:t>
      </w:r>
    </w:p>
    <w:p>
      <w:pPr>
        <w:shd w:fill="F0F0F0" w:val="clear"/>
        <w:spacing w:after="14" w:before="14"/>
        <w:ind w:left="360"/>
      </w:pPr>
      <w:r>
        <w:rPr>
          <w:rFonts w:ascii="Courier New" w:cs="Courier New" w:eastAsia="Courier New" w:hAnsi="Courier New"/>
          <w:color w:val="1B2A4A"/>
          <w:sz w:val="16"/>
          <w:szCs w:val="16"/>
        </w:rPr>
        <w:t xml:space="preserve">      "Embedded India data centre GTM team covering enterprise IT and government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data centre investment with DPDP compliance and IndiaAI compute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data centre energy optimisation to predictive power demand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colocation operators or also with hyperscaler wholesale, edge data centres, and cloud infrastructure companies entering India?|All data centre categories.",</w:t>
      </w:r>
    </w:p>
    <w:p>
      <w:pPr>
        <w:shd w:fill="F0F0F0" w:val="clear"/>
        <w:spacing w:after="14" w:before="14"/>
        <w:ind w:left="360"/>
      </w:pPr>
      <w:r>
        <w:rPr>
          <w:rFonts w:ascii="Courier New" w:cs="Courier New" w:eastAsia="Courier New" w:hAnsi="Courier New"/>
          <w:color w:val="1B2A4A"/>
          <w:sz w:val="16"/>
          <w:szCs w:val="16"/>
        </w:rPr>
        <w:t xml:space="preserve">      "Which Indian states are most attractive for data centre investment?|Maharashtra and Tamil Nadu for enterprise demand concentration; Telangana and Karnataka for IT ecosystem proximity; Uttar Pradesh and Rajasthan for competitive land and power economics.",</w:t>
      </w:r>
    </w:p>
    <w:p>
      <w:pPr>
        <w:shd w:fill="F0F0F0" w:val="clear"/>
        <w:spacing w:after="14" w:before="14"/>
        <w:ind w:left="360"/>
      </w:pPr>
      <w:r>
        <w:rPr>
          <w:rFonts w:ascii="Courier New" w:cs="Courier New" w:eastAsia="Courier New" w:hAnsi="Courier New"/>
          <w:color w:val="1B2A4A"/>
          <w:sz w:val="16"/>
          <w:szCs w:val="16"/>
        </w:rPr>
        <w:t xml:space="preserve">      "How long does an India data centre engagement take?|Typically 10-14 weeks for demand validation, DPDP mapping, state selection, and anchor tenant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state industrial zone contacts and DISCOM engagement pathways?|Yes."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data centre market entry, India colocation GTM strategy, India DPDP compliance consulting, India cloud infrastructure advisory, India data centre investment strategy",</w:t>
      </w:r>
    </w:p>
    <w:p>
      <w:pPr>
        <w:shd w:fill="F0F0F0" w:val="clear"/>
        <w:spacing w:after="14" w:before="14"/>
        <w:ind w:left="360"/>
      </w:pPr>
      <w:r>
        <w:rPr>
          <w:rFonts w:ascii="Courier New" w:cs="Courier New" w:eastAsia="Courier New" w:hAnsi="Courier New"/>
          <w:color w:val="1B2A4A"/>
          <w:sz w:val="16"/>
          <w:szCs w:val="16"/>
        </w:rPr>
        <w:t xml:space="preserve">    "regions": "India — Maharashtra Mumbai, Tamil Nadu Chennai, Telangana Hyderabad, Karnataka Bengaluru, Uttar Pradesh Noida data centre corridors",</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"India data centre market by 2028",</w:t>
      </w:r>
    </w:p>
    <w:p>
      <w:pPr>
        <w:shd w:fill="F0F0F0" w:val="clear"/>
        <w:spacing w:after="14" w:before="14"/>
        <w:ind w:left="360"/>
      </w:pPr>
      <w:r>
        <w:rPr>
          <w:rFonts w:ascii="Courier New" w:cs="Courier New" w:eastAsia="Courier New" w:hAnsi="Courier New"/>
          <w:color w:val="1B2A4A"/>
          <w:sz w:val="16"/>
          <w:szCs w:val="16"/>
        </w:rPr>
        <w:t xml:space="preserve">    "stat1b": "DPDP compliance requirements, cloud adoption, and IndiaAI Mission creating unprecedented India data centre investment demand.",</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data centre mandate",</w:t>
      </w:r>
    </w:p>
    <w:p>
      <w:pPr>
        <w:shd w:fill="F0F0F0" w:val="clear"/>
        <w:spacing w:after="14" w:before="14"/>
        <w:ind w:left="360"/>
      </w:pPr>
      <w:r>
        <w:rPr>
          <w:rFonts w:ascii="Courier New" w:cs="Courier New" w:eastAsia="Courier New" w:hAnsi="Courier New"/>
          <w:color w:val="1B2A4A"/>
          <w:sz w:val="16"/>
          <w:szCs w:val="16"/>
        </w:rPr>
        <w:t xml:space="preserve">    "stat2b": "Enterprise IT heads, state industrial zone officials, and DISCOM power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DPDP compliance mapping and enterprise demand research delivers India data centre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"gulf-data-centre-market-entry",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"data-centers",</w:t>
      </w:r>
    </w:p>
    <w:p>
      <w:pPr>
        <w:shd w:fill="F0F0F0" w:val="clear"/>
        <w:spacing w:after="14" w:before="14"/>
        <w:ind w:left="360"/>
      </w:pPr>
      <w:r>
        <w:rPr>
          <w:rFonts w:ascii="Courier New" w:cs="Courier New" w:eastAsia="Courier New" w:hAnsi="Courier New"/>
          <w:color w:val="1B2A4A"/>
          <w:sz w:val="16"/>
          <w:szCs w:val="16"/>
        </w:rPr>
        <w:t xml:space="preserve">    "title": "Gulf Data Centre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data centre operators enter Gulf markets with market entry strategy, G-Cloud certification, data sovereignty compliance, government programme access, and enterprise buyer identification.",</w:t>
      </w:r>
    </w:p>
    <w:p>
      <w:pPr>
        <w:shd w:fill="F0F0F0" w:val="clear"/>
        <w:spacing w:after="14" w:before="14"/>
        <w:ind w:left="360"/>
      </w:pPr>
      <w:r>
        <w:rPr>
          <w:rFonts w:ascii="Courier New" w:cs="Courier New" w:eastAsia="Courier New" w:hAnsi="Courier New"/>
          <w:color w:val="1B2A4A"/>
          <w:sz w:val="16"/>
          <w:szCs w:val="16"/>
        </w:rPr>
        <w:t xml:space="preserve">    "h1": "Gulf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data centre capacity to Gulf digital infrastructure — strategy for data centre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data centre market is at a historic investment peak — with Saudi Arabia's $6B+ government cloud and data infrastructure commitment, UAE hosting 300+ data centres making it the Gulf's established cloud hub, and Qatar, Kuwait, and Bahrain all investing in national digital infrastructure. AWS, Azure, and Google Cloud have all established Gulf regions and government cloud procurement is accelerating across all GCC markets. International data centre operators, colocation providers, and hyperscaler wholesale companies are all evaluating Gulf market entry. GreyRadius helps data centre companies validate Gulf government and enterprise demand, navigate G-Cloud certification and data sovereignty requirements,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G-Cloud provider certification programme and UAE's Government Cloud strategy are both in active procurement phases — certified cloud and data centre providers gain access to government workload migration that will sustain for years. The data centre companies achieving G-Cloud certification in 2024-2026 will be positioned for the peak government cloud migration volumes in 2027-2030.",</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data centre market is projected to reach $10B annually by 2028 — government cloud migration, AI infrastructure demand, and enterprise digitalisation all driving 20% annual capacity procurement.",</w:t>
      </w:r>
    </w:p>
    <w:p>
      <w:pPr>
        <w:shd w:fill="F0F0F0" w:val="clear"/>
        <w:spacing w:after="14" w:before="14"/>
        <w:ind w:left="360"/>
      </w:pPr>
      <w:r>
        <w:rPr>
          <w:rFonts w:ascii="Courier New" w:cs="Courier New" w:eastAsia="Courier New" w:hAnsi="Courier New"/>
          <w:color w:val="1B2A4A"/>
          <w:sz w:val="16"/>
          <w:szCs w:val="16"/>
        </w:rPr>
        <w:t xml:space="preserve">      "UAE is the Gulf's established colocation and cloud hub — AWS, Azure, and Google Cloud UAE regions creating enterprise demand for adjacent colocation and managed services that international operators can serve.",</w:t>
      </w:r>
    </w:p>
    <w:p>
      <w:pPr>
        <w:shd w:fill="F0F0F0" w:val="clear"/>
        <w:spacing w:after="14" w:before="14"/>
        <w:ind w:left="360"/>
      </w:pPr>
      <w:r>
        <w:rPr>
          <w:rFonts w:ascii="Courier New" w:cs="Courier New" w:eastAsia="Courier New" w:hAnsi="Courier New"/>
          <w:color w:val="1B2A4A"/>
          <w:sz w:val="16"/>
          <w:szCs w:val="16"/>
        </w:rPr>
        <w:t xml:space="preserve">      "Saudi Arabia's Vision 2030 AI and data programmes are creating GPU compute demand — SDAIA and NEOM AI infrastructure requirements are creating hyperscale compute demand that exceeds current Gulf capacity.",</w:t>
      </w:r>
    </w:p>
    <w:p>
      <w:pPr>
        <w:shd w:fill="F0F0F0" w:val="clear"/>
        <w:spacing w:after="14" w:before="14"/>
        <w:ind w:left="360"/>
      </w:pPr>
      <w:r>
        <w:rPr>
          <w:rFonts w:ascii="Courier New" w:cs="Courier New" w:eastAsia="Courier New" w:hAnsi="Courier New"/>
          <w:color w:val="1B2A4A"/>
          <w:sz w:val="16"/>
          <w:szCs w:val="16"/>
        </w:rPr>
        <w:t xml:space="preserve">      "Data sovereignty is non-negotiable in Gulf government workloads — every GCC government has explicit data residency requirements that create structural demand for locally operated data centre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"G-Cloud provider certification is required for Saudi government cloud workloads — the certification process involves NCA security review, data residency validation, and service capability assessment taking 9-14 months.",</w:t>
      </w:r>
    </w:p>
    <w:p>
      <w:pPr>
        <w:shd w:fill="F0F0F0" w:val="clear"/>
        <w:spacing w:after="14" w:before="14"/>
        <w:ind w:left="360"/>
      </w:pPr>
      <w:r>
        <w:rPr>
          <w:rFonts w:ascii="Courier New" w:cs="Courier New" w:eastAsia="Courier New" w:hAnsi="Courier New"/>
          <w:color w:val="1B2A4A"/>
          <w:sz w:val="16"/>
          <w:szCs w:val="16"/>
        </w:rPr>
        <w:t xml:space="preserve">      "Power infrastructure for large data centres requires advance coordination with Saudi and UAE utilities — ARAMCO, SEC, DEWA, and ADDC all have specific processes for large power offtake agreements.",</w:t>
      </w:r>
    </w:p>
    <w:p>
      <w:pPr>
        <w:shd w:fill="F0F0F0" w:val="clear"/>
        <w:spacing w:after="14" w:before="14"/>
        <w:ind w:left="360"/>
      </w:pPr>
      <w:r>
        <w:rPr>
          <w:rFonts w:ascii="Courier New" w:cs="Courier New" w:eastAsia="Courier New" w:hAnsi="Courier New"/>
          <w:color w:val="1B2A4A"/>
          <w:sz w:val="16"/>
          <w:szCs w:val="16"/>
        </w:rPr>
        <w:t xml:space="preserve">      "ICV requirements apply to Saudi data centre contracts — local workforce, local spending, and local equipment procurement all factor into ICV scoring for government data centre contracts.",</w:t>
      </w:r>
    </w:p>
    <w:p>
      <w:pPr>
        <w:shd w:fill="F0F0F0" w:val="clear"/>
        <w:spacing w:after="14" w:before="14"/>
        <w:ind w:left="360"/>
      </w:pPr>
      <w:r>
        <w:rPr>
          <w:rFonts w:ascii="Courier New" w:cs="Courier New" w:eastAsia="Courier New" w:hAnsi="Courier New"/>
          <w:color w:val="1B2A4A"/>
          <w:sz w:val="16"/>
          <w:szCs w:val="16"/>
        </w:rPr>
        <w:t xml:space="preserve">      "Competition from hyperscalers already present — AWS, Azure, and Google Cloud with government relationships and existing infrastructure — is creating a high competitive bar for new entrants."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data centre demand validation|You need to validate G-Cloud, enterprise colocation, and AI compute demand across UAE and Saudi Arabia.",</w:t>
      </w:r>
    </w:p>
    <w:p>
      <w:pPr>
        <w:shd w:fill="F0F0F0" w:val="clear"/>
        <w:spacing w:after="14" w:before="14"/>
        <w:ind w:left="360"/>
      </w:pPr>
      <w:r>
        <w:rPr>
          <w:rFonts w:ascii="Courier New" w:cs="Courier New" w:eastAsia="Courier New" w:hAnsi="Courier New"/>
          <w:color w:val="1B2A4A"/>
          <w:sz w:val="16"/>
          <w:szCs w:val="16"/>
        </w:rPr>
        <w:t xml:space="preserve">      "G-Cloud certification and regulatory pathway|You need to understand G-Cloud provider certification requirements, NCA security review process, and UAE TRA cloud registration.",</w:t>
      </w:r>
    </w:p>
    <w:p>
      <w:pPr>
        <w:shd w:fill="F0F0F0" w:val="clear"/>
        <w:spacing w:after="14" w:before="14"/>
        <w:ind w:left="360"/>
      </w:pPr>
      <w:r>
        <w:rPr>
          <w:rFonts w:ascii="Courier New" w:cs="Courier New" w:eastAsia="Courier New" w:hAnsi="Courier New"/>
          <w:color w:val="1B2A4A"/>
          <w:sz w:val="16"/>
          <w:szCs w:val="16"/>
        </w:rPr>
        <w:t xml:space="preserve">      "Gulf data centre partner identification|You need government digital transformation programme contacts, enterprise IT anchor tenants, and utility power agreement partners.",</w:t>
      </w:r>
    </w:p>
    <w:p>
      <w:pPr>
        <w:shd w:fill="F0F0F0" w:val="clear"/>
        <w:spacing w:after="14" w:before="14"/>
        <w:ind w:left="360"/>
      </w:pPr>
      <w:r>
        <w:rPr>
          <w:rFonts w:ascii="Courier New" w:cs="Courier New" w:eastAsia="Courier New" w:hAnsi="Courier New"/>
          <w:color w:val="1B2A4A"/>
          <w:sz w:val="16"/>
          <w:szCs w:val="16"/>
        </w:rPr>
        <w:t xml:space="preserve">      "Gulf data centre GTM strategy|You need a go-to-market plan covering Saudi G-Cloud, UAE enterprise colocation, and AI compute infrastructure.",</w:t>
      </w:r>
    </w:p>
    <w:p>
      <w:pPr>
        <w:shd w:fill="F0F0F0" w:val="clear"/>
        <w:spacing w:after="14" w:before="14"/>
        <w:ind w:left="360"/>
      </w:pPr>
      <w:r>
        <w:rPr>
          <w:rFonts w:ascii="Courier New" w:cs="Courier New" w:eastAsia="Courier New" w:hAnsi="Courier New"/>
          <w:color w:val="1B2A4A"/>
          <w:sz w:val="16"/>
          <w:szCs w:val="16"/>
        </w:rPr>
        <w:t xml:space="preserve">      "Raising capital for Gulf data centre investment|You need a pitch book grounded in Gulf data centre demand and government cloud migration analysis.",</w:t>
      </w:r>
    </w:p>
    <w:p>
      <w:pPr>
        <w:shd w:fill="F0F0F0" w:val="clear"/>
        <w:spacing w:after="14" w:before="14"/>
        <w:ind w:left="360"/>
      </w:pPr>
      <w:r>
        <w:rPr>
          <w:rFonts w:ascii="Courier New" w:cs="Courier New" w:eastAsia="Courier New" w:hAnsi="Courier New"/>
          <w:color w:val="1B2A4A"/>
          <w:sz w:val="16"/>
          <w:szCs w:val="16"/>
        </w:rPr>
        <w:t xml:space="preserve">      "ICV and localisation strategy|You need an ICV plan for Saudi data centre contracts covering workforce localisation and local procurement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government and enterprise demand for your data centre capacity with G-Cloud programme mapping and enterprise IT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data centre investment covering G-Cloud certification cost and power infrastructure economics.",</w:t>
      </w:r>
    </w:p>
    <w:p>
      <w:pPr>
        <w:shd w:fill="F0F0F0" w:val="clear"/>
        <w:spacing w:after="14" w:before="14"/>
        <w:ind w:left="360"/>
      </w:pPr>
      <w:r>
        <w:rPr>
          <w:rFonts w:ascii="Courier New" w:cs="Courier New" w:eastAsia="Courier New" w:hAnsi="Courier New"/>
          <w:color w:val="1B2A4A"/>
          <w:sz w:val="16"/>
          <w:szCs w:val="16"/>
        </w:rPr>
        <w:t xml:space="preserve">      "End-to-end Gulf data centre market entry including G-Cloud pathway, utility power agreements, and anchor tenant identification.",</w:t>
      </w:r>
    </w:p>
    <w:p>
      <w:pPr>
        <w:shd w:fill="F0F0F0" w:val="clear"/>
        <w:spacing w:after="14" w:before="14"/>
        <w:ind w:left="360"/>
      </w:pPr>
      <w:r>
        <w:rPr>
          <w:rFonts w:ascii="Courier New" w:cs="Courier New" w:eastAsia="Courier New" w:hAnsi="Courier New"/>
          <w:color w:val="1B2A4A"/>
          <w:sz w:val="16"/>
          <w:szCs w:val="16"/>
        </w:rPr>
        <w:t xml:space="preserve">      "Embedded Gulf data centre GTM team covering government cloud programme and enterprise IT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data centre investment with Vision 2030 AI compute and G-Cloud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Gulf data centre cooling optimisation to edge AI infrastructure for Gulf smart city deployments."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colocation operators or also with hyperscaler wholesale, edge data centre, and managed services companies entering the Gulf?|All data centre categories.",</w:t>
      </w:r>
    </w:p>
    <w:p>
      <w:pPr>
        <w:shd w:fill="F0F0F0" w:val="clear"/>
        <w:spacing w:after="14" w:before="14"/>
        <w:ind w:left="360"/>
      </w:pPr>
      <w:r>
        <w:rPr>
          <w:rFonts w:ascii="Courier New" w:cs="Courier New" w:eastAsia="Courier New" w:hAnsi="Courier New"/>
          <w:color w:val="1B2A4A"/>
          <w:sz w:val="16"/>
          <w:szCs w:val="16"/>
        </w:rPr>
        <w:t xml:space="preserve">      "Which Gulf data centre markets does GreyRadius prioritise?|UAE for established enterprise demand and hyperscaler adjacency; Saudi Arabia for G-Cloud government migration scale.",</w:t>
      </w:r>
    </w:p>
    <w:p>
      <w:pPr>
        <w:shd w:fill="F0F0F0" w:val="clear"/>
        <w:spacing w:after="14" w:before="14"/>
        <w:ind w:left="360"/>
      </w:pPr>
      <w:r>
        <w:rPr>
          <w:rFonts w:ascii="Courier New" w:cs="Courier New" w:eastAsia="Courier New" w:hAnsi="Courier New"/>
          <w:color w:val="1B2A4A"/>
          <w:sz w:val="16"/>
          <w:szCs w:val="16"/>
        </w:rPr>
        <w:t xml:space="preserve">      "How long does a Gulf data centre engagement take?|Typically 10-14 weeks for G-Cloud certification mapping, enterprise demand validation, and anchor tenant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G-Cloud certification pathway contacts and utility power agreement processes?|Yes."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data centre market entry, Saudi Arabia cloud infrastructure GTM, UAE data centre consulting, G-Cloud certification advisory, GCC data centre investment strategy",</w:t>
      </w:r>
    </w:p>
    <w:p>
      <w:pPr>
        <w:shd w:fill="F0F0F0" w:val="clear"/>
        <w:spacing w:after="14" w:before="14"/>
        <w:ind w:left="360"/>
      </w:pPr>
      <w:r>
        <w:rPr>
          <w:rFonts w:ascii="Courier New" w:cs="Courier New" w:eastAsia="Courier New" w:hAnsi="Courier New"/>
          <w:color w:val="1B2A4A"/>
          <w:sz w:val="16"/>
          <w:szCs w:val="16"/>
        </w:rPr>
        <w:t xml:space="preserve">    "regions": "UAE — Dubai Internet City and Abu Dhabi data centre clusters; Saudi Arabia — Riyadh NIC and SDAIA infrastructure zones",</w:t>
      </w:r>
    </w:p>
    <w:p>
      <w:pPr>
        <w:shd w:fill="F0F0F0" w:val="clear"/>
        <w:spacing w:after="14" w:before="14"/>
        <w:ind w:left="360"/>
      </w:pPr>
      <w:r>
        <w:rPr>
          <w:rFonts w:ascii="Courier New" w:cs="Courier New" w:eastAsia="Courier New" w:hAnsi="Courier New"/>
          <w:color w:val="1B2A4A"/>
          <w:sz w:val="16"/>
          <w:szCs w:val="16"/>
        </w:rPr>
        <w:t xml:space="preserve">    "stat1n": "$10B",</w:t>
      </w:r>
    </w:p>
    <w:p>
      <w:pPr>
        <w:shd w:fill="F0F0F0" w:val="clear"/>
        <w:spacing w:after="14" w:before="14"/>
        <w:ind w:left="360"/>
      </w:pPr>
      <w:r>
        <w:rPr>
          <w:rFonts w:ascii="Courier New" w:cs="Courier New" w:eastAsia="Courier New" w:hAnsi="Courier New"/>
          <w:color w:val="1B2A4A"/>
          <w:sz w:val="16"/>
          <w:szCs w:val="16"/>
        </w:rPr>
        <w:t xml:space="preserve">    "stat1l": "Gulf data centre market annually by 2028",</w:t>
      </w:r>
    </w:p>
    <w:p>
      <w:pPr>
        <w:shd w:fill="F0F0F0" w:val="clear"/>
        <w:spacing w:after="14" w:before="14"/>
        <w:ind w:left="360"/>
      </w:pPr>
      <w:r>
        <w:rPr>
          <w:rFonts w:ascii="Courier New" w:cs="Courier New" w:eastAsia="Courier New" w:hAnsi="Courier New"/>
          <w:color w:val="1B2A4A"/>
          <w:sz w:val="16"/>
          <w:szCs w:val="16"/>
        </w:rPr>
        <w:t xml:space="preserve">    "stat1b": "Government cloud migration, AI infrastructure demand, and enterprise digitalisation driving 20% annual Gulf data centre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data centre mandate",</w:t>
      </w:r>
    </w:p>
    <w:p>
      <w:pPr>
        <w:shd w:fill="F0F0F0" w:val="clear"/>
        <w:spacing w:after="14" w:before="14"/>
        <w:ind w:left="360"/>
      </w:pPr>
      <w:r>
        <w:rPr>
          <w:rFonts w:ascii="Courier New" w:cs="Courier New" w:eastAsia="Courier New" w:hAnsi="Courier New"/>
          <w:color w:val="1B2A4A"/>
          <w:sz w:val="16"/>
          <w:szCs w:val="16"/>
        </w:rPr>
        <w:t xml:space="preserve">    "stat2b": "Government cloud programme directors, enterprise CIOs, and utility power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G-Cloud programme mapping and enterprise demand research delivers Gulf data centre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"gulf-pharma-market-entry",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"pharma",</w:t>
      </w:r>
    </w:p>
    <w:p>
      <w:pPr>
        <w:shd w:fill="F0F0F0" w:val="clear"/>
        <w:spacing w:after="14" w:before="14"/>
        <w:ind w:left="360"/>
      </w:pPr>
      <w:r>
        <w:rPr>
          <w:rFonts w:ascii="Courier New" w:cs="Courier New" w:eastAsia="Courier New" w:hAnsi="Courier New"/>
          <w:color w:val="1B2A4A"/>
          <w:sz w:val="16"/>
          <w:szCs w:val="16"/>
        </w:rPr>
        <w:t xml:space="preserve">    "title": "Gulf Pharmaceutical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pharmaceutical companies enter Gulf markets with SFDA regulatory mapping, hospital formulary strategy, distributor identification, and GTM execution.",</w:t>
      </w:r>
    </w:p>
    <w:p>
      <w:pPr>
        <w:shd w:fill="F0F0F0" w:val="clear"/>
        <w:spacing w:after="14" w:before="14"/>
        <w:ind w:left="360"/>
      </w:pPr>
      <w:r>
        <w:rPr>
          <w:rFonts w:ascii="Courier New" w:cs="Courier New" w:eastAsia="Courier New" w:hAnsi="Courier New"/>
          <w:color w:val="1B2A4A"/>
          <w:sz w:val="16"/>
          <w:szCs w:val="16"/>
        </w:rPr>
        <w:t xml:space="preserve">    "h1": "Gulf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drug to Gulf patient — strategy for pharmaceutical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pharmaceutical market is one of the world's most commercially attractive for international pharma companies — combining high per-capita healthcare spending, government investment in healthcare quality, Vision 2030 hospital privatisation creating new institutional procurement decision-makers, and relatively streamlined SFDA registration compared to FDA or EMA timelines. International pharmaceutical companies across branded generics, specialty therapeutics, biologics, and OTC products are all evaluating Gulf market entry. GreyRadius helps pharma companies validate Gulf physician and institutional demand, navigate SFDA and MOH regulatory requirements, identify pharmaceutical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hospital privatisation programme is changing pharmaceutical procurement dynamics — private hospital operators replacing government procurement committees have different buying criteria, faster decision timelines, and stronger brand preference than the government formulary system they replaced. International pharma companies that build relationships with private hospital pharmacy heads in 2024-2027 will have procurement access that competitors entering later will not.",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pharmaceutical market is projected to reach $12B by 2028 — growing at 8% annually as population growth, chronic disease burden, and healthcare infrastructure expansion all drive drug demand.",</w:t>
      </w:r>
    </w:p>
    <w:p>
      <w:pPr>
        <w:shd w:fill="F0F0F0" w:val="clear"/>
        <w:spacing w:after="14" w:before="14"/>
        <w:ind w:left="360"/>
      </w:pPr>
      <w:r>
        <w:rPr>
          <w:rFonts w:ascii="Courier New" w:cs="Courier New" w:eastAsia="Courier New" w:hAnsi="Courier New"/>
          <w:color w:val="1B2A4A"/>
          <w:sz w:val="16"/>
          <w:szCs w:val="16"/>
        </w:rPr>
        <w:t xml:space="preserve">      "Saudi Arabia is the Gulf's largest pharmaceutical market — importing $3B+ annually with SFDA registration covering all six GCC countries under the mutual recognition framework, making Saudi the most efficient first-market entry point.",</w:t>
      </w:r>
    </w:p>
    <w:p>
      <w:pPr>
        <w:shd w:fill="F0F0F0" w:val="clear"/>
        <w:spacing w:after="14" w:before="14"/>
        <w:ind w:left="360"/>
      </w:pPr>
      <w:r>
        <w:rPr>
          <w:rFonts w:ascii="Courier New" w:cs="Courier New" w:eastAsia="Courier New" w:hAnsi="Courier New"/>
          <w:color w:val="1B2A4A"/>
          <w:sz w:val="16"/>
          <w:szCs w:val="16"/>
        </w:rPr>
        <w:t xml:space="preserve">      "Specialty pharmaceuticals are growing at 15% annually in Gulf — oncology, rare diseases, and biologic medicines are all seeing rapid adoption as Gulf specialist physician communities grow and health insurance coverage expands.",</w:t>
      </w:r>
    </w:p>
    <w:p>
      <w:pPr>
        <w:shd w:fill="F0F0F0" w:val="clear"/>
        <w:spacing w:after="14" w:before="14"/>
        <w:ind w:left="360"/>
      </w:pPr>
      <w:r>
        <w:rPr>
          <w:rFonts w:ascii="Courier New" w:cs="Courier New" w:eastAsia="Courier New" w:hAnsi="Courier New"/>
          <w:color w:val="1B2A4A"/>
          <w:sz w:val="16"/>
          <w:szCs w:val="16"/>
        </w:rPr>
        <w:t xml:space="preserve">      "Gulf health insurance expansion is creating private pharmacy channel growth — mandatory health insurance in UAE and Saudi Arabia driving retail pharmacy and private hospital formulary as procurement channels alongside government hospitals."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"SFDA pharmaceutical registration requires clinical evidence dossiers — registration of new molecular entities requires CTD format submission with clinical data, with registration timelines of 12-24 months for new products.",</w:t>
      </w:r>
    </w:p>
    <w:p>
      <w:pPr>
        <w:shd w:fill="F0F0F0" w:val="clear"/>
        <w:spacing w:after="14" w:before="14"/>
        <w:ind w:left="360"/>
      </w:pPr>
      <w:r>
        <w:rPr>
          <w:rFonts w:ascii="Courier New" w:cs="Courier New" w:eastAsia="Courier New" w:hAnsi="Courier New"/>
          <w:color w:val="1B2A4A"/>
          <w:sz w:val="16"/>
          <w:szCs w:val="16"/>
        </w:rPr>
        <w:t xml:space="preserve">      "Pricing and reimbursement negotiations are required for government formulary listing — Saudi Arabia's NUPCO and MOH formulary inclusion requires pricing negotiation that can take 6-12 months after registration.",</w:t>
      </w:r>
    </w:p>
    <w:p>
      <w:pPr>
        <w:shd w:fill="F0F0F0" w:val="clear"/>
        <w:spacing w:after="14" w:before="14"/>
        <w:ind w:left="360"/>
      </w:pPr>
      <w:r>
        <w:rPr>
          <w:rFonts w:ascii="Courier New" w:cs="Courier New" w:eastAsia="Courier New" w:hAnsi="Courier New"/>
          <w:color w:val="1B2A4A"/>
          <w:sz w:val="16"/>
          <w:szCs w:val="16"/>
        </w:rPr>
        <w:t xml:space="preserve">      "Pharmaceutical distribution in Gulf is controlled by exclusive distributors — most international pharma companies require a single national distributor with exclusive territory rights and strong hospital and pharmacy relationships.",</w:t>
      </w:r>
    </w:p>
    <w:p>
      <w:pPr>
        <w:shd w:fill="F0F0F0" w:val="clear"/>
        <w:spacing w:after="14" w:before="14"/>
        <w:ind w:left="360"/>
      </w:pPr>
      <w:r>
        <w:rPr>
          <w:rFonts w:ascii="Courier New" w:cs="Courier New" w:eastAsia="Courier New" w:hAnsi="Courier New"/>
          <w:color w:val="1B2A4A"/>
          <w:sz w:val="16"/>
          <w:szCs w:val="16"/>
        </w:rPr>
        <w:t xml:space="preserve">      "Competition from Indian and Chinese generic manufacturers with price advantages — generic pharmaceuticals from India and China compete aggressively on price across Gulf formularies requiring clear differentiation on quality or innovation."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pharma demand validation|You need to validate Gulf physician, hospital, and institutional demand for your pharmaceutical product including therapeutic positioning and pricing expectations.",</w:t>
      </w:r>
    </w:p>
    <w:p>
      <w:pPr>
        <w:shd w:fill="F0F0F0" w:val="clear"/>
        <w:spacing w:after="14" w:before="14"/>
        <w:ind w:left="360"/>
      </w:pPr>
      <w:r>
        <w:rPr>
          <w:rFonts w:ascii="Courier New" w:cs="Courier New" w:eastAsia="Courier New" w:hAnsi="Courier New"/>
          <w:color w:val="1B2A4A"/>
          <w:sz w:val="16"/>
          <w:szCs w:val="16"/>
        </w:rPr>
        <w:t xml:space="preserve">      "SFDA regulatory pathway|You need to understand SFDA CTD submission requirements, registration timelines by product category, and GCC mutual recognition process.",</w:t>
      </w:r>
    </w:p>
    <w:p>
      <w:pPr>
        <w:shd w:fill="F0F0F0" w:val="clear"/>
        <w:spacing w:after="14" w:before="14"/>
        <w:ind w:left="360"/>
      </w:pPr>
      <w:r>
        <w:rPr>
          <w:rFonts w:ascii="Courier New" w:cs="Courier New" w:eastAsia="Courier New" w:hAnsi="Courier New"/>
          <w:color w:val="1B2A4A"/>
          <w:sz w:val="16"/>
          <w:szCs w:val="16"/>
        </w:rPr>
        <w:t xml:space="preserve">      "Gulf pharmaceutical distributor identification|You need to identify and evaluate national pharmaceutical distributors with strong hospital and pharmacy relationships in Saudi Arabia and UAE.",</w:t>
      </w:r>
    </w:p>
    <w:p>
      <w:pPr>
        <w:shd w:fill="F0F0F0" w:val="clear"/>
        <w:spacing w:after="14" w:before="14"/>
        <w:ind w:left="360"/>
      </w:pPr>
      <w:r>
        <w:rPr>
          <w:rFonts w:ascii="Courier New" w:cs="Courier New" w:eastAsia="Courier New" w:hAnsi="Courier New"/>
          <w:color w:val="1B2A4A"/>
          <w:sz w:val="16"/>
          <w:szCs w:val="16"/>
        </w:rPr>
        <w:t xml:space="preserve">      "Gulf pharma GTM strategy|You need a go-to-market plan covering SFDA registration, NUPCO formulary listing, private hospital pharmacy outreach, and retail pharmacy distribution.",</w:t>
      </w:r>
    </w:p>
    <w:p>
      <w:pPr>
        <w:shd w:fill="F0F0F0" w:val="clear"/>
        <w:spacing w:after="14" w:before="14"/>
        <w:ind w:left="360"/>
      </w:pPr>
      <w:r>
        <w:rPr>
          <w:rFonts w:ascii="Courier New" w:cs="Courier New" w:eastAsia="Courier New" w:hAnsi="Courier New"/>
          <w:color w:val="1B2A4A"/>
          <w:sz w:val="16"/>
          <w:szCs w:val="16"/>
        </w:rPr>
        <w:t xml:space="preserve">      "Raising capital for Gulf pharma investment|You need a pitch book grounded in Gulf pharmaceutical market data and SFDA registration timeline analysis.",</w:t>
      </w:r>
    </w:p>
    <w:p>
      <w:pPr>
        <w:shd w:fill="F0F0F0" w:val="clear"/>
        <w:spacing w:after="14" w:before="14"/>
        <w:ind w:left="360"/>
      </w:pPr>
      <w:r>
        <w:rPr>
          <w:rFonts w:ascii="Courier New" w:cs="Courier New" w:eastAsia="Courier New" w:hAnsi="Courier New"/>
          <w:color w:val="1B2A4A"/>
          <w:sz w:val="16"/>
          <w:szCs w:val="16"/>
        </w:rPr>
        <w:t xml:space="preserve">      "KOL and medical affairs strategy|You need a Gulf key opinion leader identification and medical education programme strategy for physician adoption."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physician and institutional demand for your pharmaceutical product with KOL interviews and SFDA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pharma investment covering SFDA registration cost and distributor economics.",</w:t>
      </w:r>
    </w:p>
    <w:p>
      <w:pPr>
        <w:shd w:fill="F0F0F0" w:val="clear"/>
        <w:spacing w:after="14" w:before="14"/>
        <w:ind w:left="360"/>
      </w:pPr>
      <w:r>
        <w:rPr>
          <w:rFonts w:ascii="Courier New" w:cs="Courier New" w:eastAsia="Courier New" w:hAnsi="Courier New"/>
          <w:color w:val="1B2A4A"/>
          <w:sz w:val="16"/>
          <w:szCs w:val="16"/>
        </w:rPr>
        <w:t xml:space="preserve">      "End-to-end Gulf pharma market entry including SFDA pathway, national distributor identification, and first-formulary-listing milestone.",</w:t>
      </w:r>
    </w:p>
    <w:p>
      <w:pPr>
        <w:shd w:fill="F0F0F0" w:val="clear"/>
        <w:spacing w:after="14" w:before="14"/>
        <w:ind w:left="360"/>
      </w:pPr>
      <w:r>
        <w:rPr>
          <w:rFonts w:ascii="Courier New" w:cs="Courier New" w:eastAsia="Courier New" w:hAnsi="Courier New"/>
          <w:color w:val="1B2A4A"/>
          <w:sz w:val="16"/>
          <w:szCs w:val="16"/>
        </w:rPr>
        <w:t xml:space="preserve">      "Embedded Gulf pharma GTM team covering KOL engagement and hospital pharmacy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pharma investment with hospital privatisation and specialty pharma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patient education to Gulf physician prescribing pattern analysis."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branded pharma companies or also with generics, biologics, and OTC companies entering the Gulf?|All pharmaceutical categories.",</w:t>
      </w:r>
    </w:p>
    <w:p>
      <w:pPr>
        <w:shd w:fill="F0F0F0" w:val="clear"/>
        <w:spacing w:after="14" w:before="14"/>
        <w:ind w:left="360"/>
      </w:pPr>
      <w:r>
        <w:rPr>
          <w:rFonts w:ascii="Courier New" w:cs="Courier New" w:eastAsia="Courier New" w:hAnsi="Courier New"/>
          <w:color w:val="1B2A4A"/>
          <w:sz w:val="16"/>
          <w:szCs w:val="16"/>
        </w:rPr>
        <w:t xml:space="preserve">      "Which Gulf pharma markets does GreyRadius prioritise?|Saudi Arabia for SFDA mutual recognition and NUPCO volume; UAE for private hospital and retail pharmacy premium positioning.",</w:t>
      </w:r>
    </w:p>
    <w:p>
      <w:pPr>
        <w:shd w:fill="F0F0F0" w:val="clear"/>
        <w:spacing w:after="14" w:before="14"/>
        <w:ind w:left="360"/>
      </w:pPr>
      <w:r>
        <w:rPr>
          <w:rFonts w:ascii="Courier New" w:cs="Courier New" w:eastAsia="Courier New" w:hAnsi="Courier New"/>
          <w:color w:val="1B2A4A"/>
          <w:sz w:val="16"/>
          <w:szCs w:val="16"/>
        </w:rPr>
        <w:t xml:space="preserve">      "How long does a Gulf pharma engagement take?|Typically 10-14 weeks for physician demand research, SFDA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pharmaceutical distributors with strong hospital pharmacy relationships in Saudi Arabia and UAE?|Yes."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pharmaceutical market entry, Saudi Arabia pharma GTM strategy, SFDA registration consulting, UAE pharma advisory, GCC pharma market entry strategy",</w:t>
      </w:r>
    </w:p>
    <w:p>
      <w:pPr>
        <w:shd w:fill="F0F0F0" w:val="clear"/>
        <w:spacing w:after="14" w:before="14"/>
        <w:ind w:left="360"/>
      </w:pPr>
      <w:r>
        <w:rPr>
          <w:rFonts w:ascii="Courier New" w:cs="Courier New" w:eastAsia="Courier New" w:hAnsi="Courier New"/>
          <w:color w:val="1B2A4A"/>
          <w:sz w:val="16"/>
          <w:szCs w:val="16"/>
        </w:rPr>
        <w:t xml:space="preserve">    "regions": "Saudi Arabia — SFDA registration and NUPCO formulary; UAE — DHA Dubai and DOH Abu Dhabi private hospital pharmacy; Qatar, Kuwait",</w:t>
      </w:r>
    </w:p>
    <w:p>
      <w:pPr>
        <w:shd w:fill="F0F0F0" w:val="clear"/>
        <w:spacing w:after="14" w:before="14"/>
        <w:ind w:left="360"/>
      </w:pPr>
      <w:r>
        <w:rPr>
          <w:rFonts w:ascii="Courier New" w:cs="Courier New" w:eastAsia="Courier New" w:hAnsi="Courier New"/>
          <w:color w:val="1B2A4A"/>
          <w:sz w:val="16"/>
          <w:szCs w:val="16"/>
        </w:rPr>
        <w:t xml:space="preserve">    "stat1n": "$12B",</w:t>
      </w:r>
    </w:p>
    <w:p>
      <w:pPr>
        <w:shd w:fill="F0F0F0" w:val="clear"/>
        <w:spacing w:after="14" w:before="14"/>
        <w:ind w:left="360"/>
      </w:pPr>
      <w:r>
        <w:rPr>
          <w:rFonts w:ascii="Courier New" w:cs="Courier New" w:eastAsia="Courier New" w:hAnsi="Courier New"/>
          <w:color w:val="1B2A4A"/>
          <w:sz w:val="16"/>
          <w:szCs w:val="16"/>
        </w:rPr>
        <w:t xml:space="preserve">    "stat1l": "Gulf pharmaceutical market by 2028",</w:t>
      </w:r>
    </w:p>
    <w:p>
      <w:pPr>
        <w:shd w:fill="F0F0F0" w:val="clear"/>
        <w:spacing w:after="14" w:before="14"/>
        <w:ind w:left="360"/>
      </w:pPr>
      <w:r>
        <w:rPr>
          <w:rFonts w:ascii="Courier New" w:cs="Courier New" w:eastAsia="Courier New" w:hAnsi="Courier New"/>
          <w:color w:val="1B2A4A"/>
          <w:sz w:val="16"/>
          <w:szCs w:val="16"/>
        </w:rPr>
        <w:t xml:space="preserve">    "stat1b": "Population growth, chronic disease burden, and healthcare infrastructure expansion driving 8% annual pharmaceutical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pharma mandate",</w:t>
      </w:r>
    </w:p>
    <w:p>
      <w:pPr>
        <w:shd w:fill="F0F0F0" w:val="clear"/>
        <w:spacing w:after="14" w:before="14"/>
        <w:ind w:left="360"/>
      </w:pPr>
      <w:r>
        <w:rPr>
          <w:rFonts w:ascii="Courier New" w:cs="Courier New" w:eastAsia="Courier New" w:hAnsi="Courier New"/>
          <w:color w:val="1B2A4A"/>
          <w:sz w:val="16"/>
          <w:szCs w:val="16"/>
        </w:rPr>
        <w:t xml:space="preserve">    "stat2b": "Gulf physicians, hospital pharmacy heads, and pharmaceutical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SFDA regulatory mapping and physician demand research delivers Gulf pharma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"africa-pharma-market-entry",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"pharma",</w:t>
      </w:r>
    </w:p>
    <w:p>
      <w:pPr>
        <w:shd w:fill="F0F0F0" w:val="clear"/>
        <w:spacing w:after="14" w:before="14"/>
        <w:ind w:left="360"/>
      </w:pPr>
      <w:r>
        <w:rPr>
          <w:rFonts w:ascii="Courier New" w:cs="Courier New" w:eastAsia="Courier New" w:hAnsi="Courier New"/>
          <w:color w:val="1B2A4A"/>
          <w:sz w:val="16"/>
          <w:szCs w:val="16"/>
        </w:rPr>
        <w:t xml:space="preserve">    "title": "Africa Pharmaceutical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pharmaceutical companies enter Africa with market entry strategy, NAFDAC and SAHPRA regulatory mapping, distributor identification, and GTM execution across Nigeria, South Africa, Kenya, and Ghana.",</w:t>
      </w:r>
    </w:p>
    <w:p>
      <w:pPr>
        <w:shd w:fill="F0F0F0" w:val="clear"/>
        <w:spacing w:after="14" w:before="14"/>
        <w:ind w:left="360"/>
      </w:pPr>
      <w:r>
        <w:rPr>
          <w:rFonts w:ascii="Courier New" w:cs="Courier New" w:eastAsia="Courier New" w:hAnsi="Courier New"/>
          <w:color w:val="1B2A4A"/>
          <w:sz w:val="16"/>
          <w:szCs w:val="16"/>
        </w:rPr>
        <w:t xml:space="preserve">    "h1": "Africa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drug to African patient — strategy for pharmaceutical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pharmaceutical market is one of the world's most significant long-term opportunities — with 1.4 billion people, a growing disease burden across communicable and non-communicable diseases, government investment in local pharmaceutical manufacturing, and NAFDAC, SAHPRA, and the African Medicines Agency all creating clearer regulatory frameworks for international pharmaceutical companies. International branded generic manufacturers, specialty pharma companies, and OTC product businesses are all evaluating Africa as a pharmaceutical market. GreyRadius helps pharma companies validate African physician and institutional demand, navigate country-specific regulatory requirements, identify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"The African Medicines Agency full operationalisation is creating continental pharmaceutical regulatory harmonisation — products approved through AMA will be recognised across member states, dramatically reducing the per-country registration burden that currently limits Africa pharmaceutical market entry economics. Companies that engage with AMA early will have structural advantages over those that wait.",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pharmaceutical market is projected to reach $45B by 2030 — growing at 9% annually as population growth, disease burden, universal health coverage expansion, and income growth all drive pharmaceutical demand.",</w:t>
      </w:r>
    </w:p>
    <w:p>
      <w:pPr>
        <w:shd w:fill="F0F0F0" w:val="clear"/>
        <w:spacing w:after="14" w:before="14"/>
        <w:ind w:left="360"/>
      </w:pPr>
      <w:r>
        <w:rPr>
          <w:rFonts w:ascii="Courier New" w:cs="Courier New" w:eastAsia="Courier New" w:hAnsi="Courier New"/>
          <w:color w:val="1B2A4A"/>
          <w:sz w:val="16"/>
          <w:szCs w:val="16"/>
        </w:rPr>
        <w:t xml:space="preserve">      "Nigeria is Africa's largest pharma market by volume — 220 million people, NAFDAC registration covering the entire country, and a distribution network reaching 36 states making it the essential first African pharma entry market.",</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pharmaceutical market — SAHPRA approval equivalent to developed market standards, private health insurance-funded prescription market, and the most advanced hospital pharmacy channel on the continent.",</w:t>
      </w:r>
    </w:p>
    <w:p>
      <w:pPr>
        <w:shd w:fill="F0F0F0" w:val="clear"/>
        <w:spacing w:after="14" w:before="14"/>
        <w:ind w:left="360"/>
      </w:pPr>
      <w:r>
        <w:rPr>
          <w:rFonts w:ascii="Courier New" w:cs="Courier New" w:eastAsia="Courier New" w:hAnsi="Courier New"/>
          <w:color w:val="1B2A4A"/>
          <w:sz w:val="16"/>
          <w:szCs w:val="16"/>
        </w:rPr>
        <w:t xml:space="preserve">      "African Medicines Agency creates continental registration opportunity — AMA harmonised approval will cover 55 African Union member states creating the most significant regulatory development in Africa pharma history."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"NAFDAC registration in Nigeria is time-consuming and complex — registration of new products requires 12-24 months with specific facility inspection and dossier requirements that differ from FDA and EMA.",</w:t>
      </w:r>
    </w:p>
    <w:p>
      <w:pPr>
        <w:shd w:fill="F0F0F0" w:val="clear"/>
        <w:spacing w:after="14" w:before="14"/>
        <w:ind w:left="360"/>
      </w:pPr>
      <w:r>
        <w:rPr>
          <w:rFonts w:ascii="Courier New" w:cs="Courier New" w:eastAsia="Courier New" w:hAnsi="Courier New"/>
          <w:color w:val="1B2A4A"/>
          <w:sz w:val="16"/>
          <w:szCs w:val="16"/>
        </w:rPr>
        <w:t xml:space="preserve">      "Cold chain infrastructure is limited outside major African cities — temperature-sensitive pharmaceutical products face significant distribution constraints beyond Tier 1 cities in most African markets.",</w:t>
      </w:r>
    </w:p>
    <w:p>
      <w:pPr>
        <w:shd w:fill="F0F0F0" w:val="clear"/>
        <w:spacing w:after="14" w:before="14"/>
        <w:ind w:left="360"/>
      </w:pPr>
      <w:r>
        <w:rPr>
          <w:rFonts w:ascii="Courier New" w:cs="Courier New" w:eastAsia="Courier New" w:hAnsi="Courier New"/>
          <w:color w:val="1B2A4A"/>
          <w:sz w:val="16"/>
          <w:szCs w:val="16"/>
        </w:rPr>
        <w:t xml:space="preserve">      "Counterfeit pharmaceutical product competition affects branded pharma economics — counterfeit products undercut legitimate branded generics in informal pharmacy channels across West and East Africa.",</w:t>
      </w:r>
    </w:p>
    <w:p>
      <w:pPr>
        <w:shd w:fill="F0F0F0" w:val="clear"/>
        <w:spacing w:after="14" w:before="14"/>
        <w:ind w:left="360"/>
      </w:pPr>
      <w:r>
        <w:rPr>
          <w:rFonts w:ascii="Courier New" w:cs="Courier New" w:eastAsia="Courier New" w:hAnsi="Courier New"/>
          <w:color w:val="1B2A4A"/>
          <w:sz w:val="16"/>
          <w:szCs w:val="16"/>
        </w:rPr>
        <w:t xml:space="preserve">      "Local manufacturing preference is growing — several African governments are creating procurement preference for locally manufactured pharmaceuticals that affects international manufacturer market access."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pharma market prioritisation|You need to identify which African markets to enter first based on disease burden, regulatory accessibility, distribution infrastructure, and commercial opportunity.",</w:t>
      </w:r>
    </w:p>
    <w:p>
      <w:pPr>
        <w:shd w:fill="F0F0F0" w:val="clear"/>
        <w:spacing w:after="14" w:before="14"/>
        <w:ind w:left="360"/>
      </w:pPr>
      <w:r>
        <w:rPr>
          <w:rFonts w:ascii="Courier New" w:cs="Courier New" w:eastAsia="Courier New" w:hAnsi="Courier New"/>
          <w:color w:val="1B2A4A"/>
          <w:sz w:val="16"/>
          <w:szCs w:val="16"/>
        </w:rPr>
        <w:t xml:space="preserve">      "NAFDAC and SAHPRA regulatory pathway|You need to understand NAFDAC dossier requirements, facility inspection process, SAHPRA approval equivalency, and AMA harmonisation opportunities.",</w:t>
      </w:r>
    </w:p>
    <w:p>
      <w:pPr>
        <w:shd w:fill="F0F0F0" w:val="clear"/>
        <w:spacing w:after="14" w:before="14"/>
        <w:ind w:left="360"/>
      </w:pPr>
      <w:r>
        <w:rPr>
          <w:rFonts w:ascii="Courier New" w:cs="Courier New" w:eastAsia="Courier New" w:hAnsi="Courier New"/>
          <w:color w:val="1B2A4A"/>
          <w:sz w:val="16"/>
          <w:szCs w:val="16"/>
        </w:rPr>
        <w:t xml:space="preserve">      "Africa pharmaceutical distributor identification|You need to identify and evaluate pharmaceutical distributors with cold chain capability, hospital and pharmacy relationships, and financial capacity in target markets.",</w:t>
      </w:r>
    </w:p>
    <w:p>
      <w:pPr>
        <w:shd w:fill="F0F0F0" w:val="clear"/>
        <w:spacing w:after="14" w:before="14"/>
        <w:ind w:left="360"/>
      </w:pPr>
      <w:r>
        <w:rPr>
          <w:rFonts w:ascii="Courier New" w:cs="Courier New" w:eastAsia="Courier New" w:hAnsi="Courier New"/>
          <w:color w:val="1B2A4A"/>
          <w:sz w:val="16"/>
          <w:szCs w:val="16"/>
        </w:rPr>
        <w:t xml:space="preserve">      "Africa pharma GTM strategy|You need a market-by-market physician detailing, hospital formulary, and pharmacy distribution plan for your pharmaceutical product.",</w:t>
      </w:r>
    </w:p>
    <w:p>
      <w:pPr>
        <w:shd w:fill="F0F0F0" w:val="clear"/>
        <w:spacing w:after="14" w:before="14"/>
        <w:ind w:left="360"/>
      </w:pPr>
      <w:r>
        <w:rPr>
          <w:rFonts w:ascii="Courier New" w:cs="Courier New" w:eastAsia="Courier New" w:hAnsi="Courier New"/>
          <w:color w:val="1B2A4A"/>
          <w:sz w:val="16"/>
          <w:szCs w:val="16"/>
        </w:rPr>
        <w:t xml:space="preserve">      "Raising capital for Africa pharma investment|You need a pitch book grounded in Africa pharmaceutical market data and AMA regulatory evolution analysis.",</w:t>
      </w:r>
    </w:p>
    <w:p>
      <w:pPr>
        <w:shd w:fill="F0F0F0" w:val="clear"/>
        <w:spacing w:after="14" w:before="14"/>
        <w:ind w:left="360"/>
      </w:pPr>
      <w:r>
        <w:rPr>
          <w:rFonts w:ascii="Courier New" w:cs="Courier New" w:eastAsia="Courier New" w:hAnsi="Courier New"/>
          <w:color w:val="1B2A4A"/>
          <w:sz w:val="16"/>
          <w:szCs w:val="16"/>
        </w:rPr>
        <w:t xml:space="preserve">      "Cold chain and distribution strategy|You need a distribution architecture that balances cold chain requirement with African infrastructure reality."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physician and institutional demand for your pharmaceutical product with KOL interviews and NAFDAC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pharma investment covering regulatory cost and cold chain distribution economics.",</w:t>
      </w:r>
    </w:p>
    <w:p>
      <w:pPr>
        <w:shd w:fill="F0F0F0" w:val="clear"/>
        <w:spacing w:after="14" w:before="14"/>
        <w:ind w:left="360"/>
      </w:pPr>
      <w:r>
        <w:rPr>
          <w:rFonts w:ascii="Courier New" w:cs="Courier New" w:eastAsia="Courier New" w:hAnsi="Courier New"/>
          <w:color w:val="1B2A4A"/>
          <w:sz w:val="16"/>
          <w:szCs w:val="16"/>
        </w:rPr>
        <w:t xml:space="preserve">      "End-to-end Africa pharma market entry including NAFDAC and SAHPRA pathway, distributor identification, and first-formulary-listing milestone.",</w:t>
      </w:r>
    </w:p>
    <w:p>
      <w:pPr>
        <w:shd w:fill="F0F0F0" w:val="clear"/>
        <w:spacing w:after="14" w:before="14"/>
        <w:ind w:left="360"/>
      </w:pPr>
      <w:r>
        <w:rPr>
          <w:rFonts w:ascii="Courier New" w:cs="Courier New" w:eastAsia="Courier New" w:hAnsi="Courier New"/>
          <w:color w:val="1B2A4A"/>
          <w:sz w:val="16"/>
          <w:szCs w:val="16"/>
        </w:rPr>
        <w:t xml:space="preserve">      "Embedded Africa pharma GTM team covering physician detailing and hospital pharmacy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pharma investment with AMA harmonisation and disease burden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language patient adherence to pharmacovigilance automation for multi-country African registration."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branded generic companies or also with specialty pharma, biologics, and OTC companies entering Africa?|All pharmaceutical categories.",</w:t>
      </w:r>
    </w:p>
    <w:p>
      <w:pPr>
        <w:shd w:fill="F0F0F0" w:val="clear"/>
        <w:spacing w:after="14" w:before="14"/>
        <w:ind w:left="360"/>
      </w:pPr>
      <w:r>
        <w:rPr>
          <w:rFonts w:ascii="Courier New" w:cs="Courier New" w:eastAsia="Courier New" w:hAnsi="Courier New"/>
          <w:color w:val="1B2A4A"/>
          <w:sz w:val="16"/>
          <w:szCs w:val="16"/>
        </w:rPr>
        <w:t xml:space="preserve">      "Which African pharma markets does GreyRadius prioritise?|Nigeria for NAFDAC-registered volume market; South Africa for SAHPRA quality benchmark and private health insurance; Kenya for East Africa hub; Ghana for West Africa alternative.",</w:t>
      </w:r>
    </w:p>
    <w:p>
      <w:pPr>
        <w:shd w:fill="F0F0F0" w:val="clear"/>
        <w:spacing w:after="14" w:before="14"/>
        <w:ind w:left="360"/>
      </w:pPr>
      <w:r>
        <w:rPr>
          <w:rFonts w:ascii="Courier New" w:cs="Courier New" w:eastAsia="Courier New" w:hAnsi="Courier New"/>
          <w:color w:val="1B2A4A"/>
          <w:sz w:val="16"/>
          <w:szCs w:val="16"/>
        </w:rPr>
        <w:t xml:space="preserve">      "How long does an Africa pharma engagement take?|Typically 10-14 weeks for multi-market regulatory mapping, distributor identification, and market prioritisation.",</w:t>
      </w:r>
    </w:p>
    <w:p>
      <w:pPr>
        <w:shd w:fill="F0F0F0" w:val="clear"/>
        <w:spacing w:after="14" w:before="14"/>
        <w:ind w:left="360"/>
      </w:pPr>
      <w:r>
        <w:rPr>
          <w:rFonts w:ascii="Courier New" w:cs="Courier New" w:eastAsia="Courier New" w:hAnsi="Courier New"/>
          <w:color w:val="1B2A4A"/>
          <w:sz w:val="16"/>
          <w:szCs w:val="16"/>
        </w:rPr>
        <w:t xml:space="preserve">      "Can GreyRadius identify pharmaceutical distributors with cold chain capability in target African markets?|Yes."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pharmaceutical market entry, Nigeria NAFDAC GTM strategy, South Africa SAHPRA consulting, Africa pharma distribution advisory, Africa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"regions": "Nigeria — NAFDAC-regulated across 36 states; South Africa — SAHPRA-approved private hospital and pharmacy; Kenya — PPB-registered East Africa hub; Ghana — FDA Ghana West Africa",</w:t>
      </w:r>
    </w:p>
    <w:p>
      <w:pPr>
        <w:shd w:fill="F0F0F0" w:val="clear"/>
        <w:spacing w:after="14" w:before="14"/>
        <w:ind w:left="360"/>
      </w:pPr>
      <w:r>
        <w:rPr>
          <w:rFonts w:ascii="Courier New" w:cs="Courier New" w:eastAsia="Courier New" w:hAnsi="Courier New"/>
          <w:color w:val="1B2A4A"/>
          <w:sz w:val="16"/>
          <w:szCs w:val="16"/>
        </w:rPr>
        <w:t xml:space="preserve">    "stat1n": "$45B",</w:t>
      </w:r>
    </w:p>
    <w:p>
      <w:pPr>
        <w:shd w:fill="F0F0F0" w:val="clear"/>
        <w:spacing w:after="14" w:before="14"/>
        <w:ind w:left="360"/>
      </w:pPr>
      <w:r>
        <w:rPr>
          <w:rFonts w:ascii="Courier New" w:cs="Courier New" w:eastAsia="Courier New" w:hAnsi="Courier New"/>
          <w:color w:val="1B2A4A"/>
          <w:sz w:val="16"/>
          <w:szCs w:val="16"/>
        </w:rPr>
        <w:t xml:space="preserve">    "stat1l": "Africa pharmaceutical market by 2030",</w:t>
      </w:r>
    </w:p>
    <w:p>
      <w:pPr>
        <w:shd w:fill="F0F0F0" w:val="clear"/>
        <w:spacing w:after="14" w:before="14"/>
        <w:ind w:left="360"/>
      </w:pPr>
      <w:r>
        <w:rPr>
          <w:rFonts w:ascii="Courier New" w:cs="Courier New" w:eastAsia="Courier New" w:hAnsi="Courier New"/>
          <w:color w:val="1B2A4A"/>
          <w:sz w:val="16"/>
          <w:szCs w:val="16"/>
        </w:rPr>
        <w:t xml:space="preserve">    "stat1b": "Population growth, disease burden, and universal health coverage expansion driving 9% annual pharmaceutical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pharma mandate",</w:t>
      </w:r>
    </w:p>
    <w:p>
      <w:pPr>
        <w:shd w:fill="F0F0F0" w:val="clear"/>
        <w:spacing w:after="14" w:before="14"/>
        <w:ind w:left="360"/>
      </w:pPr>
      <w:r>
        <w:rPr>
          <w:rFonts w:ascii="Courier New" w:cs="Courier New" w:eastAsia="Courier New" w:hAnsi="Courier New"/>
          <w:color w:val="1B2A4A"/>
          <w:sz w:val="16"/>
          <w:szCs w:val="16"/>
        </w:rPr>
        <w:t xml:space="preserve">    "stat2b": "African physicians, hospital pharmacy heads, and pharmaceutical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NAFDAC regulatory mapping and physician demand research delivers Africa pharma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"india-medical-devices-market-entry",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"medical-devices",</w:t>
      </w:r>
    </w:p>
    <w:p>
      <w:pPr>
        <w:shd w:fill="F0F0F0" w:val="clear"/>
        <w:spacing w:after="14" w:before="14"/>
        <w:ind w:left="360"/>
      </w:pPr>
      <w:r>
        <w:rPr>
          <w:rFonts w:ascii="Courier New" w:cs="Courier New" w:eastAsia="Courier New" w:hAnsi="Courier New"/>
          <w:color w:val="1B2A4A"/>
          <w:sz w:val="16"/>
          <w:szCs w:val="16"/>
        </w:rPr>
        <w:t xml:space="preserve">    "title": "India Medical Devices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medical device companies enter India with CDSCO regulatory mapping, hospital tender strategy, distributor identification, and GTM execution.",</w:t>
      </w:r>
    </w:p>
    <w:p>
      <w:pPr>
        <w:shd w:fill="F0F0F0" w:val="clear"/>
        <w:spacing w:after="14" w:before="14"/>
        <w:ind w:left="360"/>
      </w:pPr>
      <w:r>
        <w:rPr>
          <w:rFonts w:ascii="Courier New" w:cs="Courier New" w:eastAsia="Courier New" w:hAnsi="Courier New"/>
          <w:color w:val="1B2A4A"/>
          <w:sz w:val="16"/>
          <w:szCs w:val="16"/>
        </w:rPr>
        <w:t xml:space="preserve">    "h1": "India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medical device to Indian clinical deployment — strategy for medical device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medical devices market is one of the world's fastest-growing — with 1.4 billion patients, a government investing in Ayushman Bharat healthcare infrastructure creating institutional procurement, PLI for medical devices creating manufacturing investment, and a specialist physician community growing at 15% annually. International medical device companies across diagnostic equipment, surgical devices, implants, monitoring systems, and digital health devices are all evaluating India as a priority market. GreyRadius helps medical device companies validate Indian physician and hospital demand, navigate CDSCO Class A-D regulatory requirements, identify hospital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"Ayushman Bharat PM-JAY's network of empanelled hospitals is creating institutional medical device procurement at scale — devices used in Ayushman Bharat procedures must be registered and supplied through approved channels, but companies that achieve listing access a government-funded patient population of 500 million. The PLI for medical devices is simultaneously creating domestic manufacturing partnerships that reduce import dependency.",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medical devices market is projected to reach $50B by 2030 — growing at 15% annually as Ayushman Bharat infrastructure investment, specialist physician growth, and private hospital expansion all drive demand.",</w:t>
      </w:r>
    </w:p>
    <w:p>
      <w:pPr>
        <w:shd w:fill="F0F0F0" w:val="clear"/>
        <w:spacing w:after="14" w:before="14"/>
        <w:ind w:left="360"/>
      </w:pPr>
      <w:r>
        <w:rPr>
          <w:rFonts w:ascii="Courier New" w:cs="Courier New" w:eastAsia="Courier New" w:hAnsi="Courier New"/>
          <w:color w:val="1B2A4A"/>
          <w:sz w:val="16"/>
          <w:szCs w:val="16"/>
        </w:rPr>
        <w:t xml:space="preserve">      "CDSCO Class C and D device registration is now mandatory for all high-risk medical devices — regulatory compliance investment that was previously optional is now a hard market access requirement.",</w:t>
      </w:r>
    </w:p>
    <w:p>
      <w:pPr>
        <w:shd w:fill="F0F0F0" w:val="clear"/>
        <w:spacing w:after="14" w:before="14"/>
        <w:ind w:left="360"/>
      </w:pPr>
      <w:r>
        <w:rPr>
          <w:rFonts w:ascii="Courier New" w:cs="Courier New" w:eastAsia="Courier New" w:hAnsi="Courier New"/>
          <w:color w:val="1B2A4A"/>
          <w:sz w:val="16"/>
          <w:szCs w:val="16"/>
        </w:rPr>
        <w:t xml:space="preserve">      "India is the fourth-largest medical device market in Asia — imported devices account for 80% of Indian market value creating significant opportunity for international medical device companies with CDSCO registration.",</w:t>
      </w:r>
    </w:p>
    <w:p>
      <w:pPr>
        <w:shd w:fill="F0F0F0" w:val="clear"/>
        <w:spacing w:after="14" w:before="14"/>
        <w:ind w:left="360"/>
      </w:pPr>
      <w:r>
        <w:rPr>
          <w:rFonts w:ascii="Courier New" w:cs="Courier New" w:eastAsia="Courier New" w:hAnsi="Courier New"/>
          <w:color w:val="1B2A4A"/>
          <w:sz w:val="16"/>
          <w:szCs w:val="16"/>
        </w:rPr>
        <w:t xml:space="preserve">      "Medical equipment PLI has attracted Rs 1,200 crore in committed manufacturing investment — creating domestic supply chain partnership opportunities for international companies seeking in-country manufacturing."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"CDSCO registration timelines vary significantly by device class — Class A and B devices have 30-45 day registration, Class C takes 6-12 months, and Class D (highest risk) can take 12-24 months requiring advance planning.",</w:t>
      </w:r>
    </w:p>
    <w:p>
      <w:pPr>
        <w:shd w:fill="F0F0F0" w:val="clear"/>
        <w:spacing w:after="14" w:before="14"/>
        <w:ind w:left="360"/>
      </w:pPr>
      <w:r>
        <w:rPr>
          <w:rFonts w:ascii="Courier New" w:cs="Courier New" w:eastAsia="Courier New" w:hAnsi="Courier New"/>
          <w:color w:val="1B2A4A"/>
          <w:sz w:val="16"/>
          <w:szCs w:val="16"/>
        </w:rPr>
        <w:t xml:space="preserve">      "Indian hospital procurement is tender-driven and price-sensitive — L1 (lowest cost) tender criteria across government hospitals means international device companies must compete on price alongside Indian and Chinese manufacturers.",</w:t>
      </w:r>
    </w:p>
    <w:p>
      <w:pPr>
        <w:shd w:fill="F0F0F0" w:val="clear"/>
        <w:spacing w:after="14" w:before="14"/>
        <w:ind w:left="360"/>
      </w:pPr>
      <w:r>
        <w:rPr>
          <w:rFonts w:ascii="Courier New" w:cs="Courier New" w:eastAsia="Courier New" w:hAnsi="Courier New"/>
          <w:color w:val="1B2A4A"/>
          <w:sz w:val="16"/>
          <w:szCs w:val="16"/>
        </w:rPr>
        <w:t xml:space="preserve">      "Service and maintenance capability is required for capital equipment — Indian hospital procurement committees consistently weight post-sale service capability above product specifications for capital medical equipment.",</w:t>
      </w:r>
    </w:p>
    <w:p>
      <w:pPr>
        <w:shd w:fill="F0F0F0" w:val="clear"/>
        <w:spacing w:after="14" w:before="14"/>
        <w:ind w:left="360"/>
      </w:pPr>
      <w:r>
        <w:rPr>
          <w:rFonts w:ascii="Courier New" w:cs="Courier New" w:eastAsia="Courier New" w:hAnsi="Courier New"/>
          <w:color w:val="1B2A4A"/>
          <w:sz w:val="16"/>
          <w:szCs w:val="16"/>
        </w:rPr>
        <w:t xml:space="preserve">      "Medical device distribution in India requires specialist medical device distributors — general trade distributors cannot handle the clinical training, regulatory, and biomedical service requirements of medical device distribution."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medical device demand validation|You need to validate Indian physician and hospital procurement demand for your device and understand CDSCO registration requirements for your device class.",</w:t>
      </w:r>
    </w:p>
    <w:p>
      <w:pPr>
        <w:shd w:fill="F0F0F0" w:val="clear"/>
        <w:spacing w:after="14" w:before="14"/>
        <w:ind w:left="360"/>
      </w:pPr>
      <w:r>
        <w:rPr>
          <w:rFonts w:ascii="Courier New" w:cs="Courier New" w:eastAsia="Courier New" w:hAnsi="Courier New"/>
          <w:color w:val="1B2A4A"/>
          <w:sz w:val="16"/>
          <w:szCs w:val="16"/>
        </w:rPr>
        <w:t xml:space="preserve">      "CDSCO regulatory pathway by device class|You need to understand CDSCO Class A-D registration requirements, clinical evidence standards, and realistic timeline for your specific device.",</w:t>
      </w:r>
    </w:p>
    <w:p>
      <w:pPr>
        <w:shd w:fill="F0F0F0" w:val="clear"/>
        <w:spacing w:after="14" w:before="14"/>
        <w:ind w:left="360"/>
      </w:pPr>
      <w:r>
        <w:rPr>
          <w:rFonts w:ascii="Courier New" w:cs="Courier New" w:eastAsia="Courier New" w:hAnsi="Courier New"/>
          <w:color w:val="1B2A4A"/>
          <w:sz w:val="16"/>
          <w:szCs w:val="16"/>
        </w:rPr>
        <w:t xml:space="preserve">      "India medical device distributor identification|You need specialist medical device distributors with hospital procurement relationships, biomedical service capability, and financial capacity.",</w:t>
      </w:r>
    </w:p>
    <w:p>
      <w:pPr>
        <w:shd w:fill="F0F0F0" w:val="clear"/>
        <w:spacing w:after="14" w:before="14"/>
        <w:ind w:left="360"/>
      </w:pPr>
      <w:r>
        <w:rPr>
          <w:rFonts w:ascii="Courier New" w:cs="Courier New" w:eastAsia="Courier New" w:hAnsi="Courier New"/>
          <w:color w:val="1B2A4A"/>
          <w:sz w:val="16"/>
          <w:szCs w:val="16"/>
        </w:rPr>
        <w:t xml:space="preserve">      "India medical device GTM strategy|You need a go-to-market plan covering government hospital tender participation, private hospital direct sales, and Ayushman Bharat empanelled hospital access.",</w:t>
      </w:r>
    </w:p>
    <w:p>
      <w:pPr>
        <w:shd w:fill="F0F0F0" w:val="clear"/>
        <w:spacing w:after="14" w:before="14"/>
        <w:ind w:left="360"/>
      </w:pPr>
      <w:r>
        <w:rPr>
          <w:rFonts w:ascii="Courier New" w:cs="Courier New" w:eastAsia="Courier New" w:hAnsi="Courier New"/>
          <w:color w:val="1B2A4A"/>
          <w:sz w:val="16"/>
          <w:szCs w:val="16"/>
        </w:rPr>
        <w:t xml:space="preserve">      "Raising capital for India medical device investment|You need a pitch book grounded in India medical device market data and CDSCO regulatory framework analysis.",</w:t>
      </w:r>
    </w:p>
    <w:p>
      <w:pPr>
        <w:shd w:fill="F0F0F0" w:val="clear"/>
        <w:spacing w:after="14" w:before="14"/>
        <w:ind w:left="360"/>
      </w:pPr>
      <w:r>
        <w:rPr>
          <w:rFonts w:ascii="Courier New" w:cs="Courier New" w:eastAsia="Courier New" w:hAnsi="Courier New"/>
          <w:color w:val="1B2A4A"/>
          <w:sz w:val="16"/>
          <w:szCs w:val="16"/>
        </w:rPr>
        <w:t xml:space="preserve">      "Clinical champion and KOL strategy|You need a specialist physician KOL identification and clinical evidence development strategy for India physician adoption."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physician and hospital demand for your medical device with specialist interviews and CDSCO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medical device investment covering CDSCO registration cost and distributor margin economics.",</w:t>
      </w:r>
    </w:p>
    <w:p>
      <w:pPr>
        <w:shd w:fill="F0F0F0" w:val="clear"/>
        <w:spacing w:after="14" w:before="14"/>
        <w:ind w:left="360"/>
      </w:pPr>
      <w:r>
        <w:rPr>
          <w:rFonts w:ascii="Courier New" w:cs="Courier New" w:eastAsia="Courier New" w:hAnsi="Courier New"/>
          <w:color w:val="1B2A4A"/>
          <w:sz w:val="16"/>
          <w:szCs w:val="16"/>
        </w:rPr>
        <w:t xml:space="preserve">      "End-to-end India medical device market entry including CDSCO pathway, hospital distributor identification, and first-hospital-listing milestone.",</w:t>
      </w:r>
    </w:p>
    <w:p>
      <w:pPr>
        <w:shd w:fill="F0F0F0" w:val="clear"/>
        <w:spacing w:after="14" w:before="14"/>
        <w:ind w:left="360"/>
      </w:pPr>
      <w:r>
        <w:rPr>
          <w:rFonts w:ascii="Courier New" w:cs="Courier New" w:eastAsia="Courier New" w:hAnsi="Courier New"/>
          <w:color w:val="1B2A4A"/>
          <w:sz w:val="16"/>
          <w:szCs w:val="16"/>
        </w:rPr>
        <w:t xml:space="preserve">      "Embedded India medical device GTM team covering specialist physician and hospital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medical device investment with Ayushman Bharat and PLI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device performance monitoring for Indian clinical environments to CDSCO compliance documentation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diagnostic equipment companies or also with surgical devices, implants, monitoring systems, and digital health device companies entering India?|All medical device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medical device engagement take?|Typically 10-14 weeks for CDSCO regulatory mapping, physician demand research, and hospital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specialist medical device distributors with hospital procurement relationships?|Yes.",</w:t>
      </w:r>
    </w:p>
    <w:p>
      <w:pPr>
        <w:shd w:fill="F0F0F0" w:val="clear"/>
        <w:spacing w:after="14" w:before="14"/>
        <w:ind w:left="360"/>
      </w:pPr>
      <w:r>
        <w:rPr>
          <w:rFonts w:ascii="Courier New" w:cs="Courier New" w:eastAsia="Courier New" w:hAnsi="Courier New"/>
          <w:color w:val="1B2A4A"/>
          <w:sz w:val="16"/>
          <w:szCs w:val="16"/>
        </w:rPr>
        <w:t xml:space="preserve">      "How does Ayushman Bharat affect medical device market entry strategy?|Ayushman Bharat creates institutional procurement at scale for devices used in covered procedures — we map Ayushman Bharat device listing requirements and procurement access in every India medical device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medical devices market entry, CDSCO registration consulting, India medical device GTM strategy, India hospital procurement advisory, India medical equipment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Chennai specialist hospital clusters and Ayushman Bharat empanelled hospital network",</w:t>
      </w:r>
    </w:p>
    <w:p>
      <w:pPr>
        <w:shd w:fill="F0F0F0" w:val="clear"/>
        <w:spacing w:after="14" w:before="14"/>
        <w:ind w:left="360"/>
      </w:pPr>
      <w:r>
        <w:rPr>
          <w:rFonts w:ascii="Courier New" w:cs="Courier New" w:eastAsia="Courier New" w:hAnsi="Courier New"/>
          <w:color w:val="1B2A4A"/>
          <w:sz w:val="16"/>
          <w:szCs w:val="16"/>
        </w:rPr>
        <w:t xml:space="preserve">    "stat1n": "$50B",</w:t>
      </w:r>
    </w:p>
    <w:p>
      <w:pPr>
        <w:shd w:fill="F0F0F0" w:val="clear"/>
        <w:spacing w:after="14" w:before="14"/>
        <w:ind w:left="360"/>
      </w:pPr>
      <w:r>
        <w:rPr>
          <w:rFonts w:ascii="Courier New" w:cs="Courier New" w:eastAsia="Courier New" w:hAnsi="Courier New"/>
          <w:color w:val="1B2A4A"/>
          <w:sz w:val="16"/>
          <w:szCs w:val="16"/>
        </w:rPr>
        <w:t xml:space="preserve">    "stat1l": "India medical devices market by 2030",</w:t>
      </w:r>
    </w:p>
    <w:p>
      <w:pPr>
        <w:shd w:fill="F0F0F0" w:val="clear"/>
        <w:spacing w:after="14" w:before="14"/>
        <w:ind w:left="360"/>
      </w:pPr>
      <w:r>
        <w:rPr>
          <w:rFonts w:ascii="Courier New" w:cs="Courier New" w:eastAsia="Courier New" w:hAnsi="Courier New"/>
          <w:color w:val="1B2A4A"/>
          <w:sz w:val="16"/>
          <w:szCs w:val="16"/>
        </w:rPr>
        <w:t xml:space="preserve">    "stat1b": "Ayushman Bharat infrastructure investment, specialist physician growth, and private hospital expansion driving 15% annual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medical device mandate",</w:t>
      </w:r>
    </w:p>
    <w:p>
      <w:pPr>
        <w:shd w:fill="F0F0F0" w:val="clear"/>
        <w:spacing w:after="14" w:before="14"/>
        <w:ind w:left="360"/>
      </w:pPr>
      <w:r>
        <w:rPr>
          <w:rFonts w:ascii="Courier New" w:cs="Courier New" w:eastAsia="Courier New" w:hAnsi="Courier New"/>
          <w:color w:val="1B2A4A"/>
          <w:sz w:val="16"/>
          <w:szCs w:val="16"/>
        </w:rPr>
        <w:t xml:space="preserve">    "stat2b": "Indian specialist physicians, hospital procurement heads, and medical device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CDSCO regulatory mapping and physician demand research delivers India medical device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"india-beauty-market-entry",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"beauty-personal-care",</w:t>
      </w:r>
    </w:p>
    <w:p>
      <w:pPr>
        <w:shd w:fill="F0F0F0" w:val="clear"/>
        <w:spacing w:after="14" w:before="14"/>
        <w:ind w:left="360"/>
      </w:pPr>
      <w:r>
        <w:rPr>
          <w:rFonts w:ascii="Courier New" w:cs="Courier New" w:eastAsia="Courier New" w:hAnsi="Courier New"/>
          <w:color w:val="1B2A4A"/>
          <w:sz w:val="16"/>
          <w:szCs w:val="16"/>
        </w:rPr>
        <w:t xml:space="preserve">    "title": "India Beauty &amp; Personal Care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beauty and personal care companies enter India with market entry strategy, BIS and CDSCO regulatory mapping, modern trade distribution, and e-commerce channel strategy.",</w:t>
      </w:r>
    </w:p>
    <w:p>
      <w:pPr>
        <w:shd w:fill="F0F0F0" w:val="clear"/>
        <w:spacing w:after="14" w:before="14"/>
        <w:ind w:left="360"/>
      </w:pPr>
      <w:r>
        <w:rPr>
          <w:rFonts w:ascii="Courier New" w:cs="Courier New" w:eastAsia="Courier New" w:hAnsi="Courier New"/>
          <w:color w:val="1B2A4A"/>
          <w:sz w:val="16"/>
          <w:szCs w:val="16"/>
        </w:rPr>
        <w:t xml:space="preserve">    "h1": "India beauty and personal care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beauty brand to Indian consumer — strategy for beauty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beauty and personal care market is one of the world's most dynamic — with 1.4 billion consumers, the world's fastest-growing premium beauty segment, e-commerce creating distribution access to Tier 2 and 3 cities, and Indian consumers increasingly open to international beauty brands across skincare, haircare, colour cosmetics, and personal care. International beauty companies from prestige skincare to mass personal care are all evaluating India as a priority market. GreyRadius helps beauty companies validate Indian consumer demand, navigate BIS, CDSCO, and import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beauty e-commerce is growing at 35% annually — Nykaa, Purplle, and Amazon Beauty are creating accessible national distribution infrastructure that allows international beauty brands to reach Indian consumers without building a traditional offline distribution network first. D2C entry through beauty e-commerce platforms is now the most capital-efficient India beauty entry route for international brands.",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beauty and personal care market is projected to reach $28B by 2027 — growing at 12% annually as premiumisation, urbanisation, and beauty awareness drive consumer spending across skincare, haircare, and colour cosmetics.",</w:t>
      </w:r>
    </w:p>
    <w:p>
      <w:pPr>
        <w:shd w:fill="F0F0F0" w:val="clear"/>
        <w:spacing w:after="14" w:before="14"/>
        <w:ind w:left="360"/>
      </w:pPr>
      <w:r>
        <w:rPr>
          <w:rFonts w:ascii="Courier New" w:cs="Courier New" w:eastAsia="Courier New" w:hAnsi="Courier New"/>
          <w:color w:val="1B2A4A"/>
          <w:sz w:val="16"/>
          <w:szCs w:val="16"/>
        </w:rPr>
        <w:t xml:space="preserve">      "Nykaa has transformed Indian beauty distribution — 20 million monthly active users and a brand discovery platform model that allows international beauty brands to enter India without minimum order quantities or traditional distributor investment.",</w:t>
      </w:r>
    </w:p>
    <w:p>
      <w:pPr>
        <w:shd w:fill="F0F0F0" w:val="clear"/>
        <w:spacing w:after="14" w:before="14"/>
        <w:ind w:left="360"/>
      </w:pPr>
      <w:r>
        <w:rPr>
          <w:rFonts w:ascii="Courier New" w:cs="Courier New" w:eastAsia="Courier New" w:hAnsi="Courier New"/>
          <w:color w:val="1B2A4A"/>
          <w:sz w:val="16"/>
          <w:szCs w:val="16"/>
        </w:rPr>
        <w:t xml:space="preserve">      "K-beauty and J-beauty have normalised premium skincare among Indian consumers — the success of Korean and Japanese skincare brands has created a highly educated premium skincare consumer segment receptive to international brand positioning.",</w:t>
      </w:r>
    </w:p>
    <w:p>
      <w:pPr>
        <w:shd w:fill="F0F0F0" w:val="clear"/>
        <w:spacing w:after="14" w:before="14"/>
        <w:ind w:left="360"/>
      </w:pPr>
      <w:r>
        <w:rPr>
          <w:rFonts w:ascii="Courier New" w:cs="Courier New" w:eastAsia="Courier New" w:hAnsi="Courier New"/>
          <w:color w:val="1B2A4A"/>
          <w:sz w:val="16"/>
          <w:szCs w:val="16"/>
        </w:rPr>
        <w:t xml:space="preserve">      "India's male grooming market is growing at 18% annually — men's skincare, haircare, and personal care growing faster than women's segments in India's Tier 1 and emerging Tier 2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"BIS mandatory certification applies to many personal care product categories — BIS registration for cosmetics, shampoos, and personal care products requires Indian Standard compliance testing before import.",</w:t>
      </w:r>
    </w:p>
    <w:p>
      <w:pPr>
        <w:shd w:fill="F0F0F0" w:val="clear"/>
        <w:spacing w:after="14" w:before="14"/>
        <w:ind w:left="360"/>
      </w:pPr>
      <w:r>
        <w:rPr>
          <w:rFonts w:ascii="Courier New" w:cs="Courier New" w:eastAsia="Courier New" w:hAnsi="Courier New"/>
          <w:color w:val="1B2A4A"/>
          <w:sz w:val="16"/>
          <w:szCs w:val="16"/>
        </w:rPr>
        <w:t xml:space="preserve">      "CDSCO regulation applies to cosmetics under the Drugs and Cosmetics Act — import registration for cosmetics requires CDSCO Form 43 approval with product testing and labelling compliance.",</w:t>
      </w:r>
    </w:p>
    <w:p>
      <w:pPr>
        <w:shd w:fill="F0F0F0" w:val="clear"/>
        <w:spacing w:after="14" w:before="14"/>
        <w:ind w:left="360"/>
      </w:pPr>
      <w:r>
        <w:rPr>
          <w:rFonts w:ascii="Courier New" w:cs="Courier New" w:eastAsia="Courier New" w:hAnsi="Courier New"/>
          <w:color w:val="1B2A4A"/>
          <w:sz w:val="16"/>
          <w:szCs w:val="16"/>
        </w:rPr>
        <w:t xml:space="preserve">      "Indian consumer preference for Ayurvedic and natural formulations is strong — positioning must address Indian consumer preference for herbal and natural ingredients rather than purely synthetic formulations.",</w:t>
      </w:r>
    </w:p>
    <w:p>
      <w:pPr>
        <w:shd w:fill="F0F0F0" w:val="clear"/>
        <w:spacing w:after="14" w:before="14"/>
        <w:ind w:left="360"/>
      </w:pPr>
      <w:r>
        <w:rPr>
          <w:rFonts w:ascii="Courier New" w:cs="Courier New" w:eastAsia="Courier New" w:hAnsi="Courier New"/>
          <w:color w:val="1B2A4A"/>
          <w:sz w:val="16"/>
          <w:szCs w:val="16"/>
        </w:rPr>
        <w:t xml:space="preserve">      "Distribution across modern trade, e-commerce, and general trade simultaneously requires channel management expertise — beauty brands that ignore general trade miss 40% of India's beauty volume."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beauty consumer demand validation|You need to validate Indian consumer demand for your beauty product including segment, price sensitivity, channel preference, and formulation acceptance.",</w:t>
      </w:r>
    </w:p>
    <w:p>
      <w:pPr>
        <w:shd w:fill="F0F0F0" w:val="clear"/>
        <w:spacing w:after="14" w:before="14"/>
        <w:ind w:left="360"/>
      </w:pPr>
      <w:r>
        <w:rPr>
          <w:rFonts w:ascii="Courier New" w:cs="Courier New" w:eastAsia="Courier New" w:hAnsi="Courier New"/>
          <w:color w:val="1B2A4A"/>
          <w:sz w:val="16"/>
          <w:szCs w:val="16"/>
        </w:rPr>
        <w:t xml:space="preserve">      "BIS and CDSCO regulatory pathway|You need to understand BIS mandatory certification requirements, CDSCO Form 43 cosmetic import registration, and labelling compliance for India.",</w:t>
      </w:r>
    </w:p>
    <w:p>
      <w:pPr>
        <w:shd w:fill="F0F0F0" w:val="clear"/>
        <w:spacing w:after="14" w:before="14"/>
        <w:ind w:left="360"/>
      </w:pPr>
      <w:r>
        <w:rPr>
          <w:rFonts w:ascii="Courier New" w:cs="Courier New" w:eastAsia="Courier New" w:hAnsi="Courier New"/>
          <w:color w:val="1B2A4A"/>
          <w:sz w:val="16"/>
          <w:szCs w:val="16"/>
        </w:rPr>
        <w:t xml:space="preserve">      "India beauty distribution partner identification|You need Nykaa brand partnership, Purplle listing, modern trade beauty buyer relationships, and general trade distributor identification.",</w:t>
      </w:r>
    </w:p>
    <w:p>
      <w:pPr>
        <w:shd w:fill="F0F0F0" w:val="clear"/>
        <w:spacing w:after="14" w:before="14"/>
        <w:ind w:left="360"/>
      </w:pPr>
      <w:r>
        <w:rPr>
          <w:rFonts w:ascii="Courier New" w:cs="Courier New" w:eastAsia="Courier New" w:hAnsi="Courier New"/>
          <w:color w:val="1B2A4A"/>
          <w:sz w:val="16"/>
          <w:szCs w:val="16"/>
        </w:rPr>
        <w:t xml:space="preserve">      "India beauty GTM strategy|You need a go-to-market plan covering beauty e-commerce launch, modern trade listing, and consumer acquisition strategy.",</w:t>
      </w:r>
    </w:p>
    <w:p>
      <w:pPr>
        <w:shd w:fill="F0F0F0" w:val="clear"/>
        <w:spacing w:after="14" w:before="14"/>
        <w:ind w:left="360"/>
      </w:pPr>
      <w:r>
        <w:rPr>
          <w:rFonts w:ascii="Courier New" w:cs="Courier New" w:eastAsia="Courier New" w:hAnsi="Courier New"/>
          <w:color w:val="1B2A4A"/>
          <w:sz w:val="16"/>
          <w:szCs w:val="16"/>
        </w:rPr>
        <w:t xml:space="preserve">      "Raising capital for India beauty investment|You need a pitch book grounded in India beauty market data and e-commerce distribution analysis.",</w:t>
      </w:r>
    </w:p>
    <w:p>
      <w:pPr>
        <w:shd w:fill="F0F0F0" w:val="clear"/>
        <w:spacing w:after="14" w:before="14"/>
        <w:ind w:left="360"/>
      </w:pPr>
      <w:r>
        <w:rPr>
          <w:rFonts w:ascii="Courier New" w:cs="Courier New" w:eastAsia="Courier New" w:hAnsi="Courier New"/>
          <w:color w:val="1B2A4A"/>
          <w:sz w:val="16"/>
          <w:szCs w:val="16"/>
        </w:rPr>
        <w:t xml:space="preserve">      "India beauty formulation and positioning adaptation|You need a product positioning and potentially formulation adaptation strategy that addresses Indian consumer preferences."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demand for your beauty product with consumer interviews across segments and channels.",</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beauty investment covering BIS and CDSCO compliance cost and e-commerce channel economics.",</w:t>
      </w:r>
    </w:p>
    <w:p>
      <w:pPr>
        <w:shd w:fill="F0F0F0" w:val="clear"/>
        <w:spacing w:after="14" w:before="14"/>
        <w:ind w:left="360"/>
      </w:pPr>
      <w:r>
        <w:rPr>
          <w:rFonts w:ascii="Courier New" w:cs="Courier New" w:eastAsia="Courier New" w:hAnsi="Courier New"/>
          <w:color w:val="1B2A4A"/>
          <w:sz w:val="16"/>
          <w:szCs w:val="16"/>
        </w:rPr>
        <w:t xml:space="preserve">      "End-to-end India beauty market entry including regulatory pathway, Nykaa and Purplle partnership identification, and first-consumer-acquisition milestone.",</w:t>
      </w:r>
    </w:p>
    <w:p>
      <w:pPr>
        <w:shd w:fill="F0F0F0" w:val="clear"/>
        <w:spacing w:after="14" w:before="14"/>
        <w:ind w:left="360"/>
      </w:pPr>
      <w:r>
        <w:rPr>
          <w:rFonts w:ascii="Courier New" w:cs="Courier New" w:eastAsia="Courier New" w:hAnsi="Courier New"/>
          <w:color w:val="1B2A4A"/>
          <w:sz w:val="16"/>
          <w:szCs w:val="16"/>
        </w:rPr>
        <w:t xml:space="preserve">      "Embedded India beauty GTM team covering e-commerce platform and modern trade buyer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beauty investment with e-commerce beauty distribution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Indian skin tone AI personalisation to Hindi language beauty consultation platforms."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skincare companies or also with haircare, colour cosmetics, and personal care companies entering India?|All beauty and personal care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beauty engagement take?|Typically 6-10 weeks for consumer demand research, regulatory mapping, and e-commerce platform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Nykaa and Purplle brand partnership contacts?|Yes — e-commerce beauty platform partnership identification is core to our India beauty market entry service.",</w:t>
      </w:r>
    </w:p>
    <w:p>
      <w:pPr>
        <w:shd w:fill="F0F0F0" w:val="clear"/>
        <w:spacing w:after="14" w:before="14"/>
        <w:ind w:left="360"/>
      </w:pPr>
      <w:r>
        <w:rPr>
          <w:rFonts w:ascii="Courier New" w:cs="Courier New" w:eastAsia="Courier New" w:hAnsi="Courier New"/>
          <w:color w:val="1B2A4A"/>
          <w:sz w:val="16"/>
          <w:szCs w:val="16"/>
        </w:rPr>
        <w:t xml:space="preserve">      "What is the recommended India beauty entry route for international brands?|E-commerce first — Nykaa or Purplle listing allows test-and-learn before offline distribution investment. We design the e-commerce-first India beauty entry plan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beauty market entry, India skincare GTM strategy, Nykaa brand partnership consulting, India cosmetics regulatory advisory, India beauty e-commerce market entry",</w:t>
      </w:r>
    </w:p>
    <w:p>
      <w:pPr>
        <w:shd w:fill="F0F0F0" w:val="clear"/>
        <w:spacing w:after="14" w:before="14"/>
        <w:ind w:left="360"/>
      </w:pPr>
      <w:r>
        <w:rPr>
          <w:rFonts w:ascii="Courier New" w:cs="Courier New" w:eastAsia="Courier New" w:hAnsi="Courier New"/>
          <w:color w:val="1B2A4A"/>
          <w:sz w:val="16"/>
          <w:szCs w:val="16"/>
        </w:rPr>
        <w:t xml:space="preserve">    "regions": "India — metro modern trade and premium e-commerce first: Mumbai, Delhi NCR, Bengaluru; then Tier 2 via Nykaa and Purplle platform reach",</w:t>
      </w:r>
    </w:p>
    <w:p>
      <w:pPr>
        <w:shd w:fill="F0F0F0" w:val="clear"/>
        <w:spacing w:after="14" w:before="14"/>
        <w:ind w:left="360"/>
      </w:pPr>
      <w:r>
        <w:rPr>
          <w:rFonts w:ascii="Courier New" w:cs="Courier New" w:eastAsia="Courier New" w:hAnsi="Courier New"/>
          <w:color w:val="1B2A4A"/>
          <w:sz w:val="16"/>
          <w:szCs w:val="16"/>
        </w:rPr>
        <w:t xml:space="preserve">    "stat1n": "$28B",</w:t>
      </w:r>
    </w:p>
    <w:p>
      <w:pPr>
        <w:shd w:fill="F0F0F0" w:val="clear"/>
        <w:spacing w:after="14" w:before="14"/>
        <w:ind w:left="360"/>
      </w:pPr>
      <w:r>
        <w:rPr>
          <w:rFonts w:ascii="Courier New" w:cs="Courier New" w:eastAsia="Courier New" w:hAnsi="Courier New"/>
          <w:color w:val="1B2A4A"/>
          <w:sz w:val="16"/>
          <w:szCs w:val="16"/>
        </w:rPr>
        <w:t xml:space="preserve">    "stat1l": "India beauty and personal care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12% annually as premiumisation, e-commerce distribution, and international brand awareness all drive consumer spending.",</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beauty mandate",</w:t>
      </w:r>
    </w:p>
    <w:p>
      <w:pPr>
        <w:shd w:fill="F0F0F0" w:val="clear"/>
        <w:spacing w:after="14" w:before="14"/>
        <w:ind w:left="360"/>
      </w:pPr>
      <w:r>
        <w:rPr>
          <w:rFonts w:ascii="Courier New" w:cs="Courier New" w:eastAsia="Courier New" w:hAnsi="Courier New"/>
          <w:color w:val="1B2A4A"/>
          <w:sz w:val="16"/>
          <w:szCs w:val="16"/>
        </w:rPr>
        <w:t xml:space="preserve">    "stat2b": "Indian consumers, Nykaa and Purplle category managers, and beauty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beauty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e-commerce platform mapping delivers India beauty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"gulf-beauty-market-entry",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"beauty-personal-care",</w:t>
      </w:r>
    </w:p>
    <w:p>
      <w:pPr>
        <w:shd w:fill="F0F0F0" w:val="clear"/>
        <w:spacing w:after="14" w:before="14"/>
        <w:ind w:left="360"/>
      </w:pPr>
      <w:r>
        <w:rPr>
          <w:rFonts w:ascii="Courier New" w:cs="Courier New" w:eastAsia="Courier New" w:hAnsi="Courier New"/>
          <w:color w:val="1B2A4A"/>
          <w:sz w:val="16"/>
          <w:szCs w:val="16"/>
        </w:rPr>
        <w:t xml:space="preserve">    "title": "Gulf Beauty &amp; Personal Care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beauty and personal care companies enter Gulf markets with market entry strategy, halal certification mapping, luxury retail distribution, and e-commerce channel strategy.",</w:t>
      </w:r>
    </w:p>
    <w:p>
      <w:pPr>
        <w:shd w:fill="F0F0F0" w:val="clear"/>
        <w:spacing w:after="14" w:before="14"/>
        <w:ind w:left="360"/>
      </w:pPr>
      <w:r>
        <w:rPr>
          <w:rFonts w:ascii="Courier New" w:cs="Courier New" w:eastAsia="Courier New" w:hAnsi="Courier New"/>
          <w:color w:val="1B2A4A"/>
          <w:sz w:val="16"/>
          <w:szCs w:val="16"/>
        </w:rPr>
        <w:t xml:space="preserve">    "h1": "Gulf beauty and personal care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beauty brand to Gulf consumer — strategy for beauty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beauty and personal care market is one of the world's highest per-capita spending markets — with Gulf consumers among the world's most beauty-conscious, premium beauty retail infrastructure including Sephora, Harvey Nichols, and specialty beauty retailers in every major mall, and the world's fastest-growing halal beauty segment creating new product category opportunities. International beauty companies across prestige skincare, colour cosmetics, fragrances, and halal personal care are all evaluating Gulf market entry. GreyRadius helps beauty companies validate Gulf consumer demand, navigate halal certification and regulatory requirements, identify luxury retail and e-commerce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"Gulf halal beauty is the world's fastest-growing beauty category — Muslim consumers in UAE, Saudi Arabia, and Qatar are increasingly seeking halal-certified alternatives to conventional beauty products across skincare, haircare, and cosmetics. International beauty companies that achieve credible halal certification and enter Gulf halal beauty in 2024-2027 will establish positions in a category that compounds as Muslim consumer awareness of halal beauty standards grows.",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beauty market is projected to reach $8B by 2028 — growing at 10% annually as luxury beauty retail expansion, halal beauty category growth, and e-commerce beauty distribution all scale across GCC.",</w:t>
      </w:r>
    </w:p>
    <w:p>
      <w:pPr>
        <w:shd w:fill="F0F0F0" w:val="clear"/>
        <w:spacing w:after="14" w:before="14"/>
        <w:ind w:left="360"/>
      </w:pPr>
      <w:r>
        <w:rPr>
          <w:rFonts w:ascii="Courier New" w:cs="Courier New" w:eastAsia="Courier New" w:hAnsi="Courier New"/>
          <w:color w:val="1B2A4A"/>
          <w:sz w:val="16"/>
          <w:szCs w:val="16"/>
        </w:rPr>
        <w:t xml:space="preserve">      "Saudi Arabia is the Gulf's largest beauty market — lifting of entertainment and fashion restrictions creating new beauty consumption occasion and a premium beauty consumer who had previously limited purchasing.",</w:t>
      </w:r>
    </w:p>
    <w:p>
      <w:pPr>
        <w:shd w:fill="F0F0F0" w:val="clear"/>
        <w:spacing w:after="14" w:before="14"/>
        <w:ind w:left="360"/>
      </w:pPr>
      <w:r>
        <w:rPr>
          <w:rFonts w:ascii="Courier New" w:cs="Courier New" w:eastAsia="Courier New" w:hAnsi="Courier New"/>
          <w:color w:val="1B2A4A"/>
          <w:sz w:val="16"/>
          <w:szCs w:val="16"/>
        </w:rPr>
        <w:t xml:space="preserve">      "Halal beauty is growing at 25% annually in Gulf — Gulf Muslim consumers prioritising halal-certified personal care products creating a premium growth category that conventional beauty brands are not addressing adequately.",</w:t>
      </w:r>
    </w:p>
    <w:p>
      <w:pPr>
        <w:shd w:fill="F0F0F0" w:val="clear"/>
        <w:spacing w:after="14" w:before="14"/>
        <w:ind w:left="360"/>
      </w:pPr>
      <w:r>
        <w:rPr>
          <w:rFonts w:ascii="Courier New" w:cs="Courier New" w:eastAsia="Courier New" w:hAnsi="Courier New"/>
          <w:color w:val="1B2A4A"/>
          <w:sz w:val="16"/>
          <w:szCs w:val="16"/>
        </w:rPr>
        <w:t xml:space="preserve">      "Gulf e-commerce beauty is growing at 30% — Namshi, Noon Beauty, and international platforms creating accessible premium beauty distribution that complements the established luxury retail channel."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"Halal certification is required or strongly preferred for personal care products in Saudi Arabia — products containing alcohol or non-halal animal derivatives face consumer rejection and in some cases regulatory restriction.",</w:t>
      </w:r>
    </w:p>
    <w:p>
      <w:pPr>
        <w:shd w:fill="F0F0F0" w:val="clear"/>
        <w:spacing w:after="14" w:before="14"/>
        <w:ind w:left="360"/>
      </w:pPr>
      <w:r>
        <w:rPr>
          <w:rFonts w:ascii="Courier New" w:cs="Courier New" w:eastAsia="Courier New" w:hAnsi="Courier New"/>
          <w:color w:val="1B2A4A"/>
          <w:sz w:val="16"/>
          <w:szCs w:val="16"/>
        </w:rPr>
        <w:t xml:space="preserve">      "Gulf luxury retail requires significant brand presence investment — Sephora, Harvey Nichols, and Chalhoub Group all require minimum marketing investment and launch activation budgets that international beauty brands must plan for.",</w:t>
      </w:r>
    </w:p>
    <w:p>
      <w:pPr>
        <w:shd w:fill="F0F0F0" w:val="clear"/>
        <w:spacing w:after="14" w:before="14"/>
        <w:ind w:left="360"/>
      </w:pPr>
      <w:r>
        <w:rPr>
          <w:rFonts w:ascii="Courier New" w:cs="Courier New" w:eastAsia="Courier New" w:hAnsi="Courier New"/>
          <w:color w:val="1B2A4A"/>
          <w:sz w:val="16"/>
          <w:szCs w:val="16"/>
        </w:rPr>
        <w:t xml:space="preserve">      "Competition from established luxury beauty brands — Lancôme, Dior, and Charlotte Tilbury — with existing Gulf retail relationships is intense in premium beauty categories.",</w:t>
      </w:r>
    </w:p>
    <w:p>
      <w:pPr>
        <w:shd w:fill="F0F0F0" w:val="clear"/>
        <w:spacing w:after="14" w:before="14"/>
        <w:ind w:left="360"/>
      </w:pPr>
      <w:r>
        <w:rPr>
          <w:rFonts w:ascii="Courier New" w:cs="Courier New" w:eastAsia="Courier New" w:hAnsi="Courier New"/>
          <w:color w:val="1B2A4A"/>
          <w:sz w:val="16"/>
          <w:szCs w:val="16"/>
        </w:rPr>
        <w:t xml:space="preserve">      "Fragrance regulations are stricter in Gulf than Western markets — IFRA standards apply but Gulf market fragrance preferences and ingredient restrictions differ from European formulations."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beauty consumer demand validation|You need to validate Gulf consumer demand for your beauty product including halal positioning requirements, price sensitivity, and retail channel preference.",</w:t>
      </w:r>
    </w:p>
    <w:p>
      <w:pPr>
        <w:shd w:fill="F0F0F0" w:val="clear"/>
        <w:spacing w:after="14" w:before="14"/>
        <w:ind w:left="360"/>
      </w:pPr>
      <w:r>
        <w:rPr>
          <w:rFonts w:ascii="Courier New" w:cs="Courier New" w:eastAsia="Courier New" w:hAnsi="Courier New"/>
          <w:color w:val="1B2A4A"/>
          <w:sz w:val="16"/>
          <w:szCs w:val="16"/>
        </w:rPr>
        <w:t xml:space="preserve">      "Halal certification and regulatory pathway|You need to understand Gulf halal certification requirements, SFDA cosmetic registration, and ESMA UAE cosmetic standards for your product category.",</w:t>
      </w:r>
    </w:p>
    <w:p>
      <w:pPr>
        <w:shd w:fill="F0F0F0" w:val="clear"/>
        <w:spacing w:after="14" w:before="14"/>
        <w:ind w:left="360"/>
      </w:pPr>
      <w:r>
        <w:rPr>
          <w:rFonts w:ascii="Courier New" w:cs="Courier New" w:eastAsia="Courier New" w:hAnsi="Courier New"/>
          <w:color w:val="1B2A4A"/>
          <w:sz w:val="16"/>
          <w:szCs w:val="16"/>
        </w:rPr>
        <w:t xml:space="preserve">      "Gulf beauty distribution partner identification|You need Sephora Gulf, Chalhoub Group, and Noon Beauty partnership contacts as commercial distribution channels.",</w:t>
      </w:r>
    </w:p>
    <w:p>
      <w:pPr>
        <w:shd w:fill="F0F0F0" w:val="clear"/>
        <w:spacing w:after="14" w:before="14"/>
        <w:ind w:left="360"/>
      </w:pPr>
      <w:r>
        <w:rPr>
          <w:rFonts w:ascii="Courier New" w:cs="Courier New" w:eastAsia="Courier New" w:hAnsi="Courier New"/>
          <w:color w:val="1B2A4A"/>
          <w:sz w:val="16"/>
          <w:szCs w:val="16"/>
        </w:rPr>
        <w:t xml:space="preserve">      "Gulf beauty GTM strategy|You need a go-to-market plan covering luxury retail launch, halal beauty positioning, and e-commerce channel strategy.",</w:t>
      </w:r>
    </w:p>
    <w:p>
      <w:pPr>
        <w:shd w:fill="F0F0F0" w:val="clear"/>
        <w:spacing w:after="14" w:before="14"/>
        <w:ind w:left="360"/>
      </w:pPr>
      <w:r>
        <w:rPr>
          <w:rFonts w:ascii="Courier New" w:cs="Courier New" w:eastAsia="Courier New" w:hAnsi="Courier New"/>
          <w:color w:val="1B2A4A"/>
          <w:sz w:val="16"/>
          <w:szCs w:val="16"/>
        </w:rPr>
        <w:t xml:space="preserve">      "Raising capital for Gulf beauty investment|You need a pitch book grounded in Gulf beauty market data and halal beauty category analysis.",</w:t>
      </w:r>
    </w:p>
    <w:p>
      <w:pPr>
        <w:shd w:fill="F0F0F0" w:val="clear"/>
        <w:spacing w:after="14" w:before="14"/>
        <w:ind w:left="360"/>
      </w:pPr>
      <w:r>
        <w:rPr>
          <w:rFonts w:ascii="Courier New" w:cs="Courier New" w:eastAsia="Courier New" w:hAnsi="Courier New"/>
          <w:color w:val="1B2A4A"/>
          <w:sz w:val="16"/>
          <w:szCs w:val="16"/>
        </w:rPr>
        <w:t xml:space="preserve">      "Halal formulation and positioning adaptation|You need a product formulation review and halal positioning strategy for Gulf Muslim consumer acceptance."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consumer demand for your beauty product with consumer research and halal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beauty investment covering halal certification cost and luxury retail launch economics.",</w:t>
      </w:r>
    </w:p>
    <w:p>
      <w:pPr>
        <w:shd w:fill="F0F0F0" w:val="clear"/>
        <w:spacing w:after="14" w:before="14"/>
        <w:ind w:left="360"/>
      </w:pPr>
      <w:r>
        <w:rPr>
          <w:rFonts w:ascii="Courier New" w:cs="Courier New" w:eastAsia="Courier New" w:hAnsi="Courier New"/>
          <w:color w:val="1B2A4A"/>
          <w:sz w:val="16"/>
          <w:szCs w:val="16"/>
        </w:rPr>
        <w:t xml:space="preserve">      "End-to-end Gulf beauty market entry including halal pathway, Sephora and Chalhoub partnership identification, and first-consumer-acquisition milestone.",</w:t>
      </w:r>
    </w:p>
    <w:p>
      <w:pPr>
        <w:shd w:fill="F0F0F0" w:val="clear"/>
        <w:spacing w:after="14" w:before="14"/>
        <w:ind w:left="360"/>
      </w:pPr>
      <w:r>
        <w:rPr>
          <w:rFonts w:ascii="Courier New" w:cs="Courier New" w:eastAsia="Courier New" w:hAnsi="Courier New"/>
          <w:color w:val="1B2A4A"/>
          <w:sz w:val="16"/>
          <w:szCs w:val="16"/>
        </w:rPr>
        <w:t xml:space="preserve">      "Embedded Gulf beauty GTM team covering luxury retail buyer and e-commerce platform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beauty investment with halal beauty category growth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beauty consultation to Gulf skin tone AI personalisation."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skincare companies or also with colour cosmetics, fragrance, and halal personal care companies entering the Gulf?|All beauty categories.",</w:t>
      </w:r>
    </w:p>
    <w:p>
      <w:pPr>
        <w:shd w:fill="F0F0F0" w:val="clear"/>
        <w:spacing w:after="14" w:before="14"/>
        <w:ind w:left="360"/>
      </w:pPr>
      <w:r>
        <w:rPr>
          <w:rFonts w:ascii="Courier New" w:cs="Courier New" w:eastAsia="Courier New" w:hAnsi="Courier New"/>
          <w:color w:val="1B2A4A"/>
          <w:sz w:val="16"/>
          <w:szCs w:val="16"/>
        </w:rPr>
        <w:t xml:space="preserve">      "Which Gulf beauty markets does GreyRadius prioritise?|UAE for established luxury retail infrastructure; Saudi Arabia for largest consumer market and fastest halal beauty growth.",</w:t>
      </w:r>
    </w:p>
    <w:p>
      <w:pPr>
        <w:shd w:fill="F0F0F0" w:val="clear"/>
        <w:spacing w:after="14" w:before="14"/>
        <w:ind w:left="360"/>
      </w:pPr>
      <w:r>
        <w:rPr>
          <w:rFonts w:ascii="Courier New" w:cs="Courier New" w:eastAsia="Courier New" w:hAnsi="Courier New"/>
          <w:color w:val="1B2A4A"/>
          <w:sz w:val="16"/>
          <w:szCs w:val="16"/>
        </w:rPr>
        <w:t xml:space="preserve">      "How long does a Gulf beauty engagement take?|Typically 6-10 weeks for consumer demand research, halal certification mapping, and luxury retail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Sephora Gulf and Chalhoub Group buyer contacts for beauty brands?|Yes."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beauty market entry, Saudi Arabia beauty GTM strategy, UAE halal cosmetics consulting, Sephora Gulf partnership advisory, GCC beauty market entry strategy",</w:t>
      </w:r>
    </w:p>
    <w:p>
      <w:pPr>
        <w:shd w:fill="F0F0F0" w:val="clear"/>
        <w:spacing w:after="14" w:before="14"/>
        <w:ind w:left="360"/>
      </w:pPr>
      <w:r>
        <w:rPr>
          <w:rFonts w:ascii="Courier New" w:cs="Courier New" w:eastAsia="Courier New" w:hAnsi="Courier New"/>
          <w:color w:val="1B2A4A"/>
          <w:sz w:val="16"/>
          <w:szCs w:val="16"/>
        </w:rPr>
        <w:t xml:space="preserve">    "regions": "UAE — Sephora Dubai Mall and Abu Dhabi luxury retail; Saudi Arabia — Riyadh and Jeddah premium beauty retail and halal consumer market",</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"Gulf beauty and personal care market by 2028",</w:t>
      </w:r>
    </w:p>
    <w:p>
      <w:pPr>
        <w:shd w:fill="F0F0F0" w:val="clear"/>
        <w:spacing w:after="14" w:before="14"/>
        <w:ind w:left="360"/>
      </w:pPr>
      <w:r>
        <w:rPr>
          <w:rFonts w:ascii="Courier New" w:cs="Courier New" w:eastAsia="Courier New" w:hAnsi="Courier New"/>
          <w:color w:val="1B2A4A"/>
          <w:sz w:val="16"/>
          <w:szCs w:val="16"/>
        </w:rPr>
        <w:t xml:space="preserve">    "stat1b": "Luxury retail expansion, halal beauty category growth, and e-commerce distribution driving 10% annual Gulf beauty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beauty mandate",</w:t>
      </w:r>
    </w:p>
    <w:p>
      <w:pPr>
        <w:shd w:fill="F0F0F0" w:val="clear"/>
        <w:spacing w:after="14" w:before="14"/>
        <w:ind w:left="360"/>
      </w:pPr>
      <w:r>
        <w:rPr>
          <w:rFonts w:ascii="Courier New" w:cs="Courier New" w:eastAsia="Courier New" w:hAnsi="Courier New"/>
          <w:color w:val="1B2A4A"/>
          <w:sz w:val="16"/>
          <w:szCs w:val="16"/>
        </w:rPr>
        <w:t xml:space="preserve">    "stat2b": "Gulf consumers, luxury retail buyers, and halal certification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"Gulf beauty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luxury retail mapping delivers Gulf beauty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"india-food-beverage-market-entry",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"food-beverage",</w:t>
      </w:r>
    </w:p>
    <w:p>
      <w:pPr>
        <w:shd w:fill="F0F0F0" w:val="clear"/>
        <w:spacing w:after="14" w:before="14"/>
        <w:ind w:left="360"/>
      </w:pPr>
      <w:r>
        <w:rPr>
          <w:rFonts w:ascii="Courier New" w:cs="Courier New" w:eastAsia="Courier New" w:hAnsi="Courier New"/>
          <w:color w:val="1B2A4A"/>
          <w:sz w:val="16"/>
          <w:szCs w:val="16"/>
        </w:rPr>
        <w:t xml:space="preserve">    "title": "India Food &amp; Beverage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food and beverage companies enter India with market entry strategy, FSSAI regulatory mapping, modern trade distribution, and consumer demand validation.",</w:t>
      </w:r>
    </w:p>
    <w:p>
      <w:pPr>
        <w:shd w:fill="F0F0F0" w:val="clear"/>
        <w:spacing w:after="14" w:before="14"/>
        <w:ind w:left="360"/>
      </w:pPr>
      <w:r>
        <w:rPr>
          <w:rFonts w:ascii="Courier New" w:cs="Courier New" w:eastAsia="Courier New" w:hAnsi="Courier New"/>
          <w:color w:val="1B2A4A"/>
          <w:sz w:val="16"/>
          <w:szCs w:val="16"/>
        </w:rPr>
        <w:t xml:space="preserve">    "h1": "India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food brand to Indian consumer — strategy for food and beverage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food and beverage market is the world's third-largest and one of its most complex — with 1.4 billion consumers across wildly different regional taste preferences, dietary restrictions, and income levels, FSSAI regulatory requirements that differ from Codex and FDA standards, and distribution infrastructure ranging from 900,000 kirana stores to quick commerce delivering in 10 minutes. International food and beverage companies across packaged foods, beverages, health foods, specialty ingredients, and foodservice are all evaluating India as a priority market. GreyRadius helps food companies validate Indian consumer demand, navigate FSSAI regulatory requirements, identify national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food e-commerce and quick commerce are transforming the product launch equation — international food brands can now reach Indian consumers in 50+ cities through Blinkit, Zepto, and Swiggy Instamart without building traditional offline distribution first. This creates a test-and-learn entry route that was not possible five years ago, reducing the capital requirement for India food market entry significantly.",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food and beverage market is projected to reach $800B by 2030 — growing at 10% annually as urbanisation, income growth, and changing dietary preferences all drive packaged food and beverage adoption.",</w:t>
      </w:r>
    </w:p>
    <w:p>
      <w:pPr>
        <w:shd w:fill="F0F0F0" w:val="clear"/>
        <w:spacing w:after="14" w:before="14"/>
        <w:ind w:left="360"/>
      </w:pPr>
      <w:r>
        <w:rPr>
          <w:rFonts w:ascii="Courier New" w:cs="Courier New" w:eastAsia="Courier New" w:hAnsi="Courier New"/>
          <w:color w:val="1B2A4A"/>
          <w:sz w:val="16"/>
          <w:szCs w:val="16"/>
        </w:rPr>
        <w:t xml:space="preserve">      "Health and wellness food is growing at 25% in India — Indian consumers increasingly seeking low-sugar, high-protein, fortified, and functional food products creating a premium health food segment accessible to international brands.",</w:t>
      </w:r>
    </w:p>
    <w:p>
      <w:pPr>
        <w:shd w:fill="F0F0F0" w:val="clear"/>
        <w:spacing w:after="14" w:before="14"/>
        <w:ind w:left="360"/>
      </w:pPr>
      <w:r>
        <w:rPr>
          <w:rFonts w:ascii="Courier New" w:cs="Courier New" w:eastAsia="Courier New" w:hAnsi="Courier New"/>
          <w:color w:val="1B2A4A"/>
          <w:sz w:val="16"/>
          <w:szCs w:val="16"/>
        </w:rPr>
        <w:t xml:space="preserve">      "Regional taste variation is the most underestimated India food challenge — a product that succeeds in South India often fails in North India due to spice level, sweetness, and flavour profile differences requiring regional adaptation.",</w:t>
      </w:r>
    </w:p>
    <w:p>
      <w:pPr>
        <w:shd w:fill="F0F0F0" w:val="clear"/>
        <w:spacing w:after="14" w:before="14"/>
        <w:ind w:left="360"/>
      </w:pPr>
      <w:r>
        <w:rPr>
          <w:rFonts w:ascii="Courier New" w:cs="Courier New" w:eastAsia="Courier New" w:hAnsi="Courier New"/>
          <w:color w:val="1B2A4A"/>
          <w:sz w:val="16"/>
          <w:szCs w:val="16"/>
        </w:rPr>
        <w:t xml:space="preserve">      "Quick commerce has changed India food launch dynamics — Blinkit, Zepto, and Swiggy Instamart reach 50M+ urban Indian consumers and can be secured as launch channels within 4-8 weeks of FSSAI registration."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"FSSAI product registration varies by category — Food Business Operator licence, product approval for health supplements, and import licences all have different requirements and timelines by product type.",</w:t>
      </w:r>
    </w:p>
    <w:p>
      <w:pPr>
        <w:shd w:fill="F0F0F0" w:val="clear"/>
        <w:spacing w:after="14" w:before="14"/>
        <w:ind w:left="360"/>
      </w:pPr>
      <w:r>
        <w:rPr>
          <w:rFonts w:ascii="Courier New" w:cs="Courier New" w:eastAsia="Courier New" w:hAnsi="Courier New"/>
          <w:color w:val="1B2A4A"/>
          <w:sz w:val="16"/>
          <w:szCs w:val="16"/>
        </w:rPr>
        <w:t xml:space="preserve">      "India food localisation is essential — taste profiles, spice levels, sweetness, and portion sizes all require India-specific adaptation across most international food categories.",</w:t>
      </w:r>
    </w:p>
    <w:p>
      <w:pPr>
        <w:shd w:fill="F0F0F0" w:val="clear"/>
        <w:spacing w:after="14" w:before="14"/>
        <w:ind w:left="360"/>
      </w:pPr>
      <w:r>
        <w:rPr>
          <w:rFonts w:ascii="Courier New" w:cs="Courier New" w:eastAsia="Courier New" w:hAnsi="Courier New"/>
          <w:color w:val="1B2A4A"/>
          <w:sz w:val="16"/>
          <w:szCs w:val="16"/>
        </w:rPr>
        <w:t xml:space="preserve">      "Cold chain requirements limit distribution geography — chilled and frozen food products face significant distribution constraints beyond metropolitan areas due to cold chain infrastructure gaps.",</w:t>
      </w:r>
    </w:p>
    <w:p>
      <w:pPr>
        <w:shd w:fill="F0F0F0" w:val="clear"/>
        <w:spacing w:after="14" w:before="14"/>
        <w:ind w:left="360"/>
      </w:pPr>
      <w:r>
        <w:rPr>
          <w:rFonts w:ascii="Courier New" w:cs="Courier New" w:eastAsia="Courier New" w:hAnsi="Courier New"/>
          <w:color w:val="1B2A4A"/>
          <w:sz w:val="16"/>
          <w:szCs w:val="16"/>
        </w:rPr>
        <w:t xml:space="preserve">      "Price point pressure is significant — Indian consumers are price-sensitive across all food categories and international brands at import-cost-plus pricing frequently exceed accessible price points for mass market volumes."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food consumer demand validation|You need to validate Indian consumer demand for your food product including taste preference testing, price sensitivity, and channel preference across segments.",</w:t>
      </w:r>
    </w:p>
    <w:p>
      <w:pPr>
        <w:shd w:fill="F0F0F0" w:val="clear"/>
        <w:spacing w:after="14" w:before="14"/>
        <w:ind w:left="360"/>
      </w:pPr>
      <w:r>
        <w:rPr>
          <w:rFonts w:ascii="Courier New" w:cs="Courier New" w:eastAsia="Courier New" w:hAnsi="Courier New"/>
          <w:color w:val="1B2A4A"/>
          <w:sz w:val="16"/>
          <w:szCs w:val="16"/>
        </w:rPr>
        <w:t xml:space="preserve">      "FSSAI regulatory pathway|You need to understand FBO licence requirements, product approval process, import licensing, and labelling compliance for your specific food category.",</w:t>
      </w:r>
    </w:p>
    <w:p>
      <w:pPr>
        <w:shd w:fill="F0F0F0" w:val="clear"/>
        <w:spacing w:after="14" w:before="14"/>
        <w:ind w:left="360"/>
      </w:pPr>
      <w:r>
        <w:rPr>
          <w:rFonts w:ascii="Courier New" w:cs="Courier New" w:eastAsia="Courier New" w:hAnsi="Courier New"/>
          <w:color w:val="1B2A4A"/>
          <w:sz w:val="16"/>
          <w:szCs w:val="16"/>
        </w:rPr>
        <w:t xml:space="preserve">      "India food and beverage national distributor identification|You need a national food distributor with modern trade relationships, quick commerce logistics, and potentially cold chain capability.",</w:t>
      </w:r>
    </w:p>
    <w:p>
      <w:pPr>
        <w:shd w:fill="F0F0F0" w:val="clear"/>
        <w:spacing w:after="14" w:before="14"/>
        <w:ind w:left="360"/>
      </w:pPr>
      <w:r>
        <w:rPr>
          <w:rFonts w:ascii="Courier New" w:cs="Courier New" w:eastAsia="Courier New" w:hAnsi="Courier New"/>
          <w:color w:val="1B2A4A"/>
          <w:sz w:val="16"/>
          <w:szCs w:val="16"/>
        </w:rPr>
        <w:t xml:space="preserve">      "India food and beverage GTM strategy|You need a go-to-market plan covering quick commerce launch, modern trade listing, and general trade distribution sequencing.",</w:t>
      </w:r>
    </w:p>
    <w:p>
      <w:pPr>
        <w:shd w:fill="F0F0F0" w:val="clear"/>
        <w:spacing w:after="14" w:before="14"/>
        <w:ind w:left="360"/>
      </w:pPr>
      <w:r>
        <w:rPr>
          <w:rFonts w:ascii="Courier New" w:cs="Courier New" w:eastAsia="Courier New" w:hAnsi="Courier New"/>
          <w:color w:val="1B2A4A"/>
          <w:sz w:val="16"/>
          <w:szCs w:val="16"/>
        </w:rPr>
        <w:t xml:space="preserve">      "Raising capital for India food investment|You need a pitch book grounded in India food market data and quick commerce distribution analysis.",</w:t>
      </w:r>
    </w:p>
    <w:p>
      <w:pPr>
        <w:shd w:fill="F0F0F0" w:val="clear"/>
        <w:spacing w:after="14" w:before="14"/>
        <w:ind w:left="360"/>
      </w:pPr>
      <w:r>
        <w:rPr>
          <w:rFonts w:ascii="Courier New" w:cs="Courier New" w:eastAsia="Courier New" w:hAnsi="Courier New"/>
          <w:color w:val="1B2A4A"/>
          <w:sz w:val="16"/>
          <w:szCs w:val="16"/>
        </w:rPr>
        <w:t xml:space="preserve">      "India food product adaptation strategy|You need a product taste profile and format adaptation roadmap for Indian consumer preferences."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demand for your food product with taste testing research and FSSAI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food investment covering FSSAI compliance cost and quick commerce and modern trade distribution economics.",</w:t>
      </w:r>
    </w:p>
    <w:p>
      <w:pPr>
        <w:shd w:fill="F0F0F0" w:val="clear"/>
        <w:spacing w:after="14" w:before="14"/>
        <w:ind w:left="360"/>
      </w:pPr>
      <w:r>
        <w:rPr>
          <w:rFonts w:ascii="Courier New" w:cs="Courier New" w:eastAsia="Courier New" w:hAnsi="Courier New"/>
          <w:color w:val="1B2A4A"/>
          <w:sz w:val="16"/>
          <w:szCs w:val="16"/>
        </w:rPr>
        <w:t xml:space="preserve">      "End-to-end India food market entry including FSSAI pathway, national distributor identification, and first-consumer-acquisition milestone.",</w:t>
      </w:r>
    </w:p>
    <w:p>
      <w:pPr>
        <w:shd w:fill="F0F0F0" w:val="clear"/>
        <w:spacing w:after="14" w:before="14"/>
        <w:ind w:left="360"/>
      </w:pPr>
      <w:r>
        <w:rPr>
          <w:rFonts w:ascii="Courier New" w:cs="Courier New" w:eastAsia="Courier New" w:hAnsi="Courier New"/>
          <w:color w:val="1B2A4A"/>
          <w:sz w:val="16"/>
          <w:szCs w:val="16"/>
        </w:rPr>
        <w:t xml:space="preserve">      "Embedded India food GTM team covering quick commerce platform and modern trade buyer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food investment with quick commerce distribution and health food trend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Indian regional taste preference prediction to supply chain optimisation for India food distribution."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packaged food companies or also with beverage, health food, specialty ingredients, and foodservice companies entering India?|All food and beverage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food and beverage engagement take?|Typically 8-12 weeks for consumer demand research and taste testing, FSSAI regulatory mapping, and national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quick commerce platform partnership contacts for food brands?|Yes — Blinkit, Zepto, and Swiggy Instamart category buyer identification is part of our India food GTM service.",</w:t>
      </w:r>
    </w:p>
    <w:p>
      <w:pPr>
        <w:shd w:fill="F0F0F0" w:val="clear"/>
        <w:spacing w:after="14" w:before="14"/>
        <w:ind w:left="360"/>
      </w:pPr>
      <w:r>
        <w:rPr>
          <w:rFonts w:ascii="Courier New" w:cs="Courier New" w:eastAsia="Courier New" w:hAnsi="Courier New"/>
          <w:color w:val="1B2A4A"/>
          <w:sz w:val="16"/>
          <w:szCs w:val="16"/>
        </w:rPr>
        <w:t xml:space="preserve">      "What FSSAI registration does an international food company need to import and sell in India?|It depends on the product category — FBO import licence, product approval for health supplements, and labelling compliance are the most common requirements. We map the specific pathway for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food and beverage market entry, FSSAI registration consulting, India packaged food GTM strategy, India quick commerce advisory, India food market entry strategy",</w:t>
      </w:r>
    </w:p>
    <w:p>
      <w:pPr>
        <w:shd w:fill="F0F0F0" w:val="clear"/>
        <w:spacing w:after="14" w:before="14"/>
        <w:ind w:left="360"/>
      </w:pPr>
      <w:r>
        <w:rPr>
          <w:rFonts w:ascii="Courier New" w:cs="Courier New" w:eastAsia="Courier New" w:hAnsi="Courier New"/>
          <w:color w:val="1B2A4A"/>
          <w:sz w:val="16"/>
          <w:szCs w:val="16"/>
        </w:rPr>
        <w:t xml:space="preserve">    "regions": "India — metro quick commerce launch: Mumbai, Delhi NCR, Bengaluru, Hyderabad; then modern trade expansion; then general trade nationwide",</w:t>
      </w:r>
    </w:p>
    <w:p>
      <w:pPr>
        <w:shd w:fill="F0F0F0" w:val="clear"/>
        <w:spacing w:after="14" w:before="14"/>
        <w:ind w:left="360"/>
      </w:pPr>
      <w:r>
        <w:rPr>
          <w:rFonts w:ascii="Courier New" w:cs="Courier New" w:eastAsia="Courier New" w:hAnsi="Courier New"/>
          <w:color w:val="1B2A4A"/>
          <w:sz w:val="16"/>
          <w:szCs w:val="16"/>
        </w:rPr>
        <w:t xml:space="preserve">    "stat1n": "$800B",</w:t>
      </w:r>
    </w:p>
    <w:p>
      <w:pPr>
        <w:shd w:fill="F0F0F0" w:val="clear"/>
        <w:spacing w:after="14" w:before="14"/>
        <w:ind w:left="360"/>
      </w:pPr>
      <w:r>
        <w:rPr>
          <w:rFonts w:ascii="Courier New" w:cs="Courier New" w:eastAsia="Courier New" w:hAnsi="Courier New"/>
          <w:color w:val="1B2A4A"/>
          <w:sz w:val="16"/>
          <w:szCs w:val="16"/>
        </w:rPr>
        <w:t xml:space="preserve">    "stat1l": "India food and beverage market by 2030",</w:t>
      </w:r>
    </w:p>
    <w:p>
      <w:pPr>
        <w:shd w:fill="F0F0F0" w:val="clear"/>
        <w:spacing w:after="14" w:before="14"/>
        <w:ind w:left="360"/>
      </w:pPr>
      <w:r>
        <w:rPr>
          <w:rFonts w:ascii="Courier New" w:cs="Courier New" w:eastAsia="Courier New" w:hAnsi="Courier New"/>
          <w:color w:val="1B2A4A"/>
          <w:sz w:val="16"/>
          <w:szCs w:val="16"/>
        </w:rPr>
        <w:t xml:space="preserve">    "stat1b": "Urbanisation, income growth, and health food premiumisation driving 10% annual food and beverage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food mandate",</w:t>
      </w:r>
    </w:p>
    <w:p>
      <w:pPr>
        <w:shd w:fill="F0F0F0" w:val="clear"/>
        <w:spacing w:after="14" w:before="14"/>
        <w:ind w:left="360"/>
      </w:pPr>
      <w:r>
        <w:rPr>
          <w:rFonts w:ascii="Courier New" w:cs="Courier New" w:eastAsia="Courier New" w:hAnsi="Courier New"/>
          <w:color w:val="1B2A4A"/>
          <w:sz w:val="16"/>
          <w:szCs w:val="16"/>
        </w:rPr>
        <w:t xml:space="preserve">    "stat2b": "Indian consumers, quick commerce category managers, and food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FSSAI regulatory mapping delivers India food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"gulf-food-beverage-market-entry",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"food-beverage",</w:t>
      </w:r>
    </w:p>
    <w:p>
      <w:pPr>
        <w:shd w:fill="F0F0F0" w:val="clear"/>
        <w:spacing w:after="14" w:before="14"/>
        <w:ind w:left="360"/>
      </w:pPr>
      <w:r>
        <w:rPr>
          <w:rFonts w:ascii="Courier New" w:cs="Courier New" w:eastAsia="Courier New" w:hAnsi="Courier New"/>
          <w:color w:val="1B2A4A"/>
          <w:sz w:val="16"/>
          <w:szCs w:val="16"/>
        </w:rPr>
        <w:t xml:space="preserve">    "title": "Gulf Food &amp; Beverage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food and beverage companies enter Gulf markets with market entry strategy, SFDA and ESMA regulatory mapping, halal certification, and retail distribution strategy.",</w:t>
      </w:r>
    </w:p>
    <w:p>
      <w:pPr>
        <w:shd w:fill="F0F0F0" w:val="clear"/>
        <w:spacing w:after="14" w:before="14"/>
        <w:ind w:left="360"/>
      </w:pPr>
      <w:r>
        <w:rPr>
          <w:rFonts w:ascii="Courier New" w:cs="Courier New" w:eastAsia="Courier New" w:hAnsi="Courier New"/>
          <w:color w:val="1B2A4A"/>
          <w:sz w:val="16"/>
          <w:szCs w:val="16"/>
        </w:rPr>
        <w:t xml:space="preserve">    "h1": "Gulf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food brand to Gulf consumer — strategy for food and beverage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food and beverage market is one of the world's most attractive for international companies — with the world's highest per-capita food import dependence (85%+ imported), premium consumer spending power, established modern retail infrastructure including Carrefour, Lulu, and Spinneys, and halal certification creating a quality signal that drives Gulf consumer preference. International food and beverage companies across packaged foods, premium beverages, health foods, specialty ingredients, and food technology are all evaluating Gulf market entry. GreyRadius helps food companies validate Gulf consumer demand, navigate SFDA and ESMA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"Gulf food security investment is creating co-investment opportunities for international food companies — Saudi Arabia's National Food Security Strategy and UAE's Food Security Strategy 2051 are both creating funded demand for food technology, food production partnerships, and supply chain development that international food companies can access alongside their commercial market entry.",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food and beverage market is projected to reach $150B by 2030 — growing at 8% annually as population growth, tourism, and premiumisation all drive food demand across GCC.",</w:t>
      </w:r>
    </w:p>
    <w:p>
      <w:pPr>
        <w:shd w:fill="F0F0F0" w:val="clear"/>
        <w:spacing w:after="14" w:before="14"/>
        <w:ind w:left="360"/>
      </w:pPr>
      <w:r>
        <w:rPr>
          <w:rFonts w:ascii="Courier New" w:cs="Courier New" w:eastAsia="Courier New" w:hAnsi="Courier New"/>
          <w:color w:val="1B2A4A"/>
          <w:sz w:val="16"/>
          <w:szCs w:val="16"/>
        </w:rPr>
        <w:t xml:space="preserve">      "Halal certification is a commercial advantage in Gulf food retail — Lulu, Carrefour, and Spinneys Gulf all prioritise halal-certified products and Gulf consumers treat halal certification as a quality and trust signal for all product categories.",</w:t>
      </w:r>
    </w:p>
    <w:p>
      <w:pPr>
        <w:shd w:fill="F0F0F0" w:val="clear"/>
        <w:spacing w:after="14" w:before="14"/>
        <w:ind w:left="360"/>
      </w:pPr>
      <w:r>
        <w:rPr>
          <w:rFonts w:ascii="Courier New" w:cs="Courier New" w:eastAsia="Courier New" w:hAnsi="Courier New"/>
          <w:color w:val="1B2A4A"/>
          <w:sz w:val="16"/>
          <w:szCs w:val="16"/>
        </w:rPr>
        <w:t xml:space="preserve">      "Gulf premium food import market is growing at 15% — premium international food brands in organic, health, specialty, and lifestyle categories are achieving strong adoption in Gulf modern trade and e-commerce.",</w:t>
      </w:r>
    </w:p>
    <w:p>
      <w:pPr>
        <w:shd w:fill="F0F0F0" w:val="clear"/>
        <w:spacing w:after="14" w:before="14"/>
        <w:ind w:left="360"/>
      </w:pPr>
      <w:r>
        <w:rPr>
          <w:rFonts w:ascii="Courier New" w:cs="Courier New" w:eastAsia="Courier New" w:hAnsi="Courier New"/>
          <w:color w:val="1B2A4A"/>
          <w:sz w:val="16"/>
          <w:szCs w:val="16"/>
        </w:rPr>
        <w:t xml:space="preserve">      "Gulf food e-commerce is growing at 25% — Noon Food, Talabat Mart, and InstaShop are creating accessible premium food distribution that complements established modern trade channels."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"SFDA food product registration is required before sale in Saudi Arabia — SFDA registration for imported food products requires specific documentation and halal certificate from a SFDA-approved halal certification body.",</w:t>
      </w:r>
    </w:p>
    <w:p>
      <w:pPr>
        <w:shd w:fill="F0F0F0" w:val="clear"/>
        <w:spacing w:after="14" w:before="14"/>
        <w:ind w:left="360"/>
      </w:pPr>
      <w:r>
        <w:rPr>
          <w:rFonts w:ascii="Courier New" w:cs="Courier New" w:eastAsia="Courier New" w:hAnsi="Courier New"/>
          <w:color w:val="1B2A4A"/>
          <w:sz w:val="16"/>
          <w:szCs w:val="16"/>
        </w:rPr>
        <w:t xml:space="preserve">      "ESMA Emirates Standards apply to UAE food imports — UAE food products must comply with Emirates Standards and Metrology Authority requirements including specific labelling in Arabic.",</w:t>
      </w:r>
    </w:p>
    <w:p>
      <w:pPr>
        <w:shd w:fill="F0F0F0" w:val="clear"/>
        <w:spacing w:after="14" w:before="14"/>
        <w:ind w:left="360"/>
      </w:pPr>
      <w:r>
        <w:rPr>
          <w:rFonts w:ascii="Courier New" w:cs="Courier New" w:eastAsia="Courier New" w:hAnsi="Courier New"/>
          <w:color w:val="1B2A4A"/>
          <w:sz w:val="16"/>
          <w:szCs w:val="16"/>
        </w:rPr>
        <w:t xml:space="preserve">      "Gulf food distributor exclusivity requirements are common — major Gulf food distributors typically require category or brand exclusivity in their territory affecting long-term distribution flexibility.",</w:t>
      </w:r>
    </w:p>
    <w:p>
      <w:pPr>
        <w:shd w:fill="F0F0F0" w:val="clear"/>
        <w:spacing w:after="14" w:before="14"/>
        <w:ind w:left="360"/>
      </w:pPr>
      <w:r>
        <w:rPr>
          <w:rFonts w:ascii="Courier New" w:cs="Courier New" w:eastAsia="Courier New" w:hAnsi="Courier New"/>
          <w:color w:val="1B2A4A"/>
          <w:sz w:val="16"/>
          <w:szCs w:val="16"/>
        </w:rPr>
        <w:t xml:space="preserve">      "Cold chain requirements for perishable products are high-cost in Gulf climate — temperature-controlled distribution in Gulf extreme temperatures adds significant logistics cost to chilled and frozen food products."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food consumer demand validation|You need to validate Gulf consumer demand for your food product including halal positioning requirements, price sensitivity, and retail channel preference.",</w:t>
      </w:r>
    </w:p>
    <w:p>
      <w:pPr>
        <w:shd w:fill="F0F0F0" w:val="clear"/>
        <w:spacing w:after="14" w:before="14"/>
        <w:ind w:left="360"/>
      </w:pPr>
      <w:r>
        <w:rPr>
          <w:rFonts w:ascii="Courier New" w:cs="Courier New" w:eastAsia="Courier New" w:hAnsi="Courier New"/>
          <w:color w:val="1B2A4A"/>
          <w:sz w:val="16"/>
          <w:szCs w:val="16"/>
        </w:rPr>
        <w:t xml:space="preserve">      "SFDA and ESMA regulatory pathway|You need to understand SFDA food product registration, halal certification from SFDA-approved bodies, and ESMA UAE food labelling requirements.",</w:t>
      </w:r>
    </w:p>
    <w:p>
      <w:pPr>
        <w:shd w:fill="F0F0F0" w:val="clear"/>
        <w:spacing w:after="14" w:before="14"/>
        <w:ind w:left="360"/>
      </w:pPr>
      <w:r>
        <w:rPr>
          <w:rFonts w:ascii="Courier New" w:cs="Courier New" w:eastAsia="Courier New" w:hAnsi="Courier New"/>
          <w:color w:val="1B2A4A"/>
          <w:sz w:val="16"/>
          <w:szCs w:val="16"/>
        </w:rPr>
        <w:t xml:space="preserve">      "Gulf food distribution partner identification|You need to identify food distributors with Carrefour, Lulu, and Spinneys buyer relationships and cold chain capability.",</w:t>
      </w:r>
    </w:p>
    <w:p>
      <w:pPr>
        <w:shd w:fill="F0F0F0" w:val="clear"/>
        <w:spacing w:after="14" w:before="14"/>
        <w:ind w:left="360"/>
      </w:pPr>
      <w:r>
        <w:rPr>
          <w:rFonts w:ascii="Courier New" w:cs="Courier New" w:eastAsia="Courier New" w:hAnsi="Courier New"/>
          <w:color w:val="1B2A4A"/>
          <w:sz w:val="16"/>
          <w:szCs w:val="16"/>
        </w:rPr>
        <w:t xml:space="preserve">      "Gulf food GTM strategy|You need a go-to-market plan covering UAE modern trade launch, Saudi SFDA registration, and Gulf e-commerce food channels.",</w:t>
      </w:r>
    </w:p>
    <w:p>
      <w:pPr>
        <w:shd w:fill="F0F0F0" w:val="clear"/>
        <w:spacing w:after="14" w:before="14"/>
        <w:ind w:left="360"/>
      </w:pPr>
      <w:r>
        <w:rPr>
          <w:rFonts w:ascii="Courier New" w:cs="Courier New" w:eastAsia="Courier New" w:hAnsi="Courier New"/>
          <w:color w:val="1B2A4A"/>
          <w:sz w:val="16"/>
          <w:szCs w:val="16"/>
        </w:rPr>
        <w:t xml:space="preserve">      "Raising capital for Gulf food investment|You need a pitch book grounded in Gulf food market data and food security investment programme analysis.",</w:t>
      </w:r>
    </w:p>
    <w:p>
      <w:pPr>
        <w:shd w:fill="F0F0F0" w:val="clear"/>
        <w:spacing w:after="14" w:before="14"/>
        <w:ind w:left="360"/>
      </w:pPr>
      <w:r>
        <w:rPr>
          <w:rFonts w:ascii="Courier New" w:cs="Courier New" w:eastAsia="Courier New" w:hAnsi="Courier New"/>
          <w:color w:val="1B2A4A"/>
          <w:sz w:val="16"/>
          <w:szCs w:val="16"/>
        </w:rPr>
        <w:t xml:space="preserve">      "Halal certification strategy|You need a halal certification pathway from an SFDA-approved body that satisfies both Saudi and UAE market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consumer demand for your food product with consumer research and SFDA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food investment covering SFDA and halal certification cost and modern trade distribution economics.",</w:t>
      </w:r>
    </w:p>
    <w:p>
      <w:pPr>
        <w:shd w:fill="F0F0F0" w:val="clear"/>
        <w:spacing w:after="14" w:before="14"/>
        <w:ind w:left="360"/>
      </w:pPr>
      <w:r>
        <w:rPr>
          <w:rFonts w:ascii="Courier New" w:cs="Courier New" w:eastAsia="Courier New" w:hAnsi="Courier New"/>
          <w:color w:val="1B2A4A"/>
          <w:sz w:val="16"/>
          <w:szCs w:val="16"/>
        </w:rPr>
        <w:t xml:space="preserve">      "End-to-end Gulf food market entry including SFDA pathway, halal certification, and modern trade distributor identification.",</w:t>
      </w:r>
    </w:p>
    <w:p>
      <w:pPr>
        <w:shd w:fill="F0F0F0" w:val="clear"/>
        <w:spacing w:after="14" w:before="14"/>
        <w:ind w:left="360"/>
      </w:pPr>
      <w:r>
        <w:rPr>
          <w:rFonts w:ascii="Courier New" w:cs="Courier New" w:eastAsia="Courier New" w:hAnsi="Courier New"/>
          <w:color w:val="1B2A4A"/>
          <w:sz w:val="16"/>
          <w:szCs w:val="16"/>
        </w:rPr>
        <w:t xml:space="preserve">      "Embedded Gulf food GTM team covering modern trade buyer and food e-commerce platform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food investment with food security programme and premium import demand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Gulf consumer food preference prediction to halal supply chain traceability."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packaged food companies or also with beverage, health food, specialty ingredients, and food technology companies entering the Gulf?|All food and beverage categories.",</w:t>
      </w:r>
    </w:p>
    <w:p>
      <w:pPr>
        <w:shd w:fill="F0F0F0" w:val="clear"/>
        <w:spacing w:after="14" w:before="14"/>
        <w:ind w:left="360"/>
      </w:pPr>
      <w:r>
        <w:rPr>
          <w:rFonts w:ascii="Courier New" w:cs="Courier New" w:eastAsia="Courier New" w:hAnsi="Courier New"/>
          <w:color w:val="1B2A4A"/>
          <w:sz w:val="16"/>
          <w:szCs w:val="16"/>
        </w:rPr>
        <w:t xml:space="preserve">      "Which Gulf food and beverage markets does GreyRadius prioritise?|UAE for modern trade accessibility and premium consumer spending; Saudi Arabia for largest Gulf food import market volume.",</w:t>
      </w:r>
    </w:p>
    <w:p>
      <w:pPr>
        <w:shd w:fill="F0F0F0" w:val="clear"/>
        <w:spacing w:after="14" w:before="14"/>
        <w:ind w:left="360"/>
      </w:pPr>
      <w:r>
        <w:rPr>
          <w:rFonts w:ascii="Courier New" w:cs="Courier New" w:eastAsia="Courier New" w:hAnsi="Courier New"/>
          <w:color w:val="1B2A4A"/>
          <w:sz w:val="16"/>
          <w:szCs w:val="16"/>
        </w:rPr>
        <w:t xml:space="preserve">      "How long does a Gulf food engagement take?|Typically 8-12 weeks for consumer demand research, SFDA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Carrefour Gulf, Lulu, and Spinneys category buyer contacts for food brands?|Yes."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food and beverage market entry, SFDA food registration consulting, UAE food GTM strategy, halal food certification advisory, GCC food market entry strategy",</w:t>
      </w:r>
    </w:p>
    <w:p>
      <w:pPr>
        <w:shd w:fill="F0F0F0" w:val="clear"/>
        <w:spacing w:after="14" w:before="14"/>
        <w:ind w:left="360"/>
      </w:pPr>
      <w:r>
        <w:rPr>
          <w:rFonts w:ascii="Courier New" w:cs="Courier New" w:eastAsia="Courier New" w:hAnsi="Courier New"/>
          <w:color w:val="1B2A4A"/>
          <w:sz w:val="16"/>
          <w:szCs w:val="16"/>
        </w:rPr>
        <w:t xml:space="preserve">    "regions": "UAE — Carrefour, Lulu, Spinneys and Noon Food in Dubai and Abu Dhabi; Saudi Arabia — SFDA-registered distributor network nationwide",</w:t>
      </w:r>
    </w:p>
    <w:p>
      <w:pPr>
        <w:shd w:fill="F0F0F0" w:val="clear"/>
        <w:spacing w:after="14" w:before="14"/>
        <w:ind w:left="360"/>
      </w:pPr>
      <w:r>
        <w:rPr>
          <w:rFonts w:ascii="Courier New" w:cs="Courier New" w:eastAsia="Courier New" w:hAnsi="Courier New"/>
          <w:color w:val="1B2A4A"/>
          <w:sz w:val="16"/>
          <w:szCs w:val="16"/>
        </w:rPr>
        <w:t xml:space="preserve">    "stat1n": "$150B",</w:t>
      </w:r>
    </w:p>
    <w:p>
      <w:pPr>
        <w:shd w:fill="F0F0F0" w:val="clear"/>
        <w:spacing w:after="14" w:before="14"/>
        <w:ind w:left="360"/>
      </w:pPr>
      <w:r>
        <w:rPr>
          <w:rFonts w:ascii="Courier New" w:cs="Courier New" w:eastAsia="Courier New" w:hAnsi="Courier New"/>
          <w:color w:val="1B2A4A"/>
          <w:sz w:val="16"/>
          <w:szCs w:val="16"/>
        </w:rPr>
        <w:t xml:space="preserve">    "stat1l": "Gulf food and beverage market by 2030",</w:t>
      </w:r>
    </w:p>
    <w:p>
      <w:pPr>
        <w:shd w:fill="F0F0F0" w:val="clear"/>
        <w:spacing w:after="14" w:before="14"/>
        <w:ind w:left="360"/>
      </w:pPr>
      <w:r>
        <w:rPr>
          <w:rFonts w:ascii="Courier New" w:cs="Courier New" w:eastAsia="Courier New" w:hAnsi="Courier New"/>
          <w:color w:val="1B2A4A"/>
          <w:sz w:val="16"/>
          <w:szCs w:val="16"/>
        </w:rPr>
        <w:t xml:space="preserve">    "stat1b": "85%+ food import dependence, premium consumer spending, and halal certification preference driving 8% annual food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food mandate",</w:t>
      </w:r>
    </w:p>
    <w:p>
      <w:pPr>
        <w:shd w:fill="F0F0F0" w:val="clear"/>
        <w:spacing w:after="14" w:before="14"/>
        <w:ind w:left="360"/>
      </w:pPr>
      <w:r>
        <w:rPr>
          <w:rFonts w:ascii="Courier New" w:cs="Courier New" w:eastAsia="Courier New" w:hAnsi="Courier New"/>
          <w:color w:val="1B2A4A"/>
          <w:sz w:val="16"/>
          <w:szCs w:val="16"/>
        </w:rPr>
        <w:t xml:space="preserve">    "stat2b": "Gulf consumers, Carrefour and Lulu category managers, and food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SFDA regulatory mapping delivers Gulf food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"india-hrtech-market-entry",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"hrtech",</w:t>
      </w:r>
    </w:p>
    <w:p>
      <w:pPr>
        <w:shd w:fill="F0F0F0" w:val="clear"/>
        <w:spacing w:after="14" w:before="14"/>
        <w:ind w:left="360"/>
      </w:pPr>
      <w:r>
        <w:rPr>
          <w:rFonts w:ascii="Courier New" w:cs="Courier New" w:eastAsia="Courier New" w:hAnsi="Courier New"/>
          <w:color w:val="1B2A4A"/>
          <w:sz w:val="16"/>
          <w:szCs w:val="16"/>
        </w:rPr>
        <w:t xml:space="preserve">    "title": "India HRtech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HRtech companies enter India with market entry strategy, enterprise buyer research, HRIS integration strategy,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"h1": "India HRtech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HR technology to Indian enterprise deployment — strategy for HRtech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HRtech market is growing at extraordinary speed — with 63 million MSMEs and 1,000+ large enterprises all investing in workforce management technology, payroll compliance with GST and PF/ESI creating mandatory HRMS adoption, and India's technology and BPO industries requiring enterprise-grade HR platforms. International HRtech companies across HRMS, payroll, talent acquisition, performance management, and employee experience platforms are all evaluating India as a high-growth HRtech market. GreyRadius helps HRtech companies validate Indian enterprise demand, navigate payroll compliance and integration requirements, identify channel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Labour Codes consolidation — merging 29 central labour laws into 4 codes — is creating a mandatory HR technology upgrade cycle across Indian enterprises as compliance requirements change. Companies that position their HRtech as a Labour Codes compliance solution in 2024-2027 will capture enterprise procurement driven by regulatory requirement rather than discretionary technology investment.",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HRtech market is projected to reach $8B by 2027 — growing at 25% annually as MSME formalisation, enterprise HR modernisation, and Labour Codes compliance all drive adoption.",</w:t>
      </w:r>
    </w:p>
    <w:p>
      <w:pPr>
        <w:shd w:fill="F0F0F0" w:val="clear"/>
        <w:spacing w:after="14" w:before="14"/>
        <w:ind w:left="360"/>
      </w:pPr>
      <w:r>
        <w:rPr>
          <w:rFonts w:ascii="Courier New" w:cs="Courier New" w:eastAsia="Courier New" w:hAnsi="Courier New"/>
          <w:color w:val="1B2A4A"/>
          <w:sz w:val="16"/>
          <w:szCs w:val="16"/>
        </w:rPr>
        <w:t xml:space="preserve">      "India's PF, ESI, and TDS payroll compliance complexity is a primary HRtech driver — Indian enterprises require HR platforms that handle statutory compliance across 28+ states with different state-level labour rules.",</w:t>
      </w:r>
    </w:p>
    <w:p>
      <w:pPr>
        <w:shd w:fill="F0F0F0" w:val="clear"/>
        <w:spacing w:after="14" w:before="14"/>
        <w:ind w:left="360"/>
      </w:pPr>
      <w:r>
        <w:rPr>
          <w:rFonts w:ascii="Courier New" w:cs="Courier New" w:eastAsia="Courier New" w:hAnsi="Courier New"/>
          <w:color w:val="1B2A4A"/>
          <w:sz w:val="16"/>
          <w:szCs w:val="16"/>
        </w:rPr>
        <w:t xml:space="preserve">      "Talent acquisition technology is growing fastest — India's 4+ million annual technology graduate output and competitive talent market creating strong demand for ATS, campus recruitment, and talent intelligence platforms.",</w:t>
      </w:r>
    </w:p>
    <w:p>
      <w:pPr>
        <w:shd w:fill="F0F0F0" w:val="clear"/>
        <w:spacing w:after="14" w:before="14"/>
        <w:ind w:left="360"/>
      </w:pPr>
      <w:r>
        <w:rPr>
          <w:rFonts w:ascii="Courier New" w:cs="Courier New" w:eastAsia="Courier New" w:hAnsi="Courier New"/>
          <w:color w:val="1B2A4A"/>
          <w:sz w:val="16"/>
          <w:szCs w:val="16"/>
        </w:rPr>
        <w:t xml:space="preserve">      "Work-from-home adoption has permanently elevated HR tech investment — hybrid work management, digital onboarding, and remote employee engagement platforms all seeing sustained enterprise adoption post-pandemic."</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payroll compliance is highly complex — PF, ESI, PT, TDS, gratuity, and bonus calculations across different state rules require deep India-specific compliance engineering not present in international HR platforms.",</w:t>
      </w:r>
    </w:p>
    <w:p>
      <w:pPr>
        <w:shd w:fill="F0F0F0" w:val="clear"/>
        <w:spacing w:after="14" w:before="14"/>
        <w:ind w:left="360"/>
      </w:pPr>
      <w:r>
        <w:rPr>
          <w:rFonts w:ascii="Courier New" w:cs="Courier New" w:eastAsia="Courier New" w:hAnsi="Courier New"/>
          <w:color w:val="1B2A4A"/>
          <w:sz w:val="16"/>
          <w:szCs w:val="16"/>
        </w:rPr>
        <w:t xml:space="preserve">      "Tally and SAP integration is required for enterprise adoption — Indian enterprises use Tally (for mid-market) and SAP (for large enterprise) as financial systems of record requiring HRtech integration with these platforms.",</w:t>
      </w:r>
    </w:p>
    <w:p>
      <w:pPr>
        <w:shd w:fill="F0F0F0" w:val="clear"/>
        <w:spacing w:after="14" w:before="14"/>
        <w:ind w:left="360"/>
      </w:pPr>
      <w:r>
        <w:rPr>
          <w:rFonts w:ascii="Courier New" w:cs="Courier New" w:eastAsia="Courier New" w:hAnsi="Courier New"/>
          <w:color w:val="1B2A4A"/>
          <w:sz w:val="16"/>
          <w:szCs w:val="16"/>
        </w:rPr>
        <w:t xml:space="preserve">      "Indian HR decision-making is often HR head-driven with CFO veto — understanding the multi-stakeholder HR technology procurement process is critical for enterprise sales cycle management.",</w:t>
      </w:r>
    </w:p>
    <w:p>
      <w:pPr>
        <w:shd w:fill="F0F0F0" w:val="clear"/>
        <w:spacing w:after="14" w:before="14"/>
        <w:ind w:left="360"/>
      </w:pPr>
      <w:r>
        <w:rPr>
          <w:rFonts w:ascii="Courier New" w:cs="Courier New" w:eastAsia="Courier New" w:hAnsi="Courier New"/>
          <w:color w:val="1B2A4A"/>
          <w:sz w:val="16"/>
          <w:szCs w:val="16"/>
        </w:rPr>
        <w:t xml:space="preserve">      "Competition from Indian HRtech incumbents — Darwinbox, Keka, and GreytHR — with deep compliance knowledge and established enterprise relationships is intense across all HRtech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HRtech enterprise demand validation|You need to validate Indian enterprise HR buyer demand for your platform and understand India-specific compliance integration requirements.",</w:t>
      </w:r>
    </w:p>
    <w:p>
      <w:pPr>
        <w:shd w:fill="F0F0F0" w:val="clear"/>
        <w:spacing w:after="14" w:before="14"/>
        <w:ind w:left="360"/>
      </w:pPr>
      <w:r>
        <w:rPr>
          <w:rFonts w:ascii="Courier New" w:cs="Courier New" w:eastAsia="Courier New" w:hAnsi="Courier New"/>
          <w:color w:val="1B2A4A"/>
          <w:sz w:val="16"/>
          <w:szCs w:val="16"/>
        </w:rPr>
        <w:t xml:space="preserve">      "India payroll compliance gap assessment|You need an assessment of the PF, ESI, TDS, and Labour Codes compliance gaps in your current platform and the development investment required for India market readiness.",</w:t>
      </w:r>
    </w:p>
    <w:p>
      <w:pPr>
        <w:shd w:fill="F0F0F0" w:val="clear"/>
        <w:spacing w:after="14" w:before="14"/>
        <w:ind w:left="360"/>
      </w:pPr>
      <w:r>
        <w:rPr>
          <w:rFonts w:ascii="Courier New" w:cs="Courier New" w:eastAsia="Courier New" w:hAnsi="Courier New"/>
          <w:color w:val="1B2A4A"/>
          <w:sz w:val="16"/>
          <w:szCs w:val="16"/>
        </w:rPr>
        <w:t xml:space="preserve">      "India HRtech channel partner identification|You need HRMS implementation partners, payroll processing firms, and HR consulting companies as channel partners.",</w:t>
      </w:r>
    </w:p>
    <w:p>
      <w:pPr>
        <w:shd w:fill="F0F0F0" w:val="clear"/>
        <w:spacing w:after="14" w:before="14"/>
        <w:ind w:left="360"/>
      </w:pPr>
      <w:r>
        <w:rPr>
          <w:rFonts w:ascii="Courier New" w:cs="Courier New" w:eastAsia="Courier New" w:hAnsi="Courier New"/>
          <w:color w:val="1B2A4A"/>
          <w:sz w:val="16"/>
          <w:szCs w:val="16"/>
        </w:rPr>
        <w:t xml:space="preserve">      "India HRtech GTM strategy|You need a go-to-market plan covering enterprise direct sales, HR consulting channel, and Labour Codes compliance positioning.",</w:t>
      </w:r>
    </w:p>
    <w:p>
      <w:pPr>
        <w:shd w:fill="F0F0F0" w:val="clear"/>
        <w:spacing w:after="14" w:before="14"/>
        <w:ind w:left="360"/>
      </w:pPr>
      <w:r>
        <w:rPr>
          <w:rFonts w:ascii="Courier New" w:cs="Courier New" w:eastAsia="Courier New" w:hAnsi="Courier New"/>
          <w:color w:val="1B2A4A"/>
          <w:sz w:val="16"/>
          <w:szCs w:val="16"/>
        </w:rPr>
        <w:t xml:space="preserve">      "Raising capital for India HRtech investment|You need a pitch book grounded in India HRtech market data and Labour Codes compliance driver analysis.",</w:t>
      </w:r>
    </w:p>
    <w:p>
      <w:pPr>
        <w:shd w:fill="F0F0F0" w:val="clear"/>
        <w:spacing w:after="14" w:before="14"/>
        <w:ind w:left="360"/>
      </w:pPr>
      <w:r>
        <w:rPr>
          <w:rFonts w:ascii="Courier New" w:cs="Courier New" w:eastAsia="Courier New" w:hAnsi="Courier New"/>
          <w:color w:val="1B2A4A"/>
          <w:sz w:val="16"/>
          <w:szCs w:val="16"/>
        </w:rPr>
        <w:t xml:space="preserve">      "India HR compliance integration roadmap|You need a specific technical roadmap for implementing India payroll compliance in your platform before enterprise sales can begin."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enterprise HR buyer demand with CHRO and HR head interviews and India compliance integration assessment.",</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HRtech investment covering compliance development cost and enterprise sales cycle economics.",</w:t>
      </w:r>
    </w:p>
    <w:p>
      <w:pPr>
        <w:shd w:fill="F0F0F0" w:val="clear"/>
        <w:spacing w:after="14" w:before="14"/>
        <w:ind w:left="360"/>
      </w:pPr>
      <w:r>
        <w:rPr>
          <w:rFonts w:ascii="Courier New" w:cs="Courier New" w:eastAsia="Courier New" w:hAnsi="Courier New"/>
          <w:color w:val="1B2A4A"/>
          <w:sz w:val="16"/>
          <w:szCs w:val="16"/>
        </w:rPr>
        <w:t xml:space="preserve">      "End-to-end India HRtech market entry including compliance gap roadmap, channel partner identification, and first-enterprise-ARR milestone.",</w:t>
      </w:r>
    </w:p>
    <w:p>
      <w:pPr>
        <w:shd w:fill="F0F0F0" w:val="clear"/>
        <w:spacing w:after="14" w:before="14"/>
        <w:ind w:left="360"/>
      </w:pPr>
      <w:r>
        <w:rPr>
          <w:rFonts w:ascii="Courier New" w:cs="Courier New" w:eastAsia="Courier New" w:hAnsi="Courier New"/>
          <w:color w:val="1B2A4A"/>
          <w:sz w:val="16"/>
          <w:szCs w:val="16"/>
        </w:rPr>
        <w:t xml:space="preserve">      "Embedded India HRtech GTM team covering enterprise HR buyer and implementation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HRtech investment with Labour Codes compliance and enterprise HR modernisation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Indian payroll compliance automation to Hindi language employee self-service."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HRMS companies or also with talent acquisition, performance management, and employee experience platform companies entering India?|All HRtech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HRtech engagement take?|Typically 8-10 weeks for enterprise demand research, compliance gap assessment,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HRtech implementation partners in India?|Yes.",</w:t>
      </w:r>
    </w:p>
    <w:p>
      <w:pPr>
        <w:shd w:fill="F0F0F0" w:val="clear"/>
        <w:spacing w:after="14" w:before="14"/>
        <w:ind w:left="360"/>
      </w:pPr>
      <w:r>
        <w:rPr>
          <w:rFonts w:ascii="Courier New" w:cs="Courier New" w:eastAsia="Courier New" w:hAnsi="Courier New"/>
          <w:color w:val="1B2A4A"/>
          <w:sz w:val="16"/>
          <w:szCs w:val="16"/>
        </w:rPr>
        <w:t xml:space="preserve">      "What India payroll compliance features are mandatory before Indian enterprise adoption?|PF, ESI, PT, TDS, and salary structure compliance are minimum requirements. Labour Codes readiness is increasingly expected by enterprise buyers in 2024-2025."</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HRtech market entry, India HRMS GTM strategy, India payroll compliance consulting, Labour Codes HRtech advisory, India HR technology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Pune enterprise HR buyer concentration",</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"India HRtech market by 2027",</w:t>
      </w:r>
    </w:p>
    <w:p>
      <w:pPr>
        <w:shd w:fill="F0F0F0" w:val="clear"/>
        <w:spacing w:after="14" w:before="14"/>
        <w:ind w:left="360"/>
      </w:pPr>
      <w:r>
        <w:rPr>
          <w:rFonts w:ascii="Courier New" w:cs="Courier New" w:eastAsia="Courier New" w:hAnsi="Courier New"/>
          <w:color w:val="1B2A4A"/>
          <w:sz w:val="16"/>
          <w:szCs w:val="16"/>
        </w:rPr>
        <w:t xml:space="preserve">    "stat1b": "MSME formalisation, Labour Codes compliance, and enterprise HR modernisation driving 25% annual HRtech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HRtech mandate",</w:t>
      </w:r>
    </w:p>
    <w:p>
      <w:pPr>
        <w:shd w:fill="F0F0F0" w:val="clear"/>
        <w:spacing w:after="14" w:before="14"/>
        <w:ind w:left="360"/>
      </w:pPr>
      <w:r>
        <w:rPr>
          <w:rFonts w:ascii="Courier New" w:cs="Courier New" w:eastAsia="Courier New" w:hAnsi="Courier New"/>
          <w:color w:val="1B2A4A"/>
          <w:sz w:val="16"/>
          <w:szCs w:val="16"/>
        </w:rPr>
        <w:t xml:space="preserve">    "stat2b": "Indian CHROs, HR technology buyers, and implementation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HRtech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compliance gap assessment and enterprise buyer research delivers India HRtech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"gulf-hrtech-market-entry",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"hrtech",</w:t>
      </w:r>
    </w:p>
    <w:p>
      <w:pPr>
        <w:shd w:fill="F0F0F0" w:val="clear"/>
        <w:spacing w:after="14" w:before="14"/>
        <w:ind w:left="360"/>
      </w:pPr>
      <w:r>
        <w:rPr>
          <w:rFonts w:ascii="Courier New" w:cs="Courier New" w:eastAsia="Courier New" w:hAnsi="Courier New"/>
          <w:color w:val="1B2A4A"/>
          <w:sz w:val="16"/>
          <w:szCs w:val="16"/>
        </w:rPr>
        <w:t xml:space="preserve">    "title": "Gulf HRtech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HRtech companies enter Gulf markets with market entry strategy, Emiratisation and Saudisation compliance mapping, enterprise buyer research, and partner identification.",</w:t>
      </w:r>
    </w:p>
    <w:p>
      <w:pPr>
        <w:shd w:fill="F0F0F0" w:val="clear"/>
        <w:spacing w:after="14" w:before="14"/>
        <w:ind w:left="360"/>
      </w:pPr>
      <w:r>
        <w:rPr>
          <w:rFonts w:ascii="Courier New" w:cs="Courier New" w:eastAsia="Courier New" w:hAnsi="Courier New"/>
          <w:color w:val="1B2A4A"/>
          <w:sz w:val="16"/>
          <w:szCs w:val="16"/>
        </w:rPr>
        <w:t xml:space="preserve">    "h1": "Gulf HRtech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HR technology to Gulf enterprise workforce management — strategy for HRtech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HRtech market is growing at extraordinary speed — driven by Saudisation (Nitaqat) in Saudi Arabia and Emiratisation in UAE creating mandatory HR compliance technology requirements, Vision 2030 workforce development investment, and Gulf enterprises managing increasingly complex multi-national workforces requiring enterprise HR platforms. International HRtech companies across HRMS, workforce planning, talent development, performance management, and compliance management are all evaluating Gulf market entry. GreyRadius helps HRtech companies validate Gulf CHRO and enterprise demand, navigate Saudisation and Emiratisation compliance requirements, identify implementation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"Emiratisation graduated requirements in UAE are creating immediate HR compliance technology demand — banks, financial services, and professional services firms are all under mandatory Emirati employment percentage requirements with penalties for non-compliance. Every UAE enterprise in a regulated sector needs HR technology that tracks, manages, and reports Emiratisation compliance — creating mandatory procurement that sustains regardless of IT budget cycles.",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HRtech market is projected to reach $3B by 2027 — Saudisation and Emiratisation compliance requirements, Vision 2030 workforce investment, and enterprise HR modernisation all driving adoption.",</w:t>
      </w:r>
    </w:p>
    <w:p>
      <w:pPr>
        <w:shd w:fill="F0F0F0" w:val="clear"/>
        <w:spacing w:after="14" w:before="14"/>
        <w:ind w:left="360"/>
      </w:pPr>
      <w:r>
        <w:rPr>
          <w:rFonts w:ascii="Courier New" w:cs="Courier New" w:eastAsia="Courier New" w:hAnsi="Courier New"/>
          <w:color w:val="1B2A4A"/>
          <w:sz w:val="16"/>
          <w:szCs w:val="16"/>
        </w:rPr>
        <w:t xml:space="preserve">      "Saudisation (Nitaqat) compliance is a $1B+ software requirement in Saudi Arabia — every regulated Saudi employer must track Saudi national employment percentages against sector-specific Nitaqat targets using certified HR systems.",</w:t>
      </w:r>
    </w:p>
    <w:p>
      <w:pPr>
        <w:shd w:fill="F0F0F0" w:val="clear"/>
        <w:spacing w:after="14" w:before="14"/>
        <w:ind w:left="360"/>
      </w:pPr>
      <w:r>
        <w:rPr>
          <w:rFonts w:ascii="Courier New" w:cs="Courier New" w:eastAsia="Courier New" w:hAnsi="Courier New"/>
          <w:color w:val="1B2A4A"/>
          <w:sz w:val="16"/>
          <w:szCs w:val="16"/>
        </w:rPr>
        <w:t xml:space="preserve">      "UAE Emiratisation compliance technology is the fastest-growing Gulf HRtech category — banks, insurance, and professional services firms all requiring Emiratisation tracking and reporting integrated with UAE Ministry of Human Resources systems.",</w:t>
      </w:r>
    </w:p>
    <w:p>
      <w:pPr>
        <w:shd w:fill="F0F0F0" w:val="clear"/>
        <w:spacing w:after="14" w:before="14"/>
        <w:ind w:left="360"/>
      </w:pPr>
      <w:r>
        <w:rPr>
          <w:rFonts w:ascii="Courier New" w:cs="Courier New" w:eastAsia="Courier New" w:hAnsi="Courier New"/>
          <w:color w:val="1B2A4A"/>
          <w:sz w:val="16"/>
          <w:szCs w:val="16"/>
        </w:rPr>
        <w:t xml:space="preserve">      "Gulf workforce analytics is growing as Vision 2030 creates talent development priority — HRMS platforms with workforce planning and skill development tracking capabilities are seeing rapid adoption from Vision 2030 programme entities."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"Saudisation and Emiratisation compliance integration is mandatory — HRtech platforms selling into Gulf enterprises must integrate with GOSI (Saudi), MOHRE (UAE), and country-specific government compliance reporting systems.",</w:t>
      </w:r>
    </w:p>
    <w:p>
      <w:pPr>
        <w:shd w:fill="F0F0F0" w:val="clear"/>
        <w:spacing w:after="14" w:before="14"/>
        <w:ind w:left="360"/>
      </w:pPr>
      <w:r>
        <w:rPr>
          <w:rFonts w:ascii="Courier New" w:cs="Courier New" w:eastAsia="Courier New" w:hAnsi="Courier New"/>
          <w:color w:val="1B2A4A"/>
          <w:sz w:val="16"/>
          <w:szCs w:val="16"/>
        </w:rPr>
        <w:t xml:space="preserve">      "Arabic language interface is required for government reporting and national employee self-service — HRMS platforms without full Arabic language support face adoption barriers with Saudi and Emirati employees.",</w:t>
      </w:r>
    </w:p>
    <w:p>
      <w:pPr>
        <w:shd w:fill="F0F0F0" w:val="clear"/>
        <w:spacing w:after="14" w:before="14"/>
        <w:ind w:left="360"/>
      </w:pPr>
      <w:r>
        <w:rPr>
          <w:rFonts w:ascii="Courier New" w:cs="Courier New" w:eastAsia="Courier New" w:hAnsi="Courier New"/>
          <w:color w:val="1B2A4A"/>
          <w:sz w:val="16"/>
          <w:szCs w:val="16"/>
        </w:rPr>
        <w:t xml:space="preserve">      "Multi-national workforce management is complex in Gulf — Gulf enterprises manage workforces from 30+ countries requiring payroll, visa management, and compliance across multiple nationalities and legal frameworks.",</w:t>
      </w:r>
    </w:p>
    <w:p>
      <w:pPr>
        <w:shd w:fill="F0F0F0" w:val="clear"/>
        <w:spacing w:after="14" w:before="14"/>
        <w:ind w:left="360"/>
      </w:pPr>
      <w:r>
        <w:rPr>
          <w:rFonts w:ascii="Courier New" w:cs="Courier New" w:eastAsia="Courier New" w:hAnsi="Courier New"/>
          <w:color w:val="1B2A4A"/>
          <w:sz w:val="16"/>
          <w:szCs w:val="16"/>
        </w:rPr>
        <w:t xml:space="preserve">      "Gulf enterprise HR procurement is relationship-driven — CHRO relationships at Gulf banks, government entities, and large conglomerates are built through sustained in-person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HRtech enterprise demand validation|You need to validate Gulf CHRO and HR director demand for your platform and understand Saudisation and Emiratisation compliance integration requirements.",</w:t>
      </w:r>
    </w:p>
    <w:p>
      <w:pPr>
        <w:shd w:fill="F0F0F0" w:val="clear"/>
        <w:spacing w:after="14" w:before="14"/>
        <w:ind w:left="360"/>
      </w:pPr>
      <w:r>
        <w:rPr>
          <w:rFonts w:ascii="Courier New" w:cs="Courier New" w:eastAsia="Courier New" w:hAnsi="Courier New"/>
          <w:color w:val="1B2A4A"/>
          <w:sz w:val="16"/>
          <w:szCs w:val="16"/>
        </w:rPr>
        <w:t xml:space="preserve">      "Saudisation and Emiratisation compliance gap assessment|You need an assessment of the GOSI, MOHRE, and Nitaqat integration gaps in your current platform and development investment required for Gulf compliance.",</w:t>
      </w:r>
    </w:p>
    <w:p>
      <w:pPr>
        <w:shd w:fill="F0F0F0" w:val="clear"/>
        <w:spacing w:after="14" w:before="14"/>
        <w:ind w:left="360"/>
      </w:pPr>
      <w:r>
        <w:rPr>
          <w:rFonts w:ascii="Courier New" w:cs="Courier New" w:eastAsia="Courier New" w:hAnsi="Courier New"/>
          <w:color w:val="1B2A4A"/>
          <w:sz w:val="16"/>
          <w:szCs w:val="16"/>
        </w:rPr>
        <w:t xml:space="preserve">      "Gulf HRtech implementation partner identification|You need HRMS implementation partners with Gulf enterprise relationships and Arabic language capability.",</w:t>
      </w:r>
    </w:p>
    <w:p>
      <w:pPr>
        <w:shd w:fill="F0F0F0" w:val="clear"/>
        <w:spacing w:after="14" w:before="14"/>
        <w:ind w:left="360"/>
      </w:pPr>
      <w:r>
        <w:rPr>
          <w:rFonts w:ascii="Courier New" w:cs="Courier New" w:eastAsia="Courier New" w:hAnsi="Courier New"/>
          <w:color w:val="1B2A4A"/>
          <w:sz w:val="16"/>
          <w:szCs w:val="16"/>
        </w:rPr>
        <w:t xml:space="preserve">      "Gulf HRtech GTM strategy|You need a go-to-market plan covering Emiratisation compliance positioning, financial services CHRO outreach, and Vision 2030 programme entity targeting.",</w:t>
      </w:r>
    </w:p>
    <w:p>
      <w:pPr>
        <w:shd w:fill="F0F0F0" w:val="clear"/>
        <w:spacing w:after="14" w:before="14"/>
        <w:ind w:left="360"/>
      </w:pPr>
      <w:r>
        <w:rPr>
          <w:rFonts w:ascii="Courier New" w:cs="Courier New" w:eastAsia="Courier New" w:hAnsi="Courier New"/>
          <w:color w:val="1B2A4A"/>
          <w:sz w:val="16"/>
          <w:szCs w:val="16"/>
        </w:rPr>
        <w:t xml:space="preserve">      "Raising capital for Gulf HRtech investment|You need a pitch book grounded in Gulf HRtech market data and Emiratisation compliance mandate analysis.",</w:t>
      </w:r>
    </w:p>
    <w:p>
      <w:pPr>
        <w:shd w:fill="F0F0F0" w:val="clear"/>
        <w:spacing w:after="14" w:before="14"/>
        <w:ind w:left="360"/>
      </w:pPr>
      <w:r>
        <w:rPr>
          <w:rFonts w:ascii="Courier New" w:cs="Courier New" w:eastAsia="Courier New" w:hAnsi="Courier New"/>
          <w:color w:val="1B2A4A"/>
          <w:sz w:val="16"/>
          <w:szCs w:val="16"/>
        </w:rPr>
        <w:t xml:space="preserve">      "Arabic localisation roadmap|You need a specific Arabic language and Gulf localisation roadmap for your HRMS platform."</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enterprise CHRO demand with HR director interviews and Emiratisation compliance integration assessment.",</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HRtech investment covering compliance development cost and enterprise sales cycle economics.",</w:t>
      </w:r>
    </w:p>
    <w:p>
      <w:pPr>
        <w:shd w:fill="F0F0F0" w:val="clear"/>
        <w:spacing w:after="14" w:before="14"/>
        <w:ind w:left="360"/>
      </w:pPr>
      <w:r>
        <w:rPr>
          <w:rFonts w:ascii="Courier New" w:cs="Courier New" w:eastAsia="Courier New" w:hAnsi="Courier New"/>
          <w:color w:val="1B2A4A"/>
          <w:sz w:val="16"/>
          <w:szCs w:val="16"/>
        </w:rPr>
        <w:t xml:space="preserve">      "End-to-end Gulf HRtech market entry including compliance gap roadmap, implementation partner identification, and first-enterprise-ARR milestone.",</w:t>
      </w:r>
    </w:p>
    <w:p>
      <w:pPr>
        <w:shd w:fill="F0F0F0" w:val="clear"/>
        <w:spacing w:after="14" w:before="14"/>
        <w:ind w:left="360"/>
      </w:pPr>
      <w:r>
        <w:rPr>
          <w:rFonts w:ascii="Courier New" w:cs="Courier New" w:eastAsia="Courier New" w:hAnsi="Courier New"/>
          <w:color w:val="1B2A4A"/>
          <w:sz w:val="16"/>
          <w:szCs w:val="16"/>
        </w:rPr>
        <w:t xml:space="preserve">      "Embedded Gulf HRtech GTM team covering enterprise CHRO and Vision 2030 programme entity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HRtech investment with Emiratisation compliance and Vision 2030 workforce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employee self-service to automated Saudisation compliance reporting."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HRMS companies or also with talent acquisition, performance management, and workforce analytics companies entering the Gulf?|All HRtech categories.",</w:t>
      </w:r>
    </w:p>
    <w:p>
      <w:pPr>
        <w:shd w:fill="F0F0F0" w:val="clear"/>
        <w:spacing w:after="14" w:before="14"/>
        <w:ind w:left="360"/>
      </w:pPr>
      <w:r>
        <w:rPr>
          <w:rFonts w:ascii="Courier New" w:cs="Courier New" w:eastAsia="Courier New" w:hAnsi="Courier New"/>
          <w:color w:val="1B2A4A"/>
          <w:sz w:val="16"/>
          <w:szCs w:val="16"/>
        </w:rPr>
        <w:t xml:space="preserve">      "Which Gulf HRtech markets does GreyRadius prioritise?|UAE for Emiratisation compliance mandate scale and financial services concentration; Saudi Arabia for Nitaqat Saudisation requirement volume.",</w:t>
      </w:r>
    </w:p>
    <w:p>
      <w:pPr>
        <w:shd w:fill="F0F0F0" w:val="clear"/>
        <w:spacing w:after="14" w:before="14"/>
        <w:ind w:left="360"/>
      </w:pPr>
      <w:r>
        <w:rPr>
          <w:rFonts w:ascii="Courier New" w:cs="Courier New" w:eastAsia="Courier New" w:hAnsi="Courier New"/>
          <w:color w:val="1B2A4A"/>
          <w:sz w:val="16"/>
          <w:szCs w:val="16"/>
        </w:rPr>
        <w:t xml:space="preserve">      "How long does a Gulf HRtech engagement take?|Typically 8-12 weeks for enterprise demand research, compliance gap assessment, and implementation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Gulf HRtech implementation partners with Arabic language capability?|Yes."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HRtech market entry, UAE Emiratisation HRtech GTM, Saudi Arabia Saudisation HRMS consulting, Gulf workforce management advisory, GCC HRtech market entry",</w:t>
      </w:r>
    </w:p>
    <w:p>
      <w:pPr>
        <w:shd w:fill="F0F0F0" w:val="clear"/>
        <w:spacing w:after="14" w:before="14"/>
        <w:ind w:left="360"/>
      </w:pPr>
      <w:r>
        <w:rPr>
          <w:rFonts w:ascii="Courier New" w:cs="Courier New" w:eastAsia="Courier New" w:hAnsi="Courier New"/>
          <w:color w:val="1B2A4A"/>
          <w:sz w:val="16"/>
          <w:szCs w:val="16"/>
        </w:rPr>
        <w:t xml:space="preserve">    "regions": "UAE — Emiratisation-mandated financial services and professional services in Dubai and Abu Dhabi; Saudi Arabia — Nitaqat-compliant employers across Kingdom",</w:t>
      </w:r>
    </w:p>
    <w:p>
      <w:pPr>
        <w:shd w:fill="F0F0F0" w:val="clear"/>
        <w:spacing w:after="14" w:before="14"/>
        <w:ind w:left="360"/>
      </w:pPr>
      <w:r>
        <w:rPr>
          <w:rFonts w:ascii="Courier New" w:cs="Courier New" w:eastAsia="Courier New" w:hAnsi="Courier New"/>
          <w:color w:val="1B2A4A"/>
          <w:sz w:val="16"/>
          <w:szCs w:val="16"/>
        </w:rPr>
        <w:t xml:space="preserve">    "stat1n": "$3B",</w:t>
      </w:r>
    </w:p>
    <w:p>
      <w:pPr>
        <w:shd w:fill="F0F0F0" w:val="clear"/>
        <w:spacing w:after="14" w:before="14"/>
        <w:ind w:left="360"/>
      </w:pPr>
      <w:r>
        <w:rPr>
          <w:rFonts w:ascii="Courier New" w:cs="Courier New" w:eastAsia="Courier New" w:hAnsi="Courier New"/>
          <w:color w:val="1B2A4A"/>
          <w:sz w:val="16"/>
          <w:szCs w:val="16"/>
        </w:rPr>
        <w:t xml:space="preserve">    "stat1l": "Gulf HRtech market by 2027",</w:t>
      </w:r>
    </w:p>
    <w:p>
      <w:pPr>
        <w:shd w:fill="F0F0F0" w:val="clear"/>
        <w:spacing w:after="14" w:before="14"/>
        <w:ind w:left="360"/>
      </w:pPr>
      <w:r>
        <w:rPr>
          <w:rFonts w:ascii="Courier New" w:cs="Courier New" w:eastAsia="Courier New" w:hAnsi="Courier New"/>
          <w:color w:val="1B2A4A"/>
          <w:sz w:val="16"/>
          <w:szCs w:val="16"/>
        </w:rPr>
        <w:t xml:space="preserve">    "stat1b": "Saudisation and Emiratisation compliance mandates, Vision 2030 workforce investment, and enterprise HR modernisation driving rapid adoption.",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HRtech mandate",</w:t>
      </w:r>
    </w:p>
    <w:p>
      <w:pPr>
        <w:shd w:fill="F0F0F0" w:val="clear"/>
        <w:spacing w:after="14" w:before="14"/>
        <w:ind w:left="360"/>
      </w:pPr>
      <w:r>
        <w:rPr>
          <w:rFonts w:ascii="Courier New" w:cs="Courier New" w:eastAsia="Courier New" w:hAnsi="Courier New"/>
          <w:color w:val="1B2A4A"/>
          <w:sz w:val="16"/>
          <w:szCs w:val="16"/>
        </w:rPr>
        <w:t xml:space="preserve">    "stat2b": "Gulf CHROs, HR compliance heads, and HRtech implementation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HRtech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compliance gap assessment and enterprise demand research delivers Gulf HRtech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"india-wealthtech-market-entry",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"wealthtech",</w:t>
      </w:r>
    </w:p>
    <w:p>
      <w:pPr>
        <w:shd w:fill="F0F0F0" w:val="clear"/>
        <w:spacing w:after="14" w:before="14"/>
        <w:ind w:left="360"/>
      </w:pPr>
      <w:r>
        <w:rPr>
          <w:rFonts w:ascii="Courier New" w:cs="Courier New" w:eastAsia="Courier New" w:hAnsi="Courier New"/>
          <w:color w:val="1B2A4A"/>
          <w:sz w:val="16"/>
          <w:szCs w:val="16"/>
        </w:rPr>
        <w:t xml:space="preserve">    "title": "India Wealthtech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wealthtech companies enter India with market entry strategy, SEBI regulatory mapping, HNI demand validation,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"h1": "India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wealth technology to Indian HNI investor — strategy for wealthtech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wealthtech market is one of the world's most significant growth opportunities — with 350,000+ High Net Worth Individuals holding $1T+ in investable assets growing at 11% annually, India's equity market delivering 15%+ CAGR creating strong wealth creation momentum, and SEBI's Registered Investment Adviser and Portfolio Manager frameworks creating regulatory infrastructure for digital wealth management. International wealthtech companies across robo-advisory platforms, alternative investment marketplaces, digital portfolio management tools, and family office technology are all evaluating India as a priority wealthtech market. GreyRadius helps wealthtech companies validate Indian HNI demand, navigate SEBI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"SEBI's regulatory framework for digital wealth management is maturing — RIA and Portfolio Manager categories are both now well-defined with clear compliance pathways. SEBI's ASBA-equivalent for secondary market transactions and the increasing digitisation of mutual fund and alternative investment distribution are all creating infrastructure for wealthtech companies to build scalable India businesses.",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wealthtech market is projected to reach $60B in AUM by 2027 — growing at 25% annually as HNI wealth creation, digital investment adoption, and alternative investment awareness all scale.",</w:t>
      </w:r>
    </w:p>
    <w:p>
      <w:pPr>
        <w:shd w:fill="F0F0F0" w:val="clear"/>
        <w:spacing w:after="14" w:before="14"/>
        <w:ind w:left="360"/>
      </w:pPr>
      <w:r>
        <w:rPr>
          <w:rFonts w:ascii="Courier New" w:cs="Courier New" w:eastAsia="Courier New" w:hAnsi="Courier New"/>
          <w:color w:val="1B2A4A"/>
          <w:sz w:val="16"/>
          <w:szCs w:val="16"/>
        </w:rPr>
        <w:t xml:space="preserve">      "India's equity SIP market is creating mass-affluent investor adoption — 50 million+ SIP investors creating a digital investment habit that wealthtech platforms can build upon with advisory and premium investment products.",</w:t>
      </w:r>
    </w:p>
    <w:p>
      <w:pPr>
        <w:shd w:fill="F0F0F0" w:val="clear"/>
        <w:spacing w:after="14" w:before="14"/>
        <w:ind w:left="360"/>
      </w:pPr>
      <w:r>
        <w:rPr>
          <w:rFonts w:ascii="Courier New" w:cs="Courier New" w:eastAsia="Courier New" w:hAnsi="Courier New"/>
          <w:color w:val="1B2A4A"/>
          <w:sz w:val="16"/>
          <w:szCs w:val="16"/>
        </w:rPr>
        <w:t xml:space="preserve">      "Alternative investment adoption is accelerating among India HNIs — PMS, AIF, and structured products growing at 30% annually as Indian HNIs seek returns beyond traditional equity and fixed income.",</w:t>
      </w:r>
    </w:p>
    <w:p>
      <w:pPr>
        <w:shd w:fill="F0F0F0" w:val="clear"/>
        <w:spacing w:after="14" w:before="14"/>
        <w:ind w:left="360"/>
      </w:pPr>
      <w:r>
        <w:rPr>
          <w:rFonts w:ascii="Courier New" w:cs="Courier New" w:eastAsia="Courier New" w:hAnsi="Courier New"/>
          <w:color w:val="1B2A4A"/>
          <w:sz w:val="16"/>
          <w:szCs w:val="16"/>
        </w:rPr>
        <w:t xml:space="preserve">      "International investment interest is growing among India HNIs — Liberalised Remittance Scheme utilisation growing as India HNIs diversify into global equity, real estate, and alternative assets."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"SEBI RIA and Portfolio Manager registration is mandatory for wealth advisory — registration requires minimum net worth, qualified personnel, compliance systems, and ongoing SEBI reporting obligations.",</w:t>
      </w:r>
    </w:p>
    <w:p>
      <w:pPr>
        <w:shd w:fill="F0F0F0" w:val="clear"/>
        <w:spacing w:after="14" w:before="14"/>
        <w:ind w:left="360"/>
      </w:pPr>
      <w:r>
        <w:rPr>
          <w:rFonts w:ascii="Courier New" w:cs="Courier New" w:eastAsia="Courier New" w:hAnsi="Courier New"/>
          <w:color w:val="1B2A4A"/>
          <w:sz w:val="16"/>
          <w:szCs w:val="16"/>
        </w:rPr>
        <w:t xml:space="preserve">      "Indian HNI trust requires sustained relationship investment — wealth management relationships in India are built over years through demonstrated performance and personal credibility, not digital marketing.",</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Indian wealth managers — Kotak Private Banking, IIFL Wealth, and Motilal Oswal Private Wealth — with deep HNI relationships is intense across all wealth management segments.",</w:t>
      </w:r>
    </w:p>
    <w:p>
      <w:pPr>
        <w:shd w:fill="F0F0F0" w:val="clear"/>
        <w:spacing w:after="14" w:before="14"/>
        <w:ind w:left="360"/>
      </w:pPr>
      <w:r>
        <w:rPr>
          <w:rFonts w:ascii="Courier New" w:cs="Courier New" w:eastAsia="Courier New" w:hAnsi="Courier New"/>
          <w:color w:val="1B2A4A"/>
          <w:sz w:val="16"/>
          <w:szCs w:val="16"/>
        </w:rPr>
        <w:t xml:space="preserve">      "LRS restrictions limit international investment product propositions — the $250,000 annual offshore investment limit affects the size of international investment AUM that Indian HNI clients can deploy."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wealthtech HNI demand validation|You need to validate Indian HNI demand for your wealthtech product including investment appetite, preferred asset classes, and digital platform adoption.",</w:t>
      </w:r>
    </w:p>
    <w:p>
      <w:pPr>
        <w:shd w:fill="F0F0F0" w:val="clear"/>
        <w:spacing w:after="14" w:before="14"/>
        <w:ind w:left="360"/>
      </w:pPr>
      <w:r>
        <w:rPr>
          <w:rFonts w:ascii="Courier New" w:cs="Courier New" w:eastAsia="Courier New" w:hAnsi="Courier New"/>
          <w:color w:val="1B2A4A"/>
          <w:sz w:val="16"/>
          <w:szCs w:val="16"/>
        </w:rPr>
        <w:t xml:space="preserve">      "SEBI RIA and Portfolio Manager regulatory pathway|You need to understand SEBI registration requirements, compliance obligations, and qualified person requirements for your wealthtech category.",</w:t>
      </w:r>
    </w:p>
    <w:p>
      <w:pPr>
        <w:shd w:fill="F0F0F0" w:val="clear"/>
        <w:spacing w:after="14" w:before="14"/>
        <w:ind w:left="360"/>
      </w:pPr>
      <w:r>
        <w:rPr>
          <w:rFonts w:ascii="Courier New" w:cs="Courier New" w:eastAsia="Courier New" w:hAnsi="Courier New"/>
          <w:color w:val="1B2A4A"/>
          <w:sz w:val="16"/>
          <w:szCs w:val="16"/>
        </w:rPr>
        <w:t xml:space="preserve">      "India wealthtech distribution partner identification|You need RIA networks, private bank distribution relationships, and family office technology access partnerships.",</w:t>
      </w:r>
    </w:p>
    <w:p>
      <w:pPr>
        <w:shd w:fill="F0F0F0" w:val="clear"/>
        <w:spacing w:after="14" w:before="14"/>
        <w:ind w:left="360"/>
      </w:pPr>
      <w:r>
        <w:rPr>
          <w:rFonts w:ascii="Courier New" w:cs="Courier New" w:eastAsia="Courier New" w:hAnsi="Courier New"/>
          <w:color w:val="1B2A4A"/>
          <w:sz w:val="16"/>
          <w:szCs w:val="16"/>
        </w:rPr>
        <w:t xml:space="preserve">      "India wealthtech GTM strategy|You need a go-to-market plan covering HNI acquisition, RIA channel distribution, and alternative investment product positioning.",</w:t>
      </w:r>
    </w:p>
    <w:p>
      <w:pPr>
        <w:shd w:fill="F0F0F0" w:val="clear"/>
        <w:spacing w:after="14" w:before="14"/>
        <w:ind w:left="360"/>
      </w:pPr>
      <w:r>
        <w:rPr>
          <w:rFonts w:ascii="Courier New" w:cs="Courier New" w:eastAsia="Courier New" w:hAnsi="Courier New"/>
          <w:color w:val="1B2A4A"/>
          <w:sz w:val="16"/>
          <w:szCs w:val="16"/>
        </w:rPr>
        <w:t xml:space="preserve">      "Raising capital for India wealthtech investment|You need a pitch book grounded in India HNI market data and alternative investment adoption analysis.",</w:t>
      </w:r>
    </w:p>
    <w:p>
      <w:pPr>
        <w:shd w:fill="F0F0F0" w:val="clear"/>
        <w:spacing w:after="14" w:before="14"/>
        <w:ind w:left="360"/>
      </w:pPr>
      <w:r>
        <w:rPr>
          <w:rFonts w:ascii="Courier New" w:cs="Courier New" w:eastAsia="Courier New" w:hAnsi="Courier New"/>
          <w:color w:val="1B2A4A"/>
          <w:sz w:val="16"/>
          <w:szCs w:val="16"/>
        </w:rPr>
        <w:t xml:space="preserve">      "LRS and international investment strategy|You need an LRS-compliant international investment product strategy that maximises addressable AUM within regulatory constraints."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HNI demand for your wealthtech product with investor interviews and SEBI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wealthtech investment covering SEBI compliance cost and AUM economics.",</w:t>
      </w:r>
    </w:p>
    <w:p>
      <w:pPr>
        <w:shd w:fill="F0F0F0" w:val="clear"/>
        <w:spacing w:after="14" w:before="14"/>
        <w:ind w:left="360"/>
      </w:pPr>
      <w:r>
        <w:rPr>
          <w:rFonts w:ascii="Courier New" w:cs="Courier New" w:eastAsia="Courier New" w:hAnsi="Courier New"/>
          <w:color w:val="1B2A4A"/>
          <w:sz w:val="16"/>
          <w:szCs w:val="16"/>
        </w:rPr>
        <w:t xml:space="preserve">      "End-to-end India wealthtech market entry including SEBI pathway, RIA distribution partner identification, and first-AUM milestone.",</w:t>
      </w:r>
    </w:p>
    <w:p>
      <w:pPr>
        <w:shd w:fill="F0F0F0" w:val="clear"/>
        <w:spacing w:after="14" w:before="14"/>
        <w:ind w:left="360"/>
      </w:pPr>
      <w:r>
        <w:rPr>
          <w:rFonts w:ascii="Courier New" w:cs="Courier New" w:eastAsia="Courier New" w:hAnsi="Courier New"/>
          <w:color w:val="1B2A4A"/>
          <w:sz w:val="16"/>
          <w:szCs w:val="16"/>
        </w:rPr>
        <w:t xml:space="preserve">      "Embedded India wealthtech GTM team covering HNI acquisition and distribution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wealthtech investment with HNI wealth creation and alternative investment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HNI portfolio personalisation to SEBI compliance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robo-advisory companies or also with alternative investment platforms, family office technology, and digital PMS companies entering India?|All wealthtech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wealthtech engagement take?|Typically 8-12 weeks for HNI demand research, SEBI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SEBI RIA networks and private bank distribution partners for wealthtech companies?|Yes.",</w:t>
      </w:r>
    </w:p>
    <w:p>
      <w:pPr>
        <w:shd w:fill="F0F0F0" w:val="clear"/>
        <w:spacing w:after="14" w:before="14"/>
        <w:ind w:left="360"/>
      </w:pPr>
      <w:r>
        <w:rPr>
          <w:rFonts w:ascii="Courier New" w:cs="Courier New" w:eastAsia="Courier New" w:hAnsi="Courier New"/>
          <w:color w:val="1B2A4A"/>
          <w:sz w:val="16"/>
          <w:szCs w:val="16"/>
        </w:rPr>
        <w:t xml:space="preserve">      "How does India's LRS limit affect wealthtech market entry strategy?|LRS creates a $250,000 annual per-investor international investment cap — we develop LRS-compliant international product strategies in every India wealthtech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wealthtech market entry, SEBI RIA consulting, India HNI investment GTM strategy, India wealth management advisory, India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Pune — India's primary HNI and wealth management markets",</w:t>
      </w:r>
    </w:p>
    <w:p>
      <w:pPr>
        <w:shd w:fill="F0F0F0" w:val="clear"/>
        <w:spacing w:after="14" w:before="14"/>
        <w:ind w:left="360"/>
      </w:pPr>
      <w:r>
        <w:rPr>
          <w:rFonts w:ascii="Courier New" w:cs="Courier New" w:eastAsia="Courier New" w:hAnsi="Courier New"/>
          <w:color w:val="1B2A4A"/>
          <w:sz w:val="16"/>
          <w:szCs w:val="16"/>
        </w:rPr>
        <w:t xml:space="preserve">    "stat1n": "$60B",</w:t>
      </w:r>
    </w:p>
    <w:p>
      <w:pPr>
        <w:shd w:fill="F0F0F0" w:val="clear"/>
        <w:spacing w:after="14" w:before="14"/>
        <w:ind w:left="360"/>
      </w:pPr>
      <w:r>
        <w:rPr>
          <w:rFonts w:ascii="Courier New" w:cs="Courier New" w:eastAsia="Courier New" w:hAnsi="Courier New"/>
          <w:color w:val="1B2A4A"/>
          <w:sz w:val="16"/>
          <w:szCs w:val="16"/>
        </w:rPr>
        <w:t xml:space="preserve">    "stat1l": "India wealthtech AUM by 2027",</w:t>
      </w:r>
    </w:p>
    <w:p>
      <w:pPr>
        <w:shd w:fill="F0F0F0" w:val="clear"/>
        <w:spacing w:after="14" w:before="14"/>
        <w:ind w:left="360"/>
      </w:pPr>
      <w:r>
        <w:rPr>
          <w:rFonts w:ascii="Courier New" w:cs="Courier New" w:eastAsia="Courier New" w:hAnsi="Courier New"/>
          <w:color w:val="1B2A4A"/>
          <w:sz w:val="16"/>
          <w:szCs w:val="16"/>
        </w:rPr>
        <w:t xml:space="preserve">    "stat1b": "HNI wealth creation momentum, digital investment adoption, and alternative investment awareness driving 25% annual wealthtech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wealthtech mandate",</w:t>
      </w:r>
    </w:p>
    <w:p>
      <w:pPr>
        <w:shd w:fill="F0F0F0" w:val="clear"/>
        <w:spacing w:after="14" w:before="14"/>
        <w:ind w:left="360"/>
      </w:pPr>
      <w:r>
        <w:rPr>
          <w:rFonts w:ascii="Courier New" w:cs="Courier New" w:eastAsia="Courier New" w:hAnsi="Courier New"/>
          <w:color w:val="1B2A4A"/>
          <w:sz w:val="16"/>
          <w:szCs w:val="16"/>
        </w:rPr>
        <w:t xml:space="preserve">    "stat2b": "Indian HNI investors, SEBI-registered RIAs, and private bank wealth heads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HNI demand research and SEBI regulatory mapping delivers India wealthtech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"gulf-wealthtech-market-entry",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"wealthtech",</w:t>
      </w:r>
    </w:p>
    <w:p>
      <w:pPr>
        <w:shd w:fill="F0F0F0" w:val="clear"/>
        <w:spacing w:after="14" w:before="14"/>
        <w:ind w:left="360"/>
      </w:pPr>
      <w:r>
        <w:rPr>
          <w:rFonts w:ascii="Courier New" w:cs="Courier New" w:eastAsia="Courier New" w:hAnsi="Courier New"/>
          <w:color w:val="1B2A4A"/>
          <w:sz w:val="16"/>
          <w:szCs w:val="16"/>
        </w:rPr>
        <w:t xml:space="preserve">    "title": "Gulf Wealthtech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wealthtech companies enter Gulf markets with market entry strategy, CBUAE and DFSA regulatory mapping, HNI demand validation, and private banking partner identification.",</w:t>
      </w:r>
    </w:p>
    <w:p>
      <w:pPr>
        <w:shd w:fill="F0F0F0" w:val="clear"/>
        <w:spacing w:after="14" w:before="14"/>
        <w:ind w:left="360"/>
      </w:pPr>
      <w:r>
        <w:rPr>
          <w:rFonts w:ascii="Courier New" w:cs="Courier New" w:eastAsia="Courier New" w:hAnsi="Courier New"/>
          <w:color w:val="1B2A4A"/>
          <w:sz w:val="16"/>
          <w:szCs w:val="16"/>
        </w:rPr>
        <w:t xml:space="preserve">    "h1": "Gulf wealthtech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wealth technology to Gulf HNI investor — strategy for wealthtech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wealthtech market is one of the world's most commercially attractive — with Gulf HNIs among the world's highest per-capita wealth holders, sovereign wealth funds creating institutional demand for wealth management technology, DIFC and ADGM providing sophisticated financial regulation for wealthtech innovation, and Vision 2030 creating new wealthy entrepreneurs across Saudi Arabia. International wealthtech companies across digital private banking, family office platforms, alternative investment marketplaces, and portfolio management technology are all evaluating Gulf market entry. GreyRadius helps wealthtech companies validate Gulf HNI and institutional demand, navigate DFSA and CBUAE regulatory requirements, identify private banking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"DIFC's FinTech Hive and ADGM's regulatory sandbox are both actively supporting wealthtech innovation — international wealthtech companies can test and validate Gulf business models under regulatory sandbox conditions before committing to full licensing investment. The wealthtech companies that establish Gulf regulatory relationships in 2024-2027 will be positioned for the accelerating Gulf wealth management digitalisation that follows.",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wealthtech market is projected to reach $5B in platform AUM by 2027 — growing at 20% annually as Gulf HNI wealth, alternative investment adoption, and digital wealth management infrastructure all scale.",</w:t>
      </w:r>
    </w:p>
    <w:p>
      <w:pPr>
        <w:shd w:fill="F0F0F0" w:val="clear"/>
        <w:spacing w:after="14" w:before="14"/>
        <w:ind w:left="360"/>
      </w:pPr>
      <w:r>
        <w:rPr>
          <w:rFonts w:ascii="Courier New" w:cs="Courier New" w:eastAsia="Courier New" w:hAnsi="Courier New"/>
          <w:color w:val="1B2A4A"/>
          <w:sz w:val="16"/>
          <w:szCs w:val="16"/>
        </w:rPr>
        <w:t xml:space="preserve">      "DIFC has the most sophisticated wealthtech regulatory framework in the Middle East — DFSA licences for investment managers, financial advisers, and payment services create clear pathways for international wealthtech companies.",</w:t>
      </w:r>
    </w:p>
    <w:p>
      <w:pPr>
        <w:shd w:fill="F0F0F0" w:val="clear"/>
        <w:spacing w:after="14" w:before="14"/>
        <w:ind w:left="360"/>
      </w:pPr>
      <w:r>
        <w:rPr>
          <w:rFonts w:ascii="Courier New" w:cs="Courier New" w:eastAsia="Courier New" w:hAnsi="Courier New"/>
          <w:color w:val="1B2A4A"/>
          <w:sz w:val="16"/>
          <w:szCs w:val="16"/>
        </w:rPr>
        <w:t xml:space="preserve">      "Gulf family office assets exceed $500B — the world's most concentrated family office wealth creating extraordinary demand for sophisticated family office technology platforms and multi-generational wealth management tools.",</w:t>
      </w:r>
    </w:p>
    <w:p>
      <w:pPr>
        <w:shd w:fill="F0F0F0" w:val="clear"/>
        <w:spacing w:after="14" w:before="14"/>
        <w:ind w:left="360"/>
      </w:pPr>
      <w:r>
        <w:rPr>
          <w:rFonts w:ascii="Courier New" w:cs="Courier New" w:eastAsia="Courier New" w:hAnsi="Courier New"/>
          <w:color w:val="1B2A4A"/>
          <w:sz w:val="16"/>
          <w:szCs w:val="16"/>
        </w:rPr>
        <w:t xml:space="preserve">      "Saudi Arabia's Vision 2030 is creating first-generation HNI wealth at scale — entrepreneur liquidity events, Vision 2030 programme executive compensation, and privatisation proceeds are all creating new Saudi HNI wealth requiring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"DFSA and CBUAE licensing requirements are significant — investment manager and financial adviser licences in DIFC require minimum capital, qualified personnel, and compliance infrastructure investment.",</w:t>
      </w:r>
    </w:p>
    <w:p>
      <w:pPr>
        <w:shd w:fill="F0F0F0" w:val="clear"/>
        <w:spacing w:after="14" w:before="14"/>
        <w:ind w:left="360"/>
      </w:pPr>
      <w:r>
        <w:rPr>
          <w:rFonts w:ascii="Courier New" w:cs="Courier New" w:eastAsia="Courier New" w:hAnsi="Courier New"/>
          <w:color w:val="1B2A4A"/>
          <w:sz w:val="16"/>
          <w:szCs w:val="16"/>
        </w:rPr>
        <w:t xml:space="preserve">      "Gulf HNI relationships are personal and trust-based — wealth management in Gulf is built through family introductions, trusted intermediaries, and sustained in-person engagement rather than digital acquisition.",</w:t>
      </w:r>
    </w:p>
    <w:p>
      <w:pPr>
        <w:shd w:fill="F0F0F0" w:val="clear"/>
        <w:spacing w:after="14" w:before="14"/>
        <w:ind w:left="360"/>
      </w:pPr>
      <w:r>
        <w:rPr>
          <w:rFonts w:ascii="Courier New" w:cs="Courier New" w:eastAsia="Courier New" w:hAnsi="Courier New"/>
          <w:color w:val="1B2A4A"/>
          <w:sz w:val="16"/>
          <w:szCs w:val="16"/>
        </w:rPr>
        <w:t xml:space="preserve">      "Cultural and religious preferences affect product design — Shariah-compliant investment options are expected by Gulf Muslim HNI clients requiring Islamic finance-compatible product structures.",</w:t>
      </w:r>
    </w:p>
    <w:p>
      <w:pPr>
        <w:shd w:fill="F0F0F0" w:val="clear"/>
        <w:spacing w:after="14" w:before="14"/>
        <w:ind w:left="360"/>
      </w:pPr>
      <w:r>
        <w:rPr>
          <w:rFonts w:ascii="Courier New" w:cs="Courier New" w:eastAsia="Courier New" w:hAnsi="Courier New"/>
          <w:color w:val="1B2A4A"/>
          <w:sz w:val="16"/>
          <w:szCs w:val="16"/>
        </w:rPr>
        <w:t xml:space="preserve">      "Competition from established private banks — UBS, Julius Baer, and Credit Suisse successor entities — with existing Gulf HNI relationships is intense in the ultra-high-net-worth segment."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wealthtech HNI demand validation|You need to validate Gulf HNI demand for your wealthtech platform including investment appetite, Shariah compliance preferences, and digital adoption.",</w:t>
      </w:r>
    </w:p>
    <w:p>
      <w:pPr>
        <w:shd w:fill="F0F0F0" w:val="clear"/>
        <w:spacing w:after="14" w:before="14"/>
        <w:ind w:left="360"/>
      </w:pPr>
      <w:r>
        <w:rPr>
          <w:rFonts w:ascii="Courier New" w:cs="Courier New" w:eastAsia="Courier New" w:hAnsi="Courier New"/>
          <w:color w:val="1B2A4A"/>
          <w:sz w:val="16"/>
          <w:szCs w:val="16"/>
        </w:rPr>
        <w:t xml:space="preserve">      "DFSA and CBUAE regulatory pathway|You need to understand DFSA investment manager licence requirements, DIFC regulatory sandbox access, and ADGM FSRA wealthtech framework.",</w:t>
      </w:r>
    </w:p>
    <w:p>
      <w:pPr>
        <w:shd w:fill="F0F0F0" w:val="clear"/>
        <w:spacing w:after="14" w:before="14"/>
        <w:ind w:left="360"/>
      </w:pPr>
      <w:r>
        <w:rPr>
          <w:rFonts w:ascii="Courier New" w:cs="Courier New" w:eastAsia="Courier New" w:hAnsi="Courier New"/>
          <w:color w:val="1B2A4A"/>
          <w:sz w:val="16"/>
          <w:szCs w:val="16"/>
        </w:rPr>
        <w:t xml:space="preserve">      "Gulf wealthtech distribution partner identification|You need DIFC private bank distribution relationships, Gulf family office technology access, and Islamic finance-compatible product partnerships.",</w:t>
      </w:r>
    </w:p>
    <w:p>
      <w:pPr>
        <w:shd w:fill="F0F0F0" w:val="clear"/>
        <w:spacing w:after="14" w:before="14"/>
        <w:ind w:left="360"/>
      </w:pPr>
      <w:r>
        <w:rPr>
          <w:rFonts w:ascii="Courier New" w:cs="Courier New" w:eastAsia="Courier New" w:hAnsi="Courier New"/>
          <w:color w:val="1B2A4A"/>
          <w:sz w:val="16"/>
          <w:szCs w:val="16"/>
        </w:rPr>
        <w:t xml:space="preserve">      "Gulf wealthtech GTM strategy|You need a go-to-market plan covering DIFC HNI acquisition, family office technology positioning, and Vision 2030 new wealth targeting.",</w:t>
      </w:r>
    </w:p>
    <w:p>
      <w:pPr>
        <w:shd w:fill="F0F0F0" w:val="clear"/>
        <w:spacing w:after="14" w:before="14"/>
        <w:ind w:left="360"/>
      </w:pPr>
      <w:r>
        <w:rPr>
          <w:rFonts w:ascii="Courier New" w:cs="Courier New" w:eastAsia="Courier New" w:hAnsi="Courier New"/>
          <w:color w:val="1B2A4A"/>
          <w:sz w:val="16"/>
          <w:szCs w:val="16"/>
        </w:rPr>
        <w:t xml:space="preserve">      "Raising capital for Gulf wealthtech investment|You need a pitch book grounded in Gulf HNI wealth data and family office technology opportunity analysis.",</w:t>
      </w:r>
    </w:p>
    <w:p>
      <w:pPr>
        <w:shd w:fill="F0F0F0" w:val="clear"/>
        <w:spacing w:after="14" w:before="14"/>
        <w:ind w:left="360"/>
      </w:pPr>
      <w:r>
        <w:rPr>
          <w:rFonts w:ascii="Courier New" w:cs="Courier New" w:eastAsia="Courier New" w:hAnsi="Courier New"/>
          <w:color w:val="1B2A4A"/>
          <w:sz w:val="16"/>
          <w:szCs w:val="16"/>
        </w:rPr>
        <w:t xml:space="preserve">      "Shariah-compliant product strategy|You need a Shariah-compliant investment product structure that satisfies Gulf HNI Islamic finance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HNI demand for your wealthtech product with investor interviews and DFSA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wealthtech investment covering DFSA licensing cost and platform AUM economics.",</w:t>
      </w:r>
    </w:p>
    <w:p>
      <w:pPr>
        <w:shd w:fill="F0F0F0" w:val="clear"/>
        <w:spacing w:after="14" w:before="14"/>
        <w:ind w:left="360"/>
      </w:pPr>
      <w:r>
        <w:rPr>
          <w:rFonts w:ascii="Courier New" w:cs="Courier New" w:eastAsia="Courier New" w:hAnsi="Courier New"/>
          <w:color w:val="1B2A4A"/>
          <w:sz w:val="16"/>
          <w:szCs w:val="16"/>
        </w:rPr>
        <w:t xml:space="preserve">      "End-to-end Gulf wealthtech market entry including DFSA pathway, private banking partner identification, and first-AUM milestone.",</w:t>
      </w:r>
    </w:p>
    <w:p>
      <w:pPr>
        <w:shd w:fill="F0F0F0" w:val="clear"/>
        <w:spacing w:after="14" w:before="14"/>
        <w:ind w:left="360"/>
      </w:pPr>
      <w:r>
        <w:rPr>
          <w:rFonts w:ascii="Courier New" w:cs="Courier New" w:eastAsia="Courier New" w:hAnsi="Courier New"/>
          <w:color w:val="1B2A4A"/>
          <w:sz w:val="16"/>
          <w:szCs w:val="16"/>
        </w:rPr>
        <w:t xml:space="preserve">      "Embedded Gulf wealthtech GTM team covering HNI acquisition and family office technology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wealthtech investment with family office and Vision 2030 new wealth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AI wealth advisory to Shariah-compliant portfolio screening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digital private banking companies or also with family office platforms, alternative investment marketplaces, and portfolio management technology companies entering the Gulf?|All wealthtech categories.",</w:t>
      </w:r>
    </w:p>
    <w:p>
      <w:pPr>
        <w:shd w:fill="F0F0F0" w:val="clear"/>
        <w:spacing w:after="14" w:before="14"/>
        <w:ind w:left="360"/>
      </w:pPr>
      <w:r>
        <w:rPr>
          <w:rFonts w:ascii="Courier New" w:cs="Courier New" w:eastAsia="Courier New" w:hAnsi="Courier New"/>
          <w:color w:val="1B2A4A"/>
          <w:sz w:val="16"/>
          <w:szCs w:val="16"/>
        </w:rPr>
        <w:t xml:space="preserve">      "Which Gulf wealthtech markets does GreyRadius prioritise?|UAE (DIFC Dubai and ADGM Abu Dhabi) for regulatory sophistication and established HNI wealth concentration; Saudi Arabia for Vision 2030 new wealth creation.",</w:t>
      </w:r>
    </w:p>
    <w:p>
      <w:pPr>
        <w:shd w:fill="F0F0F0" w:val="clear"/>
        <w:spacing w:after="14" w:before="14"/>
        <w:ind w:left="360"/>
      </w:pPr>
      <w:r>
        <w:rPr>
          <w:rFonts w:ascii="Courier New" w:cs="Courier New" w:eastAsia="Courier New" w:hAnsi="Courier New"/>
          <w:color w:val="1B2A4A"/>
          <w:sz w:val="16"/>
          <w:szCs w:val="16"/>
        </w:rPr>
        <w:t xml:space="preserve">      "How long does a Gulf wealthtech engagement take?|Typically 8-12 weeks for HNI demand research, DFSA regulatory mapping, and private banking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DFSA-licensed private bank distribution partners for wealthtech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wealthtech market entry, DFSA investment manager licence consulting, UAE private banking GTM strategy, Gulf family office technology advisory, GCC wealthtech market entry",</w:t>
      </w:r>
    </w:p>
    <w:p>
      <w:pPr>
        <w:shd w:fill="F0F0F0" w:val="clear"/>
        <w:spacing w:after="14" w:before="14"/>
        <w:ind w:left="360"/>
      </w:pPr>
      <w:r>
        <w:rPr>
          <w:rFonts w:ascii="Courier New" w:cs="Courier New" w:eastAsia="Courier New" w:hAnsi="Courier New"/>
          <w:color w:val="1B2A4A"/>
          <w:sz w:val="16"/>
          <w:szCs w:val="16"/>
        </w:rPr>
        <w:t xml:space="preserve">    "regions": "UAE — DIFC Dubai and ADGM Abu Dhabi HNI and family office wealth; Saudi Arabia — Vision 2030 new wealth and Riyadh financial centre",</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"Gulf wealthtech platform AUM by 2027",</w:t>
      </w:r>
    </w:p>
    <w:p>
      <w:pPr>
        <w:shd w:fill="F0F0F0" w:val="clear"/>
        <w:spacing w:after="14" w:before="14"/>
        <w:ind w:left="360"/>
      </w:pPr>
      <w:r>
        <w:rPr>
          <w:rFonts w:ascii="Courier New" w:cs="Courier New" w:eastAsia="Courier New" w:hAnsi="Courier New"/>
          <w:color w:val="1B2A4A"/>
          <w:sz w:val="16"/>
          <w:szCs w:val="16"/>
        </w:rPr>
        <w:t xml:space="preserve">    "stat1b": "Gulf HNI wealth concentration, family office technology adoption, and digital wealth management infrastructure driving 20% annual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wealthtech mandate",</w:t>
      </w:r>
    </w:p>
    <w:p>
      <w:pPr>
        <w:shd w:fill="F0F0F0" w:val="clear"/>
        <w:spacing w:after="14" w:before="14"/>
        <w:ind w:left="360"/>
      </w:pPr>
      <w:r>
        <w:rPr>
          <w:rFonts w:ascii="Courier New" w:cs="Courier New" w:eastAsia="Courier New" w:hAnsi="Courier New"/>
          <w:color w:val="1B2A4A"/>
          <w:sz w:val="16"/>
          <w:szCs w:val="16"/>
        </w:rPr>
        <w:t xml:space="preserve">    "stat2b": "Gulf HNI investors, DFSA-licensed private bankers, and family office principals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wealthtech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HNI demand research and DFSA regulatory mapping delivers Gulf wealthtech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"india-semiconductor-market-entry",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"semiconductors",</w:t>
      </w:r>
    </w:p>
    <w:p>
      <w:pPr>
        <w:shd w:fill="F0F0F0" w:val="clear"/>
        <w:spacing w:after="14" w:before="14"/>
        <w:ind w:left="360"/>
      </w:pPr>
      <w:r>
        <w:rPr>
          <w:rFonts w:ascii="Courier New" w:cs="Courier New" w:eastAsia="Courier New" w:hAnsi="Courier New"/>
          <w:color w:val="1B2A4A"/>
          <w:sz w:val="16"/>
          <w:szCs w:val="16"/>
        </w:rPr>
        <w:t xml:space="preserve">    "title": "India Semiconductor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semiconductor companies enter India with market entry strategy, ISM DLI programme access, OEM demand validation, fab ecosystem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"h1": "India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semiconductor technology to India's chip ecosystem — strategy for semiconductor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semiconductor market is undergoing a historic transformation — with the India Semiconductor Mission committing $10B+ in government support, Micron's $2.75B ATMP facility announced, and the Design Linked Incentive scheme providing 50% cost support for semiconductor design operations. International semiconductor companies across fabless design, ATMP (assembly, test, mark, pack), chip IP licensing, EDA tools, and semiconductor equipment are all evaluating India as a strategic semiconductor destination. GreyRadius helps semiconductor companies validate Indian government and OEM demand, access ISM programme incentives, identify design and manufacturing ecosystem partners, and raise capital.",</w:t>
      </w:r>
    </w:p>
    <w:p>
      <w:pPr>
        <w:shd w:fill="F0F0F0" w:val="clear"/>
        <w:spacing w:after="14" w:before="14"/>
        <w:ind w:left="360"/>
      </w:pPr>
      <w:r>
        <w:rPr>
          <w:rFonts w:ascii="Courier New" w:cs="Courier New" w:eastAsia="Courier New" w:hAnsi="Courier New"/>
          <w:color w:val="1B2A4A"/>
          <w:sz w:val="16"/>
          <w:szCs w:val="16"/>
        </w:rPr>
        <w:t xml:space="preserve">    "market_timing": "India's ISM incentive windows are time-sensitive — the Semiconductor Fab scheme, ATMP scheme, and Design Linked Incentive all have defined application cycles. Companies that engage with ISM in 2024-2026 will access incentive terms that later applicants will not receive. Simultaneously, India's PLI for electronics manufacturing is creating OEM customers for domestically designed chips — the design companies that establish Indian OEM relationships now will have captive demand as India electronics manufacturing scales.",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semiconductor market is projected to reach $64B by 2026 — growing from $15B in imports as ISM incentives, OEM demand, and chip design ecosystem development all accelerate.",</w:t>
      </w:r>
    </w:p>
    <w:p>
      <w:pPr>
        <w:shd w:fill="F0F0F0" w:val="clear"/>
        <w:spacing w:after="14" w:before="14"/>
        <w:ind w:left="360"/>
      </w:pPr>
      <w:r>
        <w:rPr>
          <w:rFonts w:ascii="Courier New" w:cs="Courier New" w:eastAsia="Courier New" w:hAnsi="Courier New"/>
          <w:color w:val="1B2A4A"/>
          <w:sz w:val="16"/>
          <w:szCs w:val="16"/>
        </w:rPr>
        <w:t xml:space="preserve">      "India has the world's largest semiconductor design talent pool outside the US — 25% of global chip designers are Indian, working at 300+ MNC design centres including Qualcomm, Intel, and ARM India.",</w:t>
      </w:r>
    </w:p>
    <w:p>
      <w:pPr>
        <w:shd w:fill="F0F0F0" w:val="clear"/>
        <w:spacing w:after="14" w:before="14"/>
        <w:ind w:left="360"/>
      </w:pPr>
      <w:r>
        <w:rPr>
          <w:rFonts w:ascii="Courier New" w:cs="Courier New" w:eastAsia="Courier New" w:hAnsi="Courier New"/>
          <w:color w:val="1B2A4A"/>
          <w:sz w:val="16"/>
          <w:szCs w:val="16"/>
        </w:rPr>
        <w:t xml:space="preserve">      "Micron's ATMP investment is creating an India semiconductor manufacturing ecosystem for the first time — supply chain, tooling, and component suppliers are all developing around Micron's Sanand facility.",</w:t>
      </w:r>
    </w:p>
    <w:p>
      <w:pPr>
        <w:shd w:fill="F0F0F0" w:val="clear"/>
        <w:spacing w:after="14" w:before="14"/>
        <w:ind w:left="360"/>
      </w:pPr>
      <w:r>
        <w:rPr>
          <w:rFonts w:ascii="Courier New" w:cs="Courier New" w:eastAsia="Courier New" w:hAnsi="Courier New"/>
          <w:color w:val="1B2A4A"/>
          <w:sz w:val="16"/>
          <w:szCs w:val="16"/>
        </w:rPr>
        <w:t xml:space="preserve">      "ISM Design Linked Incentive provides 50% of eligible expenditure — the most generous government co-investment in chip design globally outside China, making India the most financially supported chip design destination."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semiconductor manufacturing ecosystem is nascent — unlike Taiwan or South Korea, India lacks a mature semiconductor supply chain for fab materials, specialised chemicals, and precision equipment.",</w:t>
      </w:r>
    </w:p>
    <w:p>
      <w:pPr>
        <w:shd w:fill="F0F0F0" w:val="clear"/>
        <w:spacing w:after="14" w:before="14"/>
        <w:ind w:left="360"/>
      </w:pPr>
      <w:r>
        <w:rPr>
          <w:rFonts w:ascii="Courier New" w:cs="Courier New" w:eastAsia="Courier New" w:hAnsi="Courier New"/>
          <w:color w:val="1B2A4A"/>
          <w:sz w:val="16"/>
          <w:szCs w:val="16"/>
        </w:rPr>
        <w:t xml:space="preserve">      "ISM incentive application process is complex — eligibility assessment, application documentation, and milestone compliance all require specialist knowledge of ISM programme structure.",</w:t>
      </w:r>
    </w:p>
    <w:p>
      <w:pPr>
        <w:shd w:fill="F0F0F0" w:val="clear"/>
        <w:spacing w:after="14" w:before="14"/>
        <w:ind w:left="360"/>
      </w:pPr>
      <w:r>
        <w:rPr>
          <w:rFonts w:ascii="Courier New" w:cs="Courier New" w:eastAsia="Courier New" w:hAnsi="Courier New"/>
          <w:color w:val="1B2A4A"/>
          <w:sz w:val="16"/>
          <w:szCs w:val="16"/>
        </w:rPr>
        <w:t xml:space="preserve">      "OEM qualification for India-designed chips takes 12-24 months — qualifying with Tata Electronics, Dixon, and other India electronics manufacturers requires sustained design-in engagement.",</w:t>
      </w:r>
    </w:p>
    <w:p>
      <w:pPr>
        <w:shd w:fill="F0F0F0" w:val="clear"/>
        <w:spacing w:after="14" w:before="14"/>
        <w:ind w:left="360"/>
      </w:pPr>
      <w:r>
        <w:rPr>
          <w:rFonts w:ascii="Courier New" w:cs="Courier New" w:eastAsia="Courier New" w:hAnsi="Courier New"/>
          <w:color w:val="1B2A4A"/>
          <w:sz w:val="16"/>
          <w:szCs w:val="16"/>
        </w:rPr>
        <w:t xml:space="preserve">      "Talent competition is intense — every global semiconductor company competes for India's senior chip design talent requiring differentiated compensation and career development offers."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semiconductor demand validation|You need to validate ISM programme eligibility, Indian OEM chip demand, and semiconductor ecosystem partner availability.",</w:t>
      </w:r>
    </w:p>
    <w:p>
      <w:pPr>
        <w:shd w:fill="F0F0F0" w:val="clear"/>
        <w:spacing w:after="14" w:before="14"/>
        <w:ind w:left="360"/>
      </w:pPr>
      <w:r>
        <w:rPr>
          <w:rFonts w:ascii="Courier New" w:cs="Courier New" w:eastAsia="Courier New" w:hAnsi="Courier New"/>
          <w:color w:val="1B2A4A"/>
          <w:sz w:val="16"/>
          <w:szCs w:val="16"/>
        </w:rPr>
        <w:t xml:space="preserve">      "ISM DLI and fab scheme access|You need to understand DLI eligibility, application requirements, milestone compliance, and ISM engagement process.",</w:t>
      </w:r>
    </w:p>
    <w:p>
      <w:pPr>
        <w:shd w:fill="F0F0F0" w:val="clear"/>
        <w:spacing w:after="14" w:before="14"/>
        <w:ind w:left="360"/>
      </w:pPr>
      <w:r>
        <w:rPr>
          <w:rFonts w:ascii="Courier New" w:cs="Courier New" w:eastAsia="Courier New" w:hAnsi="Courier New"/>
          <w:color w:val="1B2A4A"/>
          <w:sz w:val="16"/>
          <w:szCs w:val="16"/>
        </w:rPr>
        <w:t xml:space="preserve">      "India semiconductor partner identification|You need Indian OEM electronics manufacturers, ATMP facility operators, and semiconductor ecosystem companies as commercial partners.",</w:t>
      </w:r>
    </w:p>
    <w:p>
      <w:pPr>
        <w:shd w:fill="F0F0F0" w:val="clear"/>
        <w:spacing w:after="14" w:before="14"/>
        <w:ind w:left="360"/>
      </w:pPr>
      <w:r>
        <w:rPr>
          <w:rFonts w:ascii="Courier New" w:cs="Courier New" w:eastAsia="Courier New" w:hAnsi="Courier New"/>
          <w:color w:val="1B2A4A"/>
          <w:sz w:val="16"/>
          <w:szCs w:val="16"/>
        </w:rPr>
        <w:t xml:space="preserve">      "India semiconductor GTM strategy|You need a go-to-market plan covering ISM programme access, OEM design-in engagement, and talent acquisition strategy.",</w:t>
      </w:r>
    </w:p>
    <w:p>
      <w:pPr>
        <w:shd w:fill="F0F0F0" w:val="clear"/>
        <w:spacing w:after="14" w:before="14"/>
        <w:ind w:left="360"/>
      </w:pPr>
      <w:r>
        <w:rPr>
          <w:rFonts w:ascii="Courier New" w:cs="Courier New" w:eastAsia="Courier New" w:hAnsi="Courier New"/>
          <w:color w:val="1B2A4A"/>
          <w:sz w:val="16"/>
          <w:szCs w:val="16"/>
        </w:rPr>
        <w:t xml:space="preserve">      "Raising capital for India semiconductor investment|You need a pitch book grounded in India semiconductor market data, ISM incentive analysis, and OEM demand validation.",</w:t>
      </w:r>
    </w:p>
    <w:p>
      <w:pPr>
        <w:shd w:fill="F0F0F0" w:val="clear"/>
        <w:spacing w:after="14" w:before="14"/>
        <w:ind w:left="360"/>
      </w:pPr>
      <w:r>
        <w:rPr>
          <w:rFonts w:ascii="Courier New" w:cs="Courier New" w:eastAsia="Courier New" w:hAnsi="Courier New"/>
          <w:color w:val="1B2A4A"/>
          <w:sz w:val="16"/>
          <w:szCs w:val="16"/>
        </w:rPr>
        <w:t xml:space="preserve">      "Talent and design centre strategy|You need a chip design centre location strategy, talent acquisition plan, and compensation architecture for India semiconductor talent."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government ISM programme access and OEM chip demand with DLI mapping and electronics manufacturer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semiconductor investment including DLI incentive modelling and design centre cost analysis.",</w:t>
      </w:r>
    </w:p>
    <w:p>
      <w:pPr>
        <w:shd w:fill="F0F0F0" w:val="clear"/>
        <w:spacing w:after="14" w:before="14"/>
        <w:ind w:left="360"/>
      </w:pPr>
      <w:r>
        <w:rPr>
          <w:rFonts w:ascii="Courier New" w:cs="Courier New" w:eastAsia="Courier New" w:hAnsi="Courier New"/>
          <w:color w:val="1B2A4A"/>
          <w:sz w:val="16"/>
          <w:szCs w:val="16"/>
        </w:rPr>
        <w:t xml:space="preserve">      "End-to-end India semiconductor market entry including ISM programme access, OEM partner identification, and first-design-win milestone.",</w:t>
      </w:r>
    </w:p>
    <w:p>
      <w:pPr>
        <w:shd w:fill="F0F0F0" w:val="clear"/>
        <w:spacing w:after="14" w:before="14"/>
        <w:ind w:left="360"/>
      </w:pPr>
      <w:r>
        <w:rPr>
          <w:rFonts w:ascii="Courier New" w:cs="Courier New" w:eastAsia="Courier New" w:hAnsi="Courier New"/>
          <w:color w:val="1B2A4A"/>
          <w:sz w:val="16"/>
          <w:szCs w:val="16"/>
        </w:rPr>
        <w:t xml:space="preserve">      "Embedded India semiconductor GTM team covering ISM, OEM procurement, and semiconductor ecosystem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semiconductor investment with ISM incentive and India fab ecosystem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AI-assisted chip verification for India design centres to EDA automation for India-specific semiconductor workflows."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fabless design companies or also with ATMP, chip IP, EDA tools, and semiconductor equipment companies entering India?|All semiconductor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semiconductor engagement take?|Typically 10-14 weeks for ISM programme mapping, OEM demand research, and design ecosystem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support ISM DLI applications for semiconductor companies?|We map DLI eligibility and prepare the market and commercial case — formal ISM applications are submitted by the company.",</w:t>
      </w:r>
    </w:p>
    <w:p>
      <w:pPr>
        <w:shd w:fill="F0F0F0" w:val="clear"/>
        <w:spacing w:after="14" w:before="14"/>
        <w:ind w:left="360"/>
      </w:pPr>
      <w:r>
        <w:rPr>
          <w:rFonts w:ascii="Courier New" w:cs="Courier New" w:eastAsia="Courier New" w:hAnsi="Courier New"/>
          <w:color w:val="1B2A4A"/>
          <w:sz w:val="16"/>
          <w:szCs w:val="16"/>
        </w:rPr>
        <w:t xml:space="preserve">      "What makes India attractive for semiconductor design investment specifically?|25% of global chip design talent, 50% DLI cost support, and growing India OEM demand for domestically designed chips — the strongest combination of talent, incentive, and demand in any emerging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semiconductor market entry, ISM DLI scheme consulting, India chip design GTM strategy, India ATMP advisory, India semiconductor investment strategy",</w:t>
      </w:r>
    </w:p>
    <w:p>
      <w:pPr>
        <w:shd w:fill="F0F0F0" w:val="clear"/>
        <w:spacing w:after="14" w:before="14"/>
        <w:ind w:left="360"/>
      </w:pPr>
      <w:r>
        <w:rPr>
          <w:rFonts w:ascii="Courier New" w:cs="Courier New" w:eastAsia="Courier New" w:hAnsi="Courier New"/>
          <w:color w:val="1B2A4A"/>
          <w:sz w:val="16"/>
          <w:szCs w:val="16"/>
        </w:rPr>
        <w:t xml:space="preserve">    "regions": "India — Bengaluru semiconductor design hub, Hyderabad chip design corridor, Sanand Gujarat ATMP zone, Noida electronics manufacturing",</w:t>
      </w:r>
    </w:p>
    <w:p>
      <w:pPr>
        <w:shd w:fill="F0F0F0" w:val="clear"/>
        <w:spacing w:after="14" w:before="14"/>
        <w:ind w:left="360"/>
      </w:pPr>
      <w:r>
        <w:rPr>
          <w:rFonts w:ascii="Courier New" w:cs="Courier New" w:eastAsia="Courier New" w:hAnsi="Courier New"/>
          <w:color w:val="1B2A4A"/>
          <w:sz w:val="16"/>
          <w:szCs w:val="16"/>
        </w:rPr>
        <w:t xml:space="preserve">    "stat1n": "$64B",</w:t>
      </w:r>
    </w:p>
    <w:p>
      <w:pPr>
        <w:shd w:fill="F0F0F0" w:val="clear"/>
        <w:spacing w:after="14" w:before="14"/>
        <w:ind w:left="360"/>
      </w:pPr>
      <w:r>
        <w:rPr>
          <w:rFonts w:ascii="Courier New" w:cs="Courier New" w:eastAsia="Courier New" w:hAnsi="Courier New"/>
          <w:color w:val="1B2A4A"/>
          <w:sz w:val="16"/>
          <w:szCs w:val="16"/>
        </w:rPr>
        <w:t xml:space="preserve">    "stat1l": "India semiconductor market by 2026",</w:t>
      </w:r>
    </w:p>
    <w:p>
      <w:pPr>
        <w:shd w:fill="F0F0F0" w:val="clear"/>
        <w:spacing w:after="14" w:before="14"/>
        <w:ind w:left="360"/>
      </w:pPr>
      <w:r>
        <w:rPr>
          <w:rFonts w:ascii="Courier New" w:cs="Courier New" w:eastAsia="Courier New" w:hAnsi="Courier New"/>
          <w:color w:val="1B2A4A"/>
          <w:sz w:val="16"/>
          <w:szCs w:val="16"/>
        </w:rPr>
        <w:t xml:space="preserve">    "stat1b": "ISM incentives, OEM demand, and chip design ecosystem development driving semiconductor market from $15B to $64B.",</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semiconductor mandate",</w:t>
      </w:r>
    </w:p>
    <w:p>
      <w:pPr>
        <w:shd w:fill="F0F0F0" w:val="clear"/>
        <w:spacing w:after="14" w:before="14"/>
        <w:ind w:left="360"/>
      </w:pPr>
      <w:r>
        <w:rPr>
          <w:rFonts w:ascii="Courier New" w:cs="Courier New" w:eastAsia="Courier New" w:hAnsi="Courier New"/>
          <w:color w:val="1B2A4A"/>
          <w:sz w:val="16"/>
          <w:szCs w:val="16"/>
        </w:rPr>
        <w:t xml:space="preserve">    "stat2b": "ISM officials, OEM procurement heads, and semiconductor design ecosystem leaders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ISM programme mapping and OEM demand research delivers India semiconductor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"southeast-asia-semiconductor",</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"semiconductors",</w:t>
      </w:r>
    </w:p>
    <w:p>
      <w:pPr>
        <w:shd w:fill="F0F0F0" w:val="clear"/>
        <w:spacing w:after="14" w:before="14"/>
        <w:ind w:left="360"/>
      </w:pPr>
      <w:r>
        <w:rPr>
          <w:rFonts w:ascii="Courier New" w:cs="Courier New" w:eastAsia="Courier New" w:hAnsi="Courier New"/>
          <w:color w:val="1B2A4A"/>
          <w:sz w:val="16"/>
          <w:szCs w:val="16"/>
        </w:rPr>
        <w:t xml:space="preserve">    "title": "Southeast Asia Semiconductor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semiconductor companies enter Southeast Asia with market entry strategy, back-end manufacturing ecosystem mapping, export control compliance, and OEM partner identification.",</w:t>
      </w:r>
    </w:p>
    <w:p>
      <w:pPr>
        <w:shd w:fill="F0F0F0" w:val="clear"/>
        <w:spacing w:after="14" w:before="14"/>
        <w:ind w:left="360"/>
      </w:pPr>
      <w:r>
        <w:rPr>
          <w:rFonts w:ascii="Courier New" w:cs="Courier New" w:eastAsia="Courier New" w:hAnsi="Courier New"/>
          <w:color w:val="1B2A4A"/>
          <w:sz w:val="16"/>
          <w:szCs w:val="16"/>
        </w:rPr>
        <w:t xml:space="preserve">    "h1": "Southeast Asia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semiconductor product to Southeast Asian electronics supply chain — strategy for semiconductor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semiconductor market is one of the most commercially significant in the world — with Malaysia accounting for 7% of global semiconductor trade, Vietnam emerging as a major back-end semiconductor assembly destination, Thailand's automotive semiconductor demand, and Philippines' electronics manufacturing all creating significant semiconductor market opportunity. International semiconductor companies across back-end assembly and test, chip distribution, semiconductor equipment, and semiconductor materials are all evaluating Southeast Asia as both a market and manufacturing destination. GreyRadius helps semiconductor companies validate ASEAN demand and supply chain opportunity, navigate export control and regulatory requirements, identify OEM and manufacturing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"The China-plus-one supply chain diversification is creating a semiconductor manufacturing investment boom in Southeast Asia — Apple, Samsung, and Intel suppliers are all expanding into Malaysia, Vietnam, and Thailand simultaneously. The semiconductor companies establishing ASEAN manufacturing and supply chain relationships in 2024-2027 will be embedded in supply chains that will operate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semiconductor market is projected to reach $50B by 2027 — Malaysia back-end manufacturing, Vietnam electronics expansion, and Thailand automotive semiconductor demand all driving growth.",</w:t>
      </w:r>
    </w:p>
    <w:p>
      <w:pPr>
        <w:shd w:fill="F0F0F0" w:val="clear"/>
        <w:spacing w:after="14" w:before="14"/>
        <w:ind w:left="360"/>
      </w:pPr>
      <w:r>
        <w:rPr>
          <w:rFonts w:ascii="Courier New" w:cs="Courier New" w:eastAsia="Courier New" w:hAnsi="Courier New"/>
          <w:color w:val="1B2A4A"/>
          <w:sz w:val="16"/>
          <w:szCs w:val="16"/>
        </w:rPr>
        <w:t xml:space="preserve">      "Malaysia is Southeast Asia's semiconductor hub — 50+ semiconductor MNC operations including Intel, Infineon, and Renesas creating the most developed back-end semiconductor ecosystem in ASEAN.",</w:t>
      </w:r>
    </w:p>
    <w:p>
      <w:pPr>
        <w:shd w:fill="F0F0F0" w:val="clear"/>
        <w:spacing w:after="14" w:before="14"/>
        <w:ind w:left="360"/>
      </w:pPr>
      <w:r>
        <w:rPr>
          <w:rFonts w:ascii="Courier New" w:cs="Courier New" w:eastAsia="Courier New" w:hAnsi="Courier New"/>
          <w:color w:val="1B2A4A"/>
          <w:sz w:val="16"/>
          <w:szCs w:val="16"/>
        </w:rPr>
        <w:t xml:space="preserve">      "Vietnam is the fastest-growing Southeast Asian semiconductor destination — Samsung semiconductor operations and Intel Vietnam assembly and test creating supply chain ecosystem development at extraordinary pace.",</w:t>
      </w:r>
    </w:p>
    <w:p>
      <w:pPr>
        <w:shd w:fill="F0F0F0" w:val="clear"/>
        <w:spacing w:after="14" w:before="14"/>
        <w:ind w:left="360"/>
      </w:pPr>
      <w:r>
        <w:rPr>
          <w:rFonts w:ascii="Courier New" w:cs="Courier New" w:eastAsia="Courier New" w:hAnsi="Courier New"/>
          <w:color w:val="1B2A4A"/>
          <w:sz w:val="16"/>
          <w:szCs w:val="16"/>
        </w:rPr>
        <w:t xml:space="preserve">      "US export controls are driving supply chain restructuring — ASEAN is becoming a preferred destination for semiconductor assembly that cannot be conducted in China under evolving US export control frameworks."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"Export control compliance is complex in ASEAN semiconductor operations — US BIS EAR rules, Japan export controls, and Netherlands export restrictions all affect semiconductor equipment, materials, and technology transfer to ASEAN.",</w:t>
      </w:r>
    </w:p>
    <w:p>
      <w:pPr>
        <w:shd w:fill="F0F0F0" w:val="clear"/>
        <w:spacing w:after="14" w:before="14"/>
        <w:ind w:left="360"/>
      </w:pPr>
      <w:r>
        <w:rPr>
          <w:rFonts w:ascii="Courier New" w:cs="Courier New" w:eastAsia="Courier New" w:hAnsi="Courier New"/>
          <w:color w:val="1B2A4A"/>
          <w:sz w:val="16"/>
          <w:szCs w:val="16"/>
        </w:rPr>
        <w:t xml:space="preserve">      "Talent availability for advanced semiconductor operations is limited in most ASEAN markets — Malaysia has the most developed semiconductor talent pool but Vietnam, Thailand, and Philippines face skill gaps.",</w:t>
      </w:r>
    </w:p>
    <w:p>
      <w:pPr>
        <w:shd w:fill="F0F0F0" w:val="clear"/>
        <w:spacing w:after="14" w:before="14"/>
        <w:ind w:left="360"/>
      </w:pPr>
      <w:r>
        <w:rPr>
          <w:rFonts w:ascii="Courier New" w:cs="Courier New" w:eastAsia="Courier New" w:hAnsi="Courier New"/>
          <w:color w:val="1B2A4A"/>
          <w:sz w:val="16"/>
          <w:szCs w:val="16"/>
        </w:rPr>
        <w:t xml:space="preserve">      "Competing with established ASEAN semiconductor operators — Intel Malaysia, STMicroelectronics, and Infineon with existing infrastructure and relationships — is challenging for new entrants.",</w:t>
      </w:r>
    </w:p>
    <w:p>
      <w:pPr>
        <w:shd w:fill="F0F0F0" w:val="clear"/>
        <w:spacing w:after="14" w:before="14"/>
        <w:ind w:left="360"/>
      </w:pPr>
      <w:r>
        <w:rPr>
          <w:rFonts w:ascii="Courier New" w:cs="Courier New" w:eastAsia="Courier New" w:hAnsi="Courier New"/>
          <w:color w:val="1B2A4A"/>
          <w:sz w:val="16"/>
          <w:szCs w:val="16"/>
        </w:rPr>
        <w:t xml:space="preserve">      "ASEAN investment promotion incentives vary significantly — Malaysia's MIDA, Vietnam's IPA, and Thailand's BOI all offer different incentive structures requiring careful comparative analysis."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semiconductor demand and supply chain validation|You need to validate ASEAN OEM demand, supply chain partnership opportunity, and manufacturing location attractiveness for your semiconductor operations.",</w:t>
      </w:r>
    </w:p>
    <w:p>
      <w:pPr>
        <w:shd w:fill="F0F0F0" w:val="clear"/>
        <w:spacing w:after="14" w:before="14"/>
        <w:ind w:left="360"/>
      </w:pPr>
      <w:r>
        <w:rPr>
          <w:rFonts w:ascii="Courier New" w:cs="Courier New" w:eastAsia="Courier New" w:hAnsi="Courier New"/>
          <w:color w:val="1B2A4A"/>
          <w:sz w:val="16"/>
          <w:szCs w:val="16"/>
        </w:rPr>
        <w:t xml:space="preserve">      "Export control compliance strategy|You need to understand BIS EAR, Japan, and Netherlands export control implications for your semiconductor technology transfer to ASEAN manufacturing operations.",</w:t>
      </w:r>
    </w:p>
    <w:p>
      <w:pPr>
        <w:shd w:fill="F0F0F0" w:val="clear"/>
        <w:spacing w:after="14" w:before="14"/>
        <w:ind w:left="360"/>
      </w:pPr>
      <w:r>
        <w:rPr>
          <w:rFonts w:ascii="Courier New" w:cs="Courier New" w:eastAsia="Courier New" w:hAnsi="Courier New"/>
          <w:color w:val="1B2A4A"/>
          <w:sz w:val="16"/>
          <w:szCs w:val="16"/>
        </w:rPr>
        <w:t xml:space="preserve">      "Southeast Asia semiconductor partner identification|You need ASEAN OEM electronics manufacturers, OSAT operators, and semiconductor equipment and materials suppliers as commercial partners.",</w:t>
      </w:r>
    </w:p>
    <w:p>
      <w:pPr>
        <w:shd w:fill="F0F0F0" w:val="clear"/>
        <w:spacing w:after="14" w:before="14"/>
        <w:ind w:left="360"/>
      </w:pPr>
      <w:r>
        <w:rPr>
          <w:rFonts w:ascii="Courier New" w:cs="Courier New" w:eastAsia="Courier New" w:hAnsi="Courier New"/>
          <w:color w:val="1B2A4A"/>
          <w:sz w:val="16"/>
          <w:szCs w:val="16"/>
        </w:rPr>
        <w:t xml:space="preserve">      "Southeast Asia semiconductor GTM strategy|You need a market-by-market manufacturing location and supply chain development strategy across Malaysia, Vietnam, and Thailand.",</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semiconductor investment|You need a pitch book grounded in ASEAN semiconductor market data and export control supply chain restructuring opportunity.",</w:t>
      </w:r>
    </w:p>
    <w:p>
      <w:pPr>
        <w:shd w:fill="F0F0F0" w:val="clear"/>
        <w:spacing w:after="14" w:before="14"/>
        <w:ind w:left="360"/>
      </w:pPr>
      <w:r>
        <w:rPr>
          <w:rFonts w:ascii="Courier New" w:cs="Courier New" w:eastAsia="Courier New" w:hAnsi="Courier New"/>
          <w:color w:val="1B2A4A"/>
          <w:sz w:val="16"/>
          <w:szCs w:val="16"/>
        </w:rPr>
        <w:t xml:space="preserve">      "Investment incentive comparison|You need a structured comparison of MIDA Malaysia, Vietnam IPA, and Thailand BOI incentives for your specific semiconductor operation type."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OEM and supply chain demand for your semiconductor product with ASEAN electronics manufacturer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semiconductor investment covering incentive structures and manufacturing cost analysis.",</w:t>
      </w:r>
    </w:p>
    <w:p>
      <w:pPr>
        <w:shd w:fill="F0F0F0" w:val="clear"/>
        <w:spacing w:after="14" w:before="14"/>
        <w:ind w:left="360"/>
      </w:pPr>
      <w:r>
        <w:rPr>
          <w:rFonts w:ascii="Courier New" w:cs="Courier New" w:eastAsia="Courier New" w:hAnsi="Courier New"/>
          <w:color w:val="1B2A4A"/>
          <w:sz w:val="16"/>
          <w:szCs w:val="16"/>
        </w:rPr>
        <w:t xml:space="preserve">      "End-to-end Southeast Asia semiconductor market entry including export control strategy, OSAT partner identification, and first-supply-agreement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semiconductor GTM team covering OEM procurement and investment promotion agency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semiconductor investment with China-plus-one supply chain narrative.",</w:t>
      </w:r>
    </w:p>
    <w:p>
      <w:pPr>
        <w:shd w:fill="F0F0F0" w:val="clear"/>
        <w:spacing w:after="14" w:before="14"/>
        <w:ind w:left="360"/>
      </w:pPr>
      <w:r>
        <w:rPr>
          <w:rFonts w:ascii="Courier New" w:cs="Courier New" w:eastAsia="Courier New" w:hAnsi="Courier New"/>
          <w:color w:val="1B2A4A"/>
          <w:sz w:val="16"/>
          <w:szCs w:val="16"/>
        </w:rPr>
        <w:t xml:space="preserve">      "Export control compliance strategy — from BIS EAR classification to ASEAN manufacturing operation compliance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back-end assembly companies or also with chip distribution, semiconductor equipment, and semiconductor materials companies entering Southeast Asia?|All semiconductor categories.",</w:t>
      </w:r>
    </w:p>
    <w:p>
      <w:pPr>
        <w:shd w:fill="F0F0F0" w:val="clear"/>
        <w:spacing w:after="14" w:before="14"/>
        <w:ind w:left="360"/>
      </w:pPr>
      <w:r>
        <w:rPr>
          <w:rFonts w:ascii="Courier New" w:cs="Courier New" w:eastAsia="Courier New" w:hAnsi="Courier New"/>
          <w:color w:val="1B2A4A"/>
          <w:sz w:val="16"/>
          <w:szCs w:val="16"/>
        </w:rPr>
        <w:t xml:space="preserve">      "Which Southeast Asian semiconductor markets does GreyRadius prioritise?|Malaysia for established back-end ecosystem; Vietnam for fastest-growing new capacity; Thailand for automotive semiconductor.",</w:t>
      </w:r>
    </w:p>
    <w:p>
      <w:pPr>
        <w:shd w:fill="F0F0F0" w:val="clear"/>
        <w:spacing w:after="14" w:before="14"/>
        <w:ind w:left="360"/>
      </w:pPr>
      <w:r>
        <w:rPr>
          <w:rFonts w:ascii="Courier New" w:cs="Courier New" w:eastAsia="Courier New" w:hAnsi="Courier New"/>
          <w:color w:val="1B2A4A"/>
          <w:sz w:val="16"/>
          <w:szCs w:val="16"/>
        </w:rPr>
        <w:t xml:space="preserve">      "How long does a Southeast Asia semiconductor engagement take?|Typically 10-14 weeks for supply chain validation, export control mapping, and OSAT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MIDA and Vietnam IPA investment programme contacts for semiconductor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semiconductor market entry, Malaysia semiconductor GTM strategy, Vietnam chip assembly consulting, ASEAN semiconductor supply chain advisory, Southeast Asia semiconductor investment strategy",</w:t>
      </w:r>
    </w:p>
    <w:p>
      <w:pPr>
        <w:shd w:fill="F0F0F0" w:val="clear"/>
        <w:spacing w:after="14" w:before="14"/>
        <w:ind w:left="360"/>
      </w:pPr>
      <w:r>
        <w:rPr>
          <w:rFonts w:ascii="Courier New" w:cs="Courier New" w:eastAsia="Courier New" w:hAnsi="Courier New"/>
          <w:color w:val="1B2A4A"/>
          <w:sz w:val="16"/>
          <w:szCs w:val="16"/>
        </w:rPr>
        <w:t xml:space="preserve">    "regions": "Malaysia — Penang and Kuala Lumpur semiconductor corridor; Vietnam — Ho Chi Minh City and Hanoi Samsung and Intel ecosystems; Thailand — automotive semiconductor Eastern Economic Corridor",</w:t>
      </w:r>
    </w:p>
    <w:p>
      <w:pPr>
        <w:shd w:fill="F0F0F0" w:val="clear"/>
        <w:spacing w:after="14" w:before="14"/>
        <w:ind w:left="360"/>
      </w:pPr>
      <w:r>
        <w:rPr>
          <w:rFonts w:ascii="Courier New" w:cs="Courier New" w:eastAsia="Courier New" w:hAnsi="Courier New"/>
          <w:color w:val="1B2A4A"/>
          <w:sz w:val="16"/>
          <w:szCs w:val="16"/>
        </w:rPr>
        <w:t xml:space="preserve">    "stat1n": "$50B",</w:t>
      </w:r>
    </w:p>
    <w:p>
      <w:pPr>
        <w:shd w:fill="F0F0F0" w:val="clear"/>
        <w:spacing w:after="14" w:before="14"/>
        <w:ind w:left="360"/>
      </w:pPr>
      <w:r>
        <w:rPr>
          <w:rFonts w:ascii="Courier New" w:cs="Courier New" w:eastAsia="Courier New" w:hAnsi="Courier New"/>
          <w:color w:val="1B2A4A"/>
          <w:sz w:val="16"/>
          <w:szCs w:val="16"/>
        </w:rPr>
        <w:t xml:space="preserve">    "stat1l": "Southeast Asia semiconductor market by 2027",</w:t>
      </w:r>
    </w:p>
    <w:p>
      <w:pPr>
        <w:shd w:fill="F0F0F0" w:val="clear"/>
        <w:spacing w:after="14" w:before="14"/>
        <w:ind w:left="360"/>
      </w:pPr>
      <w:r>
        <w:rPr>
          <w:rFonts w:ascii="Courier New" w:cs="Courier New" w:eastAsia="Courier New" w:hAnsi="Courier New"/>
          <w:color w:val="1B2A4A"/>
          <w:sz w:val="16"/>
          <w:szCs w:val="16"/>
        </w:rPr>
        <w:t xml:space="preserve">    "stat1b": "Malaysia back-end manufacturing, Vietnam electronics expansion, and Thailand automotive demand driving ASEAN semiconductor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semiconductor mandate",</w:t>
      </w:r>
    </w:p>
    <w:p>
      <w:pPr>
        <w:shd w:fill="F0F0F0" w:val="clear"/>
        <w:spacing w:after="14" w:before="14"/>
        <w:ind w:left="360"/>
      </w:pPr>
      <w:r>
        <w:rPr>
          <w:rFonts w:ascii="Courier New" w:cs="Courier New" w:eastAsia="Courier New" w:hAnsi="Courier New"/>
          <w:color w:val="1B2A4A"/>
          <w:sz w:val="16"/>
          <w:szCs w:val="16"/>
        </w:rPr>
        <w:t xml:space="preserve">    "stat2b": "ASEAN OEM procurement heads, OSAT operators, and investment promotion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"Southeast Asia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supply chain mapping and export control research delivers Southeast Asia semiconductor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null,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"africa-medical-devices-market-entry",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"medical-devices",</w:t>
      </w:r>
    </w:p>
    <w:p>
      <w:pPr>
        <w:shd w:fill="F0F0F0" w:val="clear"/>
        <w:spacing w:after="14" w:before="14"/>
        <w:ind w:left="360"/>
      </w:pPr>
      <w:r>
        <w:rPr>
          <w:rFonts w:ascii="Courier New" w:cs="Courier New" w:eastAsia="Courier New" w:hAnsi="Courier New"/>
          <w:color w:val="1B2A4A"/>
          <w:sz w:val="16"/>
          <w:szCs w:val="16"/>
        </w:rPr>
        <w:t xml:space="preserve">    "title": "Africa Medical Devices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medical device companies enter Africa with market entry strategy, NAFDAC and SAHPRA regulatory mapping, hospital distributor identification, and GTM execution.",</w:t>
      </w:r>
    </w:p>
    <w:p>
      <w:pPr>
        <w:shd w:fill="F0F0F0" w:val="clear"/>
        <w:spacing w:after="14" w:before="14"/>
        <w:ind w:left="360"/>
      </w:pPr>
      <w:r>
        <w:rPr>
          <w:rFonts w:ascii="Courier New" w:cs="Courier New" w:eastAsia="Courier New" w:hAnsi="Courier New"/>
          <w:color w:val="1B2A4A"/>
          <w:sz w:val="16"/>
          <w:szCs w:val="16"/>
        </w:rPr>
        <w:t xml:space="preserve">    "h1": "Africa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medical device to African clinical deployment — strategy for medical device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medical devices market is growing rapidly — driven by government investment in healthcare infrastructure, universal health coverage expansion creating institutional procurement, and Africa's disease burden in both communicable and non-communicable diseases creating sustained clinical demand. International medical device companies across diagnostic equipment, imaging systems, surgical devices, and point-of-care technology are all evaluating Africa as a medical device market. GreyRadius helps medical device companies validate African physician and hospital demand, navigate NAFDAC, SAHPRA, and country-specific regulatory requirements, identify hospital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"Africa's universal health coverage investment is creating institutional medical device procurement at unprecedented scale — Nigeria's Basic Health Care Provision Fund, Kenya's NHIF expansion, and South Africa's National Health Insurance are all creating government-funded procurement programmes that require registered and locally distributed medical devices. Companies that achieve NAFDAC and SAHPRA registration in 2024-2026 will be positioned for the procurement cycles these programmes drive.",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medical devices market is projected to reach 2B by 2028 — growing at 10% annually as universal health coverage investment, hospital infrastructure expansion, and diagnostic capability development all drive demand.",</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medical device market — SAHPRA regulatory standards equivalent to developed markets, private health insurance funding, and the most advanced hospital procurement infrastructure on the continent.",</w:t>
      </w:r>
    </w:p>
    <w:p>
      <w:pPr>
        <w:shd w:fill="F0F0F0" w:val="clear"/>
        <w:spacing w:after="14" w:before="14"/>
        <w:ind w:left="360"/>
      </w:pPr>
      <w:r>
        <w:rPr>
          <w:rFonts w:ascii="Courier New" w:cs="Courier New" w:eastAsia="Courier New" w:hAnsi="Courier New"/>
          <w:color w:val="1B2A4A"/>
          <w:sz w:val="16"/>
          <w:szCs w:val="16"/>
        </w:rPr>
        <w:t xml:space="preserve">      "Point-of-care diagnostics is Africa's fastest-growing medical device category — rapid diagnostic tests, portable ultrasound, and mobile health monitoring devices suited for Africa's healthcare delivery infrastructure are seeing the strongest adoption.",</w:t>
      </w:r>
    </w:p>
    <w:p>
      <w:pPr>
        <w:shd w:fill="F0F0F0" w:val="clear"/>
        <w:spacing w:after="14" w:before="14"/>
        <w:ind w:left="360"/>
      </w:pPr>
      <w:r>
        <w:rPr>
          <w:rFonts w:ascii="Courier New" w:cs="Courier New" w:eastAsia="Courier New" w:hAnsi="Courier New"/>
          <w:color w:val="1B2A4A"/>
          <w:sz w:val="16"/>
          <w:szCs w:val="16"/>
        </w:rPr>
        <w:t xml:space="preserve">      "African medical device import dependence creates opportunity — 90%+ of medical devices across Sub-Saharan Africa are imported, creating a market almost entirely served by international companies."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"NAFDAC medical device registration in Nigeria is complex — registration requires product dossier, local agent appointment, facility inspection, and labelling compliance with timelines of 12-18 months.",</w:t>
      </w:r>
    </w:p>
    <w:p>
      <w:pPr>
        <w:shd w:fill="F0F0F0" w:val="clear"/>
        <w:spacing w:after="14" w:before="14"/>
        <w:ind w:left="360"/>
      </w:pPr>
      <w:r>
        <w:rPr>
          <w:rFonts w:ascii="Courier New" w:cs="Courier New" w:eastAsia="Courier New" w:hAnsi="Courier New"/>
          <w:color w:val="1B2A4A"/>
          <w:sz w:val="16"/>
          <w:szCs w:val="16"/>
        </w:rPr>
        <w:t xml:space="preserve">      "Cold chain and service infrastructure limitations affect capital equipment — hospital technical service capability for complex medical equipment is limited outside major cities requiring distributor service network assessment.",</w:t>
      </w:r>
    </w:p>
    <w:p>
      <w:pPr>
        <w:shd w:fill="F0F0F0" w:val="clear"/>
        <w:spacing w:after="14" w:before="14"/>
        <w:ind w:left="360"/>
      </w:pPr>
      <w:r>
        <w:rPr>
          <w:rFonts w:ascii="Courier New" w:cs="Courier New" w:eastAsia="Courier New" w:hAnsi="Courier New"/>
          <w:color w:val="1B2A4A"/>
          <w:sz w:val="16"/>
          <w:szCs w:val="16"/>
        </w:rPr>
        <w:t xml:space="preserve">      "Price sensitivity is significant — African hospital procurement budgets are substantially below Western benchmarks requiring Africa-specific pricing and packaging strategies.",</w:t>
      </w:r>
    </w:p>
    <w:p>
      <w:pPr>
        <w:shd w:fill="F0F0F0" w:val="clear"/>
        <w:spacing w:after="14" w:before="14"/>
        <w:ind w:left="360"/>
      </w:pPr>
      <w:r>
        <w:rPr>
          <w:rFonts w:ascii="Courier New" w:cs="Courier New" w:eastAsia="Courier New" w:hAnsi="Courier New"/>
          <w:color w:val="1B2A4A"/>
          <w:sz w:val="16"/>
          <w:szCs w:val="16"/>
        </w:rPr>
        <w:t xml:space="preserve">      "Distribution quality varies — medical device distributors with genuine hospital relationships, biomedical service capability, and cold chain infrastructure are scarce in most African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medical device demand validation|You need to validate African physician and hospital procurement demand for your device and understand country-specific regulatory registration requirements.",</w:t>
      </w:r>
    </w:p>
    <w:p>
      <w:pPr>
        <w:shd w:fill="F0F0F0" w:val="clear"/>
        <w:spacing w:after="14" w:before="14"/>
        <w:ind w:left="360"/>
      </w:pPr>
      <w:r>
        <w:rPr>
          <w:rFonts w:ascii="Courier New" w:cs="Courier New" w:eastAsia="Courier New" w:hAnsi="Courier New"/>
          <w:color w:val="1B2A4A"/>
          <w:sz w:val="16"/>
          <w:szCs w:val="16"/>
        </w:rPr>
        <w:t xml:space="preserve">      "NAFDAC and SAHPRA regulatory pathway|You need to understand NAFDAC medical device registration, SAHPRA Class A-D regulatory requirements, and Kenya KEBS medical device certification.",</w:t>
      </w:r>
    </w:p>
    <w:p>
      <w:pPr>
        <w:shd w:fill="F0F0F0" w:val="clear"/>
        <w:spacing w:after="14" w:before="14"/>
        <w:ind w:left="360"/>
      </w:pPr>
      <w:r>
        <w:rPr>
          <w:rFonts w:ascii="Courier New" w:cs="Courier New" w:eastAsia="Courier New" w:hAnsi="Courier New"/>
          <w:color w:val="1B2A4A"/>
          <w:sz w:val="16"/>
          <w:szCs w:val="16"/>
        </w:rPr>
        <w:t xml:space="preserve">      "Africa medical device distributor identification|You need to identify hospital medical device distributors with biomedical service capability and hospital procurement relationships in target markets.",</w:t>
      </w:r>
    </w:p>
    <w:p>
      <w:pPr>
        <w:shd w:fill="F0F0F0" w:val="clear"/>
        <w:spacing w:after="14" w:before="14"/>
        <w:ind w:left="360"/>
      </w:pPr>
      <w:r>
        <w:rPr>
          <w:rFonts w:ascii="Courier New" w:cs="Courier New" w:eastAsia="Courier New" w:hAnsi="Courier New"/>
          <w:color w:val="1B2A4A"/>
          <w:sz w:val="16"/>
          <w:szCs w:val="16"/>
        </w:rPr>
        <w:t xml:space="preserve">      "Africa medical device GTM strategy|You need a market-by-market hospital procurement, physician adoption, and distribution sequencing plan.",</w:t>
      </w:r>
    </w:p>
    <w:p>
      <w:pPr>
        <w:shd w:fill="F0F0F0" w:val="clear"/>
        <w:spacing w:after="14" w:before="14"/>
        <w:ind w:left="360"/>
      </w:pPr>
      <w:r>
        <w:rPr>
          <w:rFonts w:ascii="Courier New" w:cs="Courier New" w:eastAsia="Courier New" w:hAnsi="Courier New"/>
          <w:color w:val="1B2A4A"/>
          <w:sz w:val="16"/>
          <w:szCs w:val="16"/>
        </w:rPr>
        <w:t xml:space="preserve">      "Raising capital for Africa medical device investment|You need a pitch book grounded in Africa medical device market data and universal health coverage demand analysis.",</w:t>
      </w:r>
    </w:p>
    <w:p>
      <w:pPr>
        <w:shd w:fill="F0F0F0" w:val="clear"/>
        <w:spacing w:after="14" w:before="14"/>
        <w:ind w:left="360"/>
      </w:pPr>
      <w:r>
        <w:rPr>
          <w:rFonts w:ascii="Courier New" w:cs="Courier New" w:eastAsia="Courier New" w:hAnsi="Courier New"/>
          <w:color w:val="1B2A4A"/>
          <w:sz w:val="16"/>
          <w:szCs w:val="16"/>
        </w:rPr>
        <w:t xml:space="preserve">      "Africa-specific product packaging|You need a product packaging, pricing, and format adaptation strategy calibrated for African hospital budget levels."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physician and hospital demand for your medical device with clinical interviews and NAFDAC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medical device investment covering NAFDAC and SAHPRA compliance cost and distributor economics.",</w:t>
      </w:r>
    </w:p>
    <w:p>
      <w:pPr>
        <w:shd w:fill="F0F0F0" w:val="clear"/>
        <w:spacing w:after="14" w:before="14"/>
        <w:ind w:left="360"/>
      </w:pPr>
      <w:r>
        <w:rPr>
          <w:rFonts w:ascii="Courier New" w:cs="Courier New" w:eastAsia="Courier New" w:hAnsi="Courier New"/>
          <w:color w:val="1B2A4A"/>
          <w:sz w:val="16"/>
          <w:szCs w:val="16"/>
        </w:rPr>
        <w:t xml:space="preserve">      "End-to-end Africa medical device market entry including regulatory pathway, hospital distributor identification, and first-hospital-listing milestone.",</w:t>
      </w:r>
    </w:p>
    <w:p>
      <w:pPr>
        <w:shd w:fill="F0F0F0" w:val="clear"/>
        <w:spacing w:after="14" w:before="14"/>
        <w:ind w:left="360"/>
      </w:pPr>
      <w:r>
        <w:rPr>
          <w:rFonts w:ascii="Courier New" w:cs="Courier New" w:eastAsia="Courier New" w:hAnsi="Courier New"/>
          <w:color w:val="1B2A4A"/>
          <w:sz w:val="16"/>
          <w:szCs w:val="16"/>
        </w:rPr>
        <w:t xml:space="preserve">      "Embedded Africa medical device GTM team covering physician and hospital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medical device investment with universal health coverage and disease burden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AI-assisted point-of-care diagnostics for low-resource African settings to predictive device maintenance for Africa hospital equipment."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diagnostic equipment companies or also with surgical devices, imaging systems, and point-of-care technology companies entering Africa?|All medical device categories.",</w:t>
      </w:r>
    </w:p>
    <w:p>
      <w:pPr>
        <w:shd w:fill="F0F0F0" w:val="clear"/>
        <w:spacing w:after="14" w:before="14"/>
        <w:ind w:left="360"/>
      </w:pPr>
      <w:r>
        <w:rPr>
          <w:rFonts w:ascii="Courier New" w:cs="Courier New" w:eastAsia="Courier New" w:hAnsi="Courier New"/>
          <w:color w:val="1B2A4A"/>
          <w:sz w:val="16"/>
          <w:szCs w:val="16"/>
        </w:rPr>
        <w:t xml:space="preserve">      "Which African medical device markets does GreyRadius prioritise?|South Africa for SAHPRA regulatory standard and private health insurance procurement; Nigeria for NAFDAC-registered volume; Kenya for East Africa hub.",</w:t>
      </w:r>
    </w:p>
    <w:p>
      <w:pPr>
        <w:shd w:fill="F0F0F0" w:val="clear"/>
        <w:spacing w:after="14" w:before="14"/>
        <w:ind w:left="360"/>
      </w:pPr>
      <w:r>
        <w:rPr>
          <w:rFonts w:ascii="Courier New" w:cs="Courier New" w:eastAsia="Courier New" w:hAnsi="Courier New"/>
          <w:color w:val="1B2A4A"/>
          <w:sz w:val="16"/>
          <w:szCs w:val="16"/>
        </w:rPr>
        <w:t xml:space="preserve">      "How long does an Africa medical device engagement take?|Typically 10-14 weeks for multi-market regulatory mapping, physician demand research, and hospital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African medical device distributors with biomedical service capability?|Yes."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medical devices market entry, NAFDAC medical device registration consulting, South Africa SAHPRA advisory, Africa hospital device GTM strategy, Africa medical equipment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SAHPRA-approved private and public hospital procurement; Nigeria — NAFDAC-registered distributor network; Kenya — KEBS-certified East Africa hub; Ghana, Tanzania",</w:t>
      </w:r>
    </w:p>
    <w:p>
      <w:pPr>
        <w:shd w:fill="F0F0F0" w:val="clear"/>
        <w:spacing w:after="14" w:before="14"/>
        <w:ind w:left="360"/>
      </w:pPr>
      <w:r>
        <w:rPr>
          <w:rFonts w:ascii="Courier New" w:cs="Courier New" w:eastAsia="Courier New" w:hAnsi="Courier New"/>
          <w:color w:val="1B2A4A"/>
          <w:sz w:val="16"/>
          <w:szCs w:val="16"/>
        </w:rPr>
        <w:t xml:space="preserve">    "stat1n": "2B",</w:t>
      </w:r>
    </w:p>
    <w:p>
      <w:pPr>
        <w:shd w:fill="F0F0F0" w:val="clear"/>
        <w:spacing w:after="14" w:before="14"/>
        <w:ind w:left="360"/>
      </w:pPr>
      <w:r>
        <w:rPr>
          <w:rFonts w:ascii="Courier New" w:cs="Courier New" w:eastAsia="Courier New" w:hAnsi="Courier New"/>
          <w:color w:val="1B2A4A"/>
          <w:sz w:val="16"/>
          <w:szCs w:val="16"/>
        </w:rPr>
        <w:t xml:space="preserve">    "stat1l": "Africa medical devices market by 2028",</w:t>
      </w:r>
    </w:p>
    <w:p>
      <w:pPr>
        <w:shd w:fill="F0F0F0" w:val="clear"/>
        <w:spacing w:after="14" w:before="14"/>
        <w:ind w:left="360"/>
      </w:pPr>
      <w:r>
        <w:rPr>
          <w:rFonts w:ascii="Courier New" w:cs="Courier New" w:eastAsia="Courier New" w:hAnsi="Courier New"/>
          <w:color w:val="1B2A4A"/>
          <w:sz w:val="16"/>
          <w:szCs w:val="16"/>
        </w:rPr>
        <w:t xml:space="preserve">    "stat1b": "Universal health coverage investment, hospital infrastructure expansion, and diagnostic capability development driving 10% annual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medical device mandate",</w:t>
      </w:r>
    </w:p>
    <w:p>
      <w:pPr>
        <w:shd w:fill="F0F0F0" w:val="clear"/>
        <w:spacing w:after="14" w:before="14"/>
        <w:ind w:left="360"/>
      </w:pPr>
      <w:r>
        <w:rPr>
          <w:rFonts w:ascii="Courier New" w:cs="Courier New" w:eastAsia="Courier New" w:hAnsi="Courier New"/>
          <w:color w:val="1B2A4A"/>
          <w:sz w:val="16"/>
          <w:szCs w:val="16"/>
        </w:rPr>
        <w:t xml:space="preserve">    "stat2b": "African physicians, hospital procurement heads, and medical device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NAFDAC regulatory mapping and physician demand research delivers Africa medical device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"gulf-semiconductor-market-entry",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"semiconductors",</w:t>
      </w:r>
    </w:p>
    <w:p>
      <w:pPr>
        <w:shd w:fill="F0F0F0" w:val="clear"/>
        <w:spacing w:after="14" w:before="14"/>
        <w:ind w:left="360"/>
      </w:pPr>
      <w:r>
        <w:rPr>
          <w:rFonts w:ascii="Courier New" w:cs="Courier New" w:eastAsia="Courier New" w:hAnsi="Courier New"/>
          <w:color w:val="1B2A4A"/>
          <w:sz w:val="16"/>
          <w:szCs w:val="16"/>
        </w:rPr>
        <w:t xml:space="preserve">    "title": "Gulf Semiconductor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semiconductor companies enter Gulf markets with market entry strategy, NEOM technology programme access, Saudi and UAE semiconductor investment programme identification, and partner identification.",</w:t>
      </w:r>
    </w:p>
    <w:p>
      <w:pPr>
        <w:shd w:fill="F0F0F0" w:val="clear"/>
        <w:spacing w:after="14" w:before="14"/>
        <w:ind w:left="360"/>
      </w:pPr>
      <w:r>
        <w:rPr>
          <w:rFonts w:ascii="Courier New" w:cs="Courier New" w:eastAsia="Courier New" w:hAnsi="Courier New"/>
          <w:color w:val="1B2A4A"/>
          <w:sz w:val="16"/>
          <w:szCs w:val="16"/>
        </w:rPr>
        <w:t xml:space="preserve">    "h1": "Gulf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semiconductor technology to Gulf digital infrastructure investment — strategy for semiconductor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semiconductor market is at an early but rapidly accelerating investment stage — with Saudi Arabia's Vision 2030 AI programme requiring significant chip compute infrastructure, UAE's AI hub ambitions driving GPU and AI chip procurement, NEOM's cognitive city requiring advanced semiconductor-enabled systems, and Gulf sovereign wealth funds actively seeking semiconductor supply chain investment opportunities. International semiconductor companies across AI chips, GPU infrastructure, semiconductor materials, and chip design services are all evaluating Gulf market entry. GreyRadius helps semiconductor companies validate Gulf government and enterprise demand, access Vision 2030 AI programme procurement, identify sovereign investment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00B+ AI infrastructure commitment and UAE's AI hub investments are creating semiconductor procurement at a scale that Gulf markets have never previously generated — NEOM's AI management systems, SDAIA's national AI compute infrastructure, and UAE AI campus investments are all procuring semiconductor technology in 2024-2027. The semiconductor companies establishing Gulf government AI programme relationships now will benefit from sustained procurement over the decade.",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semiconductor market is projected to reach B by 2028 — GPU compute infrastructure, AI chips, and semiconductor-enabled smart city systems all driving unprecedented Gulf semiconductor procurement.",</w:t>
      </w:r>
    </w:p>
    <w:p>
      <w:pPr>
        <w:shd w:fill="F0F0F0" w:val="clear"/>
        <w:spacing w:after="14" w:before="14"/>
        <w:ind w:left="360"/>
      </w:pPr>
      <w:r>
        <w:rPr>
          <w:rFonts w:ascii="Courier New" w:cs="Courier New" w:eastAsia="Courier New" w:hAnsi="Courier New"/>
          <w:color w:val="1B2A4A"/>
          <w:sz w:val="16"/>
          <w:szCs w:val="16"/>
        </w:rPr>
        <w:t xml:space="preserve">      "NEOM is the world's most ambitious semiconductor-enabled infrastructure project — the cognitive city's AI management, autonomous transport, and smart energy systems all require advanced semiconductor technology at unprecedented scale.",</w:t>
      </w:r>
    </w:p>
    <w:p>
      <w:pPr>
        <w:shd w:fill="F0F0F0" w:val="clear"/>
        <w:spacing w:after="14" w:before="14"/>
        <w:ind w:left="360"/>
      </w:pPr>
      <w:r>
        <w:rPr>
          <w:rFonts w:ascii="Courier New" w:cs="Courier New" w:eastAsia="Courier New" w:hAnsi="Courier New"/>
          <w:color w:val="1B2A4A"/>
          <w:sz w:val="16"/>
          <w:szCs w:val="16"/>
        </w:rPr>
        <w:t xml:space="preserve">      "Saudi Arabia's AI programme is the world's most active government AI compute buyer — SDAIA's national AI infrastructure and government AI programme compute requirements are creating sustained GPU and AI chip procurement.",</w:t>
      </w:r>
    </w:p>
    <w:p>
      <w:pPr>
        <w:shd w:fill="F0F0F0" w:val="clear"/>
        <w:spacing w:after="14" w:before="14"/>
        <w:ind w:left="360"/>
      </w:pPr>
      <w:r>
        <w:rPr>
          <w:rFonts w:ascii="Courier New" w:cs="Courier New" w:eastAsia="Courier New" w:hAnsi="Courier New"/>
          <w:color w:val="1B2A4A"/>
          <w:sz w:val="16"/>
          <w:szCs w:val="16"/>
        </w:rPr>
        <w:t xml:space="preserve">      "Gulf sovereign wealth funds are actively seeking semiconductor supply chain investment — PIF and Mubadala are both evaluating semiconductor value chain investments to reduce semiconductor supply chain vulnerability."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"Gulf semiconductor procurement is government-driven and relationship-dependent — NEOM, SDAIA, and UAE AI programme procurement decisions involve senior government relationships and sustained programme office engagement.",</w:t>
      </w:r>
    </w:p>
    <w:p>
      <w:pPr>
        <w:shd w:fill="F0F0F0" w:val="clear"/>
        <w:spacing w:after="14" w:before="14"/>
        <w:ind w:left="360"/>
      </w:pPr>
      <w:r>
        <w:rPr>
          <w:rFonts w:ascii="Courier New" w:cs="Courier New" w:eastAsia="Courier New" w:hAnsi="Courier New"/>
          <w:color w:val="1B2A4A"/>
          <w:sz w:val="16"/>
          <w:szCs w:val="16"/>
        </w:rPr>
        <w:t xml:space="preserve">      "Export controls affect semiconductor technology transfer to Gulf — US BIS export controls on advanced AI chips and semiconductor equipment affect what can be sold to Gulf buyers under current regulatory frameworks.",</w:t>
      </w:r>
    </w:p>
    <w:p>
      <w:pPr>
        <w:shd w:fill="F0F0F0" w:val="clear"/>
        <w:spacing w:after="14" w:before="14"/>
        <w:ind w:left="360"/>
      </w:pPr>
      <w:r>
        <w:rPr>
          <w:rFonts w:ascii="Courier New" w:cs="Courier New" w:eastAsia="Courier New" w:hAnsi="Courier New"/>
          <w:color w:val="1B2A4A"/>
          <w:sz w:val="16"/>
          <w:szCs w:val="16"/>
        </w:rPr>
        <w:t xml:space="preserve">      "Gulf semiconductor ecosystem is nascent — unlike East Asia, the Gulf has no established semiconductor manufacturing, design, or supply chain ecosystem requiring international companies to build relationships from scratch.",</w:t>
      </w:r>
    </w:p>
    <w:p>
      <w:pPr>
        <w:shd w:fill="F0F0F0" w:val="clear"/>
        <w:spacing w:after="14" w:before="14"/>
        <w:ind w:left="360"/>
      </w:pPr>
      <w:r>
        <w:rPr>
          <w:rFonts w:ascii="Courier New" w:cs="Courier New" w:eastAsia="Courier New" w:hAnsi="Courier New"/>
          <w:color w:val="1B2A4A"/>
          <w:sz w:val="16"/>
          <w:szCs w:val="16"/>
        </w:rPr>
        <w:t xml:space="preserve">      "Competition from hyperscaler chip platforms — NVIDIA, AMD, and Intel AI accelerators — with existing Gulf government relationships is intense in AI compute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semiconductor demand validation|You need to validate NEOM, SDAIA, and Gulf enterprise AI compute demand for your semiconductor product and understand export control implications.",</w:t>
      </w:r>
    </w:p>
    <w:p>
      <w:pPr>
        <w:shd w:fill="F0F0F0" w:val="clear"/>
        <w:spacing w:after="14" w:before="14"/>
        <w:ind w:left="360"/>
      </w:pPr>
      <w:r>
        <w:rPr>
          <w:rFonts w:ascii="Courier New" w:cs="Courier New" w:eastAsia="Courier New" w:hAnsi="Courier New"/>
          <w:color w:val="1B2A4A"/>
          <w:sz w:val="16"/>
          <w:szCs w:val="16"/>
        </w:rPr>
        <w:t xml:space="preserve">      "Vision 2030 AI programme access|You need to map active NEOM and SDAIA semiconductor and AI infrastructure procurement and identify the right programme access pathway.",</w:t>
      </w:r>
    </w:p>
    <w:p>
      <w:pPr>
        <w:shd w:fill="F0F0F0" w:val="clear"/>
        <w:spacing w:after="14" w:before="14"/>
        <w:ind w:left="360"/>
      </w:pPr>
      <w:r>
        <w:rPr>
          <w:rFonts w:ascii="Courier New" w:cs="Courier New" w:eastAsia="Courier New" w:hAnsi="Courier New"/>
          <w:color w:val="1B2A4A"/>
          <w:sz w:val="16"/>
          <w:szCs w:val="16"/>
        </w:rPr>
        <w:t xml:space="preserve">      "Gulf semiconductor partner identification|You need sovereign wealth fund investment contacts, government AI programme procurement heads, and Gulf systems integrators as commercial partners.",</w:t>
      </w:r>
    </w:p>
    <w:p>
      <w:pPr>
        <w:shd w:fill="F0F0F0" w:val="clear"/>
        <w:spacing w:after="14" w:before="14"/>
        <w:ind w:left="360"/>
      </w:pPr>
      <w:r>
        <w:rPr>
          <w:rFonts w:ascii="Courier New" w:cs="Courier New" w:eastAsia="Courier New" w:hAnsi="Courier New"/>
          <w:color w:val="1B2A4A"/>
          <w:sz w:val="16"/>
          <w:szCs w:val="16"/>
        </w:rPr>
        <w:t xml:space="preserve">      "Gulf semiconductor GTM strategy|You need a go-to-market plan covering NEOM cognitive city procurement, SDAIA AI compute, and UAE AI hub semiconductor supply.",</w:t>
      </w:r>
    </w:p>
    <w:p>
      <w:pPr>
        <w:shd w:fill="F0F0F0" w:val="clear"/>
        <w:spacing w:after="14" w:before="14"/>
        <w:ind w:left="360"/>
      </w:pPr>
      <w:r>
        <w:rPr>
          <w:rFonts w:ascii="Courier New" w:cs="Courier New" w:eastAsia="Courier New" w:hAnsi="Courier New"/>
          <w:color w:val="1B2A4A"/>
          <w:sz w:val="16"/>
          <w:szCs w:val="16"/>
        </w:rPr>
        <w:t xml:space="preserve">      "Raising capital for Gulf semiconductor investment|You need a pitch book grounded in Gulf AI infrastructure demand and sovereign investment interest analysis.",</w:t>
      </w:r>
    </w:p>
    <w:p>
      <w:pPr>
        <w:shd w:fill="F0F0F0" w:val="clear"/>
        <w:spacing w:after="14" w:before="14"/>
        <w:ind w:left="360"/>
      </w:pPr>
      <w:r>
        <w:rPr>
          <w:rFonts w:ascii="Courier New" w:cs="Courier New" w:eastAsia="Courier New" w:hAnsi="Courier New"/>
          <w:color w:val="1B2A4A"/>
          <w:sz w:val="16"/>
          <w:szCs w:val="16"/>
        </w:rPr>
        <w:t xml:space="preserve">      "Export control compliance strategy|You need a semiconductor export control compliance assessment for Gulf market sales under current US BIS and allied country frameworks."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government and enterprise semiconductor demand with Vision 2030 AI programme mapping and procurement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semiconductor investment covering export control compliance cost and government procurement timeline.",</w:t>
      </w:r>
    </w:p>
    <w:p>
      <w:pPr>
        <w:shd w:fill="F0F0F0" w:val="clear"/>
        <w:spacing w:after="14" w:before="14"/>
        <w:ind w:left="360"/>
      </w:pPr>
      <w:r>
        <w:rPr>
          <w:rFonts w:ascii="Courier New" w:cs="Courier New" w:eastAsia="Courier New" w:hAnsi="Courier New"/>
          <w:color w:val="1B2A4A"/>
          <w:sz w:val="16"/>
          <w:szCs w:val="16"/>
        </w:rPr>
        <w:t xml:space="preserve">      "End-to-end Gulf semiconductor market entry including Vision 2030 programme access, sovereign partner identification, and first-procurement milestone.",</w:t>
      </w:r>
    </w:p>
    <w:p>
      <w:pPr>
        <w:shd w:fill="F0F0F0" w:val="clear"/>
        <w:spacing w:after="14" w:before="14"/>
        <w:ind w:left="360"/>
      </w:pPr>
      <w:r>
        <w:rPr>
          <w:rFonts w:ascii="Courier New" w:cs="Courier New" w:eastAsia="Courier New" w:hAnsi="Courier New"/>
          <w:color w:val="1B2A4A"/>
          <w:sz w:val="16"/>
          <w:szCs w:val="16"/>
        </w:rPr>
        <w:t xml:space="preserve">      "Embedded Gulf semiconductor GTM team covering NEOM, SDAIA, and UAE AI hub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semiconductor investment with AI compute demand and sovereign investment narrative.",</w:t>
      </w:r>
    </w:p>
    <w:p>
      <w:pPr>
        <w:shd w:fill="F0F0F0" w:val="clear"/>
        <w:spacing w:after="14" w:before="14"/>
        <w:ind w:left="360"/>
      </w:pPr>
      <w:r>
        <w:rPr>
          <w:rFonts w:ascii="Courier New" w:cs="Courier New" w:eastAsia="Courier New" w:hAnsi="Courier New"/>
          <w:color w:val="1B2A4A"/>
          <w:sz w:val="16"/>
          <w:szCs w:val="16"/>
        </w:rPr>
        <w:t xml:space="preserve">      "Export control compliance strategy — BIS EAR classification and Gulf sales compliance architecture for semiconductor products."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AI chip companies or also with GPU infrastructure, semiconductor materials, and chip design services companies entering the Gulf?|All semiconductor categories.",</w:t>
      </w:r>
    </w:p>
    <w:p>
      <w:pPr>
        <w:shd w:fill="F0F0F0" w:val="clear"/>
        <w:spacing w:after="14" w:before="14"/>
        <w:ind w:left="360"/>
      </w:pPr>
      <w:r>
        <w:rPr>
          <w:rFonts w:ascii="Courier New" w:cs="Courier New" w:eastAsia="Courier New" w:hAnsi="Courier New"/>
          <w:color w:val="1B2A4A"/>
          <w:sz w:val="16"/>
          <w:szCs w:val="16"/>
        </w:rPr>
        <w:t xml:space="preserve">      "Which Gulf semiconductor markets does GreyRadius prioritise?|Saudi Arabia for SDAIA AI compute scale and NEOM procurement; UAE for AI hub and data centre semiconductor demand.",</w:t>
      </w:r>
    </w:p>
    <w:p>
      <w:pPr>
        <w:shd w:fill="F0F0F0" w:val="clear"/>
        <w:spacing w:after="14" w:before="14"/>
        <w:ind w:left="360"/>
      </w:pPr>
      <w:r>
        <w:rPr>
          <w:rFonts w:ascii="Courier New" w:cs="Courier New" w:eastAsia="Courier New" w:hAnsi="Courier New"/>
          <w:color w:val="1B2A4A"/>
          <w:sz w:val="16"/>
          <w:szCs w:val="16"/>
        </w:rPr>
        <w:t xml:space="preserve">      "How long does a Gulf semiconductor engagement take?|Typically 10-14 weeks for Vision 2030 programme mapping, export control assessment, and sovereign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NEOM and SDAIA semiconductor procurement contacts?|Yes."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semiconductor market entry, Saudi Arabia AI chip GTM strategy, NEOM semiconductor consulting, UAE GPU infrastructure advisory, Gulf AI compute market entry strategy",</w:t>
      </w:r>
    </w:p>
    <w:p>
      <w:pPr>
        <w:shd w:fill="F0F0F0" w:val="clear"/>
        <w:spacing w:after="14" w:before="14"/>
        <w:ind w:left="360"/>
      </w:pPr>
      <w:r>
        <w:rPr>
          <w:rFonts w:ascii="Courier New" w:cs="Courier New" w:eastAsia="Courier New" w:hAnsi="Courier New"/>
          <w:color w:val="1B2A4A"/>
          <w:sz w:val="16"/>
          <w:szCs w:val="16"/>
        </w:rPr>
        <w:t xml:space="preserve">    "regions": "Saudi Arabia — SDAIA AI infrastructure and NEOM cognitive city semiconductor procurement; UAE — Abu Dhabi AI hub and Dubai data centre GPU infrastructure",</w:t>
      </w:r>
    </w:p>
    <w:p>
      <w:pPr>
        <w:shd w:fill="F0F0F0" w:val="clear"/>
        <w:spacing w:after="14" w:before="14"/>
        <w:ind w:left="360"/>
      </w:pPr>
      <w:r>
        <w:rPr>
          <w:rFonts w:ascii="Courier New" w:cs="Courier New" w:eastAsia="Courier New" w:hAnsi="Courier New"/>
          <w:color w:val="1B2A4A"/>
          <w:sz w:val="16"/>
          <w:szCs w:val="16"/>
        </w:rPr>
        <w:t xml:space="preserve">    "stat1n": "B",</w:t>
      </w:r>
    </w:p>
    <w:p>
      <w:pPr>
        <w:shd w:fill="F0F0F0" w:val="clear"/>
        <w:spacing w:after="14" w:before="14"/>
        <w:ind w:left="360"/>
      </w:pPr>
      <w:r>
        <w:rPr>
          <w:rFonts w:ascii="Courier New" w:cs="Courier New" w:eastAsia="Courier New" w:hAnsi="Courier New"/>
          <w:color w:val="1B2A4A"/>
          <w:sz w:val="16"/>
          <w:szCs w:val="16"/>
        </w:rPr>
        <w:t xml:space="preserve">    "stat1l": "Gulf semiconductor market by 2028",</w:t>
      </w:r>
    </w:p>
    <w:p>
      <w:pPr>
        <w:shd w:fill="F0F0F0" w:val="clear"/>
        <w:spacing w:after="14" w:before="14"/>
        <w:ind w:left="360"/>
      </w:pPr>
      <w:r>
        <w:rPr>
          <w:rFonts w:ascii="Courier New" w:cs="Courier New" w:eastAsia="Courier New" w:hAnsi="Courier New"/>
          <w:color w:val="1B2A4A"/>
          <w:sz w:val="16"/>
          <w:szCs w:val="16"/>
        </w:rPr>
        <w:t xml:space="preserve">    "stat1b": "GPU compute infrastructure, AI chips, and semiconductor-enabled smart city systems driving unprecedented Gulf semiconductor procurement.",</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semiconductor mandate",</w:t>
      </w:r>
    </w:p>
    <w:p>
      <w:pPr>
        <w:shd w:fill="F0F0F0" w:val="clear"/>
        <w:spacing w:after="14" w:before="14"/>
        <w:ind w:left="360"/>
      </w:pPr>
      <w:r>
        <w:rPr>
          <w:rFonts w:ascii="Courier New" w:cs="Courier New" w:eastAsia="Courier New" w:hAnsi="Courier New"/>
          <w:color w:val="1B2A4A"/>
          <w:sz w:val="16"/>
          <w:szCs w:val="16"/>
        </w:rPr>
        <w:t xml:space="preserve">    "stat2b": "NEOM programme directors, SDAIA AI officials, and sovereign investment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semiconductor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Vision 2030 programme mapping and export control research delivers Gulf semiconductor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"africa-beauty-market-entry",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"beauty-personal-care",</w:t>
      </w:r>
    </w:p>
    <w:p>
      <w:pPr>
        <w:shd w:fill="F0F0F0" w:val="clear"/>
        <w:spacing w:after="14" w:before="14"/>
        <w:ind w:left="360"/>
      </w:pPr>
      <w:r>
        <w:rPr>
          <w:rFonts w:ascii="Courier New" w:cs="Courier New" w:eastAsia="Courier New" w:hAnsi="Courier New"/>
          <w:color w:val="1B2A4A"/>
          <w:sz w:val="16"/>
          <w:szCs w:val="16"/>
        </w:rPr>
        <w:t xml:space="preserve">    "title": "Africa Beauty &amp; Personal Care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beauty and personal care companies enter Africa with market entry strategy, NAFDAC and SAHPRA regulatory mapping, modern trade distribution, and consumer demand validation.",</w:t>
      </w:r>
    </w:p>
    <w:p>
      <w:pPr>
        <w:shd w:fill="F0F0F0" w:val="clear"/>
        <w:spacing w:after="14" w:before="14"/>
        <w:ind w:left="360"/>
      </w:pPr>
      <w:r>
        <w:rPr>
          <w:rFonts w:ascii="Courier New" w:cs="Courier New" w:eastAsia="Courier New" w:hAnsi="Courier New"/>
          <w:color w:val="1B2A4A"/>
          <w:sz w:val="16"/>
          <w:szCs w:val="16"/>
        </w:rPr>
        <w:t xml:space="preserve">    "h1": "Africa beauty and personal care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beauty brand to African consumer — strategy for beauty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beauty and personal care market is one of the world's most significant growth opportunities — with 1.4 billion consumers, the world's youngest population creating enormous beauty demand, Africa's growing middle class spending proportionally more on beauty than any other consumer category, and limited international brand penetration creating accessible market entry opportunities. International beauty companies across skincare, haircare, colour cosmetics, and personal care are all evaluating Africa as a beauty market. GreyRadius helps beauty companies validate African consumer demand, navigate NAFDAC, SAHPRA, and country-specific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"Africa's beauty e-commerce is growing at 35% — Jumia Beauty, Flutterwave-enabled beauty commerce, and social media beauty retail are all creating accessible distribution infrastructure for international beauty brands without the traditional offline distribution investment requirement. D2C through African beauty e-commerce and social selling is now viable as a first-entry route that was not possible three years ago.",</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beauty and personal care market is projected to reach 5B by 2028 — growing at 10% annually as urbanisation, middle class expansion, and beauty awareness all drive consumer spending.",</w:t>
      </w:r>
    </w:p>
    <w:p>
      <w:pPr>
        <w:shd w:fill="F0F0F0" w:val="clear"/>
        <w:spacing w:after="14" w:before="14"/>
        <w:ind w:left="360"/>
      </w:pPr>
      <w:r>
        <w:rPr>
          <w:rFonts w:ascii="Courier New" w:cs="Courier New" w:eastAsia="Courier New" w:hAnsi="Courier New"/>
          <w:color w:val="1B2A4A"/>
          <w:sz w:val="16"/>
          <w:szCs w:val="16"/>
        </w:rPr>
        <w:t xml:space="preserve">      "Nigeria is Africa's largest beauty market — 220 million consumers, a deeply beauty-conscious culture, and Lagos as a regional beauty trend setter creating the highest-volume African beauty commercial opportunity.",</w:t>
      </w:r>
    </w:p>
    <w:p>
      <w:pPr>
        <w:shd w:fill="F0F0F0" w:val="clear"/>
        <w:spacing w:after="14" w:before="14"/>
        <w:ind w:left="360"/>
      </w:pPr>
      <w:r>
        <w:rPr>
          <w:rFonts w:ascii="Courier New" w:cs="Courier New" w:eastAsia="Courier New" w:hAnsi="Courier New"/>
          <w:color w:val="1B2A4A"/>
          <w:sz w:val="16"/>
          <w:szCs w:val="16"/>
        </w:rPr>
        <w:t xml:space="preserve">      "Africa-specific beauty products are the fastest-growing category — dark-spot correction, protective styling for African hair textures, and African plant ingredient skincare are all growing at 25%+ annually.",</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beauty retail — Clicks, Dis-Chem, and Woolworths Food beauty creating accessible modern trade distribution that international beauty brands can enter through established routes."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"NAFDAC cosmetics registration in Nigeria requires specific labelling, Nigerian agent appointment, and product testing documentation that differs from international cosmetic regulatory standards.",</w:t>
      </w:r>
    </w:p>
    <w:p>
      <w:pPr>
        <w:shd w:fill="F0F0F0" w:val="clear"/>
        <w:spacing w:after="14" w:before="14"/>
        <w:ind w:left="360"/>
      </w:pPr>
      <w:r>
        <w:rPr>
          <w:rFonts w:ascii="Courier New" w:cs="Courier New" w:eastAsia="Courier New" w:hAnsi="Courier New"/>
          <w:color w:val="1B2A4A"/>
          <w:sz w:val="16"/>
          <w:szCs w:val="16"/>
        </w:rPr>
        <w:t xml:space="preserve">      "African beauty consumer preference for local and natural formulations is strong — positioning must acknowledge and respect African heritage beauty traditions while communicating international quality standards.",</w:t>
      </w:r>
    </w:p>
    <w:p>
      <w:pPr>
        <w:shd w:fill="F0F0F0" w:val="clear"/>
        <w:spacing w:after="14" w:before="14"/>
        <w:ind w:left="360"/>
      </w:pPr>
      <w:r>
        <w:rPr>
          <w:rFonts w:ascii="Courier New" w:cs="Courier New" w:eastAsia="Courier New" w:hAnsi="Courier New"/>
          <w:color w:val="1B2A4A"/>
          <w:sz w:val="16"/>
          <w:szCs w:val="16"/>
        </w:rPr>
        <w:t xml:space="preserve">      "Distribution fragmentation is significant — African beauty retail is split between formal modern trade, informal beauty supply stores, market traders, and social commerce requiring multi-channel distribution strategies.",</w:t>
      </w:r>
    </w:p>
    <w:p>
      <w:pPr>
        <w:shd w:fill="F0F0F0" w:val="clear"/>
        <w:spacing w:after="14" w:before="14"/>
        <w:ind w:left="360"/>
      </w:pPr>
      <w:r>
        <w:rPr>
          <w:rFonts w:ascii="Courier New" w:cs="Courier New" w:eastAsia="Courier New" w:hAnsi="Courier New"/>
          <w:color w:val="1B2A4A"/>
          <w:sz w:val="16"/>
          <w:szCs w:val="16"/>
        </w:rPr>
        <w:t xml:space="preserve">      "Counterfeit beauty products are a significant problem in West Africa — brand authentication and premium packaging that resists counterfeiting is essential for international beauty brands in Nigerian and Ghanaian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beauty consumer demand validation|You need to validate African consumer demand for your beauty product including skin tone coverage, hair texture compatibility, pricing, and distribution channel preference.",</w:t>
      </w:r>
    </w:p>
    <w:p>
      <w:pPr>
        <w:shd w:fill="F0F0F0" w:val="clear"/>
        <w:spacing w:after="14" w:before="14"/>
        <w:ind w:left="360"/>
      </w:pPr>
      <w:r>
        <w:rPr>
          <w:rFonts w:ascii="Courier New" w:cs="Courier New" w:eastAsia="Courier New" w:hAnsi="Courier New"/>
          <w:color w:val="1B2A4A"/>
          <w:sz w:val="16"/>
          <w:szCs w:val="16"/>
        </w:rPr>
        <w:t xml:space="preserve">      "NAFDAC and SAHPRA cosmetic regulatory pathway|You need to understand NAFDAC cosmetic import registration, SAHPRA cosmetic notification, and country-specific cosmetic regulatory requirements.",</w:t>
      </w:r>
    </w:p>
    <w:p>
      <w:pPr>
        <w:shd w:fill="F0F0F0" w:val="clear"/>
        <w:spacing w:after="14" w:before="14"/>
        <w:ind w:left="360"/>
      </w:pPr>
      <w:r>
        <w:rPr>
          <w:rFonts w:ascii="Courier New" w:cs="Courier New" w:eastAsia="Courier New" w:hAnsi="Courier New"/>
          <w:color w:val="1B2A4A"/>
          <w:sz w:val="16"/>
          <w:szCs w:val="16"/>
        </w:rPr>
        <w:t xml:space="preserve">      "Africa beauty distribution partner identification|You need African beauty distributors with Clicks, Dis-Chem, and modern trade relationships, and social commerce and informal trade reach.",</w:t>
      </w:r>
    </w:p>
    <w:p>
      <w:pPr>
        <w:shd w:fill="F0F0F0" w:val="clear"/>
        <w:spacing w:after="14" w:before="14"/>
        <w:ind w:left="360"/>
      </w:pPr>
      <w:r>
        <w:rPr>
          <w:rFonts w:ascii="Courier New" w:cs="Courier New" w:eastAsia="Courier New" w:hAnsi="Courier New"/>
          <w:color w:val="1B2A4A"/>
          <w:sz w:val="16"/>
          <w:szCs w:val="16"/>
        </w:rPr>
        <w:t xml:space="preserve">      "Africa beauty GTM strategy|You need a market-by-market consumer acquisition plan covering modern trade listing, beauty e-commerce, and social commerce channels.",</w:t>
      </w:r>
    </w:p>
    <w:p>
      <w:pPr>
        <w:shd w:fill="F0F0F0" w:val="clear"/>
        <w:spacing w:after="14" w:before="14"/>
        <w:ind w:left="360"/>
      </w:pPr>
      <w:r>
        <w:rPr>
          <w:rFonts w:ascii="Courier New" w:cs="Courier New" w:eastAsia="Courier New" w:hAnsi="Courier New"/>
          <w:color w:val="1B2A4A"/>
          <w:sz w:val="16"/>
          <w:szCs w:val="16"/>
        </w:rPr>
        <w:t xml:space="preserve">      "Raising capital for Africa beauty investment|You need a pitch book grounded in Africa beauty market data and African skin and hair product demand analysis.",</w:t>
      </w:r>
    </w:p>
    <w:p>
      <w:pPr>
        <w:shd w:fill="F0F0F0" w:val="clear"/>
        <w:spacing w:after="14" w:before="14"/>
        <w:ind w:left="360"/>
      </w:pPr>
      <w:r>
        <w:rPr>
          <w:rFonts w:ascii="Courier New" w:cs="Courier New" w:eastAsia="Courier New" w:hAnsi="Courier New"/>
          <w:color w:val="1B2A4A"/>
          <w:sz w:val="16"/>
          <w:szCs w:val="16"/>
        </w:rPr>
        <w:t xml:space="preserve">      "Africa-specific product adaptation|You need a product formulation and range adaptation strategy for African skin tones, hair textures, and consumer preferences."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consumer demand for your beauty product with consumer research and NAFDAC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beauty investment covering NAFDAC compliance cost and modern trade distribution economics.",</w:t>
      </w:r>
    </w:p>
    <w:p>
      <w:pPr>
        <w:shd w:fill="F0F0F0" w:val="clear"/>
        <w:spacing w:after="14" w:before="14"/>
        <w:ind w:left="360"/>
      </w:pPr>
      <w:r>
        <w:rPr>
          <w:rFonts w:ascii="Courier New" w:cs="Courier New" w:eastAsia="Courier New" w:hAnsi="Courier New"/>
          <w:color w:val="1B2A4A"/>
          <w:sz w:val="16"/>
          <w:szCs w:val="16"/>
        </w:rPr>
        <w:t xml:space="preserve">      "End-to-end Africa beauty market entry including regulatory pathway, Clicks and Dis-Chem partnership, and first-consumer-acquisition milestone.",</w:t>
      </w:r>
    </w:p>
    <w:p>
      <w:pPr>
        <w:shd w:fill="F0F0F0" w:val="clear"/>
        <w:spacing w:after="14" w:before="14"/>
        <w:ind w:left="360"/>
      </w:pPr>
      <w:r>
        <w:rPr>
          <w:rFonts w:ascii="Courier New" w:cs="Courier New" w:eastAsia="Courier New" w:hAnsi="Courier New"/>
          <w:color w:val="1B2A4A"/>
          <w:sz w:val="16"/>
          <w:szCs w:val="16"/>
        </w:rPr>
        <w:t xml:space="preserve">      "Embedded Africa beauty GTM team covering modern trade buyer and beauty e-commerce platform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beauty investment with African beauty market growth and young demographic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skin tone shade matching AI to Nigerian consumer beauty preference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skincare companies or also with haircare, colour cosmetics, and personal care companies entering Africa?|All beauty and personal care categories.",</w:t>
      </w:r>
    </w:p>
    <w:p>
      <w:pPr>
        <w:shd w:fill="F0F0F0" w:val="clear"/>
        <w:spacing w:after="14" w:before="14"/>
        <w:ind w:left="360"/>
      </w:pPr>
      <w:r>
        <w:rPr>
          <w:rFonts w:ascii="Courier New" w:cs="Courier New" w:eastAsia="Courier New" w:hAnsi="Courier New"/>
          <w:color w:val="1B2A4A"/>
          <w:sz w:val="16"/>
          <w:szCs w:val="16"/>
        </w:rPr>
        <w:t xml:space="preserve">      "Which African beauty markets does GreyRadius prioritise?|Nigeria for largest consumer volume; South Africa for most sophisticated retail and SAHPRA regulatory equivalency; Kenya for East Africa hub; Ghana for West Africa alternative.",</w:t>
      </w:r>
    </w:p>
    <w:p>
      <w:pPr>
        <w:shd w:fill="F0F0F0" w:val="clear"/>
        <w:spacing w:after="14" w:before="14"/>
        <w:ind w:left="360"/>
      </w:pPr>
      <w:r>
        <w:rPr>
          <w:rFonts w:ascii="Courier New" w:cs="Courier New" w:eastAsia="Courier New" w:hAnsi="Courier New"/>
          <w:color w:val="1B2A4A"/>
          <w:sz w:val="16"/>
          <w:szCs w:val="16"/>
        </w:rPr>
        <w:t xml:space="preserve">      "How long does an Africa beauty engagement take?|Typically 8-12 weeks for consumer demand research, NAFDAC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Clicks and Dis-Chem category buyer contacts for beauty brands entering South Africa?|Yes."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beauty market entry, Nigeria NAFDAC cosmetics GTM strategy, South Africa beauty retail consulting, Africa skincare advisory, Africa beauty personal care market entry",</w:t>
      </w:r>
    </w:p>
    <w:p>
      <w:pPr>
        <w:shd w:fill="F0F0F0" w:val="clear"/>
        <w:spacing w:after="14" w:before="14"/>
        <w:ind w:left="360"/>
      </w:pPr>
      <w:r>
        <w:rPr>
          <w:rFonts w:ascii="Courier New" w:cs="Courier New" w:eastAsia="Courier New" w:hAnsi="Courier New"/>
          <w:color w:val="1B2A4A"/>
          <w:sz w:val="16"/>
          <w:szCs w:val="16"/>
        </w:rPr>
        <w:t xml:space="preserve">    "regions": "Nigeria — NAFDAC-registered Lagos and Abuja modern trade and informal beauty; South Africa — Clicks and Dis-Chem modern trade beauty; Kenya — Nairobi beauty retail; Ghana — Accra beauty",</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"Africa beauty and personal care market by 2028",</w:t>
      </w:r>
    </w:p>
    <w:p>
      <w:pPr>
        <w:shd w:fill="F0F0F0" w:val="clear"/>
        <w:spacing w:after="14" w:before="14"/>
        <w:ind w:left="360"/>
      </w:pPr>
      <w:r>
        <w:rPr>
          <w:rFonts w:ascii="Courier New" w:cs="Courier New" w:eastAsia="Courier New" w:hAnsi="Courier New"/>
          <w:color w:val="1B2A4A"/>
          <w:sz w:val="16"/>
          <w:szCs w:val="16"/>
        </w:rPr>
        <w:t xml:space="preserve">    "stat1b": "Urbanisation, middle class expansion, and Africa-specific beauty product demand driving 10% annual beauty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beauty mandate",</w:t>
      </w:r>
    </w:p>
    <w:p>
      <w:pPr>
        <w:shd w:fill="F0F0F0" w:val="clear"/>
        <w:spacing w:after="14" w:before="14"/>
        <w:ind w:left="360"/>
      </w:pPr>
      <w:r>
        <w:rPr>
          <w:rFonts w:ascii="Courier New" w:cs="Courier New" w:eastAsia="Courier New" w:hAnsi="Courier New"/>
          <w:color w:val="1B2A4A"/>
          <w:sz w:val="16"/>
          <w:szCs w:val="16"/>
        </w:rPr>
        <w:t xml:space="preserve">    "stat2b": "African consumers, modern trade beauty buyers, and beauty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beauty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NAFDAC regulatory mapping delivers Africa beauty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Running total after Batch 20</w:t>
      </w:r>
    </w:p>
    <w:p>
      <w:pPr>
        <w:spacing w:after="60" w:before="60"/>
      </w:pPr>
      <w:r>
        <w:rPr>
          <w:rFonts w:ascii="Arial" w:cs="Arial" w:eastAsia="Arial" w:hAnsi="Arial"/>
          <w:color w:val="222222"/>
          <w:sz w:val="20"/>
          <w:szCs w:val="20"/>
        </w:rPr>
        <w:t xml:space="preserve">Previous total (Batches 1–19):  339 pages</w:t>
      </w:r>
    </w:p>
    <w:p>
      <w:pPr>
        <w:spacing w:after="60" w:before="60"/>
      </w:pPr>
      <w:r>
        <w:rPr>
          <w:rFonts w:ascii="Arial" w:cs="Arial" w:eastAsia="Arial" w:hAnsi="Arial"/>
          <w:color w:val="222222"/>
          <w:sz w:val="20"/>
          <w:szCs w:val="20"/>
        </w:rPr>
        <w:t xml:space="preserve">Batch 20:                         21 pages</w:t>
      </w:r>
    </w:p>
    <w:p>
      <w:pPr>
        <w:spacing w:after="60" w:before="60"/>
      </w:pPr>
      <w:r>
        <w:rPr>
          <w:rFonts w:ascii="Arial" w:cs="Arial" w:eastAsia="Arial" w:hAnsi="Arial"/>
          <w:color w:val="222222"/>
          <w:sz w:val="20"/>
          <w:szCs w:val="20"/>
        </w:rPr>
        <w:t xml:space="preserve">New total:                        360 pages</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Remaining to reach 400-page Phase 2 target: 40 pages</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Suggested Batch 21 topics: Africa medical devices, Southeast Asia pharma, Gulf medical devices, Africa beauty, Southeast Asia food-beverage, India gaming, Gulf gaming, Africa wealthtech, India corporate learning, Gulf corporate learning, Southeast Asia HRtech, India residential development, Gulf residential development, Africa residential development, India freight-cargo, Gulf freight-cargo, India rare earth, Southeast Asia rare earth, Africa rare earth, India mental health tech.</w:t>
      </w:r>
    </w:p>
    <w:p>
      <w:pPr>
        <w:spacing w:before="400"/>
      </w:pPr>
      <w:r>
        <w:rPr>
          <w:rFonts w:ascii="Arial" w:cs="Arial" w:eastAsia="Arial" w:hAnsi="Arial"/>
          <w:i/>
          <w:iCs/>
          <w:color w:val="666666"/>
          <w:sz w:val="16"/>
          <w:szCs w:val="16"/>
        </w:rPr>
        <w:t xml:space="preserve">GreyRadius Consulting | SEO Build Pack Batch 20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2026-06-27T14:00:45.227Z</dcterms:created>
  <dcterms:modified xsi:type="dcterms:W3CDTF">2026-06-27T14:00:45.227Z</dcterms:modified>
</cp:coreProperties>
</file>

<file path=docProps/custom.xml><?xml version="1.0" encoding="utf-8"?>
<Properties xmlns="http://schemas.openxmlformats.org/officeDocument/2006/custom-properties" xmlns:vt="http://schemas.openxmlformats.org/officeDocument/2006/docPropsVTypes"/>
</file>