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pPr>
      <w:r>
        <w:rPr>
          <w:rFonts w:ascii="Arial" w:cs="Arial" w:eastAsia="Arial" w:hAnsi="Arial"/>
          <w:b/>
          <w:bCs/>
          <w:color w:val="1B2A4A"/>
          <w:sz w:val="52"/>
          <w:szCs w:val="52"/>
        </w:rPr>
        <w:t xml:space="preserve">GREYRADIUS CONSULTING</w:t>
      </w:r>
    </w:p>
    <w:p>
      <w:pPr>
        <w:spacing w:after="80" w:before="0"/>
      </w:pPr>
      <w:r>
        <w:rPr>
          <w:rFonts w:ascii="Arial" w:cs="Arial" w:eastAsia="Arial" w:hAnsi="Arial"/>
          <w:color w:val="E8612C"/>
          <w:sz w:val="30"/>
          <w:szCs w:val="30"/>
        </w:rPr>
        <w:t xml:space="preserve">SEO Build Pack — Batch 21</w:t>
      </w:r>
    </w:p>
    <w:p>
      <w:pPr>
        <w:spacing w:after="80" w:before="0"/>
      </w:pPr>
      <w:r>
        <w:rPr>
          <w:rFonts w:ascii="Arial" w:cs="Arial" w:eastAsia="Arial" w:hAnsi="Arial"/>
          <w:b/>
          <w:bCs/>
          <w:color w:val="2E7D32"/>
          <w:sz w:val="22"/>
          <w:szCs w:val="22"/>
        </w:rPr>
        <w:t xml:space="preserve">VERIFIED: 20 pages | All unique | No duplicates</w:t>
      </w:r>
    </w:p>
    <w:p>
      <w:pPr>
        <w:spacing w:after="200" w:before="0"/>
      </w:pPr>
      <w:r>
        <w:rPr>
          <w:rFonts w:ascii="Arial" w:cs="Arial" w:eastAsia="Arial" w:hAnsi="Arial"/>
          <w:b/>
          <w:bCs/>
          <w:color w:val="E8612C"/>
          <w:sz w:val="20"/>
          <w:szCs w:val="20"/>
        </w:rPr>
        <w:t xml:space="preserve">Save JSON as: data/industry-pages-batch21.json</w:t>
      </w:r>
    </w:p>
    <w:p>
      <w:pPr>
        <w:spacing w:after="600" w:before="0"/>
      </w:pPr>
      <w:r>
        <w:rPr>
          <w:rFonts w:ascii="Arial" w:cs="Arial" w:eastAsia="Arial" w:hAnsi="Arial"/>
          <w:i/>
          <w:iCs/>
          <w:color w:val="666666"/>
          <w:sz w:val="18"/>
          <w:szCs w:val="18"/>
        </w:rPr>
        <w:t xml:space="preserve">June 2026 | Confidential</w:t>
      </w:r>
    </w:p>
    <w:p>
      <w:pPr>
        <w:pBdr>
          <w:bottom w:val="single" w:color="1B2A4A" w:sz="8" w:space="1"/>
        </w:pBdr>
        <w:spacing w:after="200" w:before="200"/>
      </w:pPr>
      <w:r>
        <w:rPr>
          <w:rFonts w:ascii="Arial" w:cs="Arial" w:eastAsia="Arial" w:hAnsi="Arial"/>
        </w:rPr>
        <w:t xml:space="preserve"/>
      </w:r>
    </w:p>
    <w:p>
      <w:pPr>
        <w:pStyle w:val="Heading1"/>
        <w:spacing w:after="160" w:before="400"/>
      </w:pPr>
      <w:r>
        <w:rPr>
          <w:rFonts w:ascii="Arial" w:cs="Arial" w:eastAsia="Arial" w:hAnsi="Arial"/>
          <w:b/>
          <w:bCs/>
          <w:color w:val="1B2A4A"/>
          <w:sz w:val="32"/>
          <w:szCs w:val="32"/>
        </w:rPr>
        <w:t xml:space="preserve">Section 1: Page index — all 20 pages</w:t>
      </w:r>
    </w:p>
    <w:p>
      <w:pPr>
        <w:spacing w:after="60" w:before="60"/>
      </w:pPr>
      <w:r>
        <w:rPr>
          <w:rFonts w:ascii="Arial" w:cs="Arial" w:eastAsia="Arial" w:hAnsi="Arial"/>
          <w:i/>
          <w:iCs/>
          <w:color w:val="666666"/>
          <w:sz w:val="18"/>
          <w:szCs w:val="18"/>
        </w:rPr>
        <w:t xml:space="preserve">Sectors: corporate-learning (3), gaming (3), higher-education (2), rare-earth-metals (3), residential-development (3), freight-cargo (2), last-mile-delivery (2), mental-health-tech (2).</w:t>
      </w:r>
    </w:p>
    <w:p>
      <w:pPr>
        <w:pStyle w:val="ListParagraph"/>
        <w:numPr>
          <w:ilvl w:val="0"/>
          <w:numId w:val="2"/>
        </w:numPr>
        <w:spacing w:after="40" w:before="40"/>
      </w:pPr>
      <w:r>
        <w:rPr>
          <w:rFonts w:ascii="Arial" w:cs="Arial" w:eastAsia="Arial" w:hAnsi="Arial"/>
          <w:color w:val="222222"/>
          <w:sz w:val="20"/>
          <w:szCs w:val="20"/>
        </w:rPr>
        <w:t xml:space="preserve">[corporate-learning] gulf-corporate-learning → industries/corporate-learning/gulf-corporate-learning.html</w:t>
      </w:r>
    </w:p>
    <w:p>
      <w:pPr>
        <w:pStyle w:val="ListParagraph"/>
        <w:numPr>
          <w:ilvl w:val="0"/>
          <w:numId w:val="2"/>
        </w:numPr>
        <w:spacing w:after="40" w:before="40"/>
      </w:pPr>
      <w:r>
        <w:rPr>
          <w:rFonts w:ascii="Arial" w:cs="Arial" w:eastAsia="Arial" w:hAnsi="Arial"/>
          <w:color w:val="222222"/>
          <w:sz w:val="20"/>
          <w:szCs w:val="20"/>
        </w:rPr>
        <w:t xml:space="preserve">[corporate-learning] india-corporate-learning → industries/corporate-learning/india-corporate-learning.html</w:t>
      </w:r>
    </w:p>
    <w:p>
      <w:pPr>
        <w:pStyle w:val="ListParagraph"/>
        <w:numPr>
          <w:ilvl w:val="0"/>
          <w:numId w:val="2"/>
        </w:numPr>
        <w:spacing w:after="40" w:before="40"/>
      </w:pPr>
      <w:r>
        <w:rPr>
          <w:rFonts w:ascii="Arial" w:cs="Arial" w:eastAsia="Arial" w:hAnsi="Arial"/>
          <w:color w:val="222222"/>
          <w:sz w:val="20"/>
          <w:szCs w:val="20"/>
        </w:rPr>
        <w:t xml:space="preserve">[corporate-learning] africa-corporate-learning → industries/corporate-learning/africa-corporate-learning.html</w:t>
      </w:r>
    </w:p>
    <w:p>
      <w:pPr>
        <w:pStyle w:val="ListParagraph"/>
        <w:numPr>
          <w:ilvl w:val="0"/>
          <w:numId w:val="2"/>
        </w:numPr>
        <w:spacing w:after="40" w:before="40"/>
      </w:pPr>
      <w:r>
        <w:rPr>
          <w:rFonts w:ascii="Arial" w:cs="Arial" w:eastAsia="Arial" w:hAnsi="Arial"/>
          <w:color w:val="222222"/>
          <w:sz w:val="20"/>
          <w:szCs w:val="20"/>
        </w:rPr>
        <w:t xml:space="preserve">[gaming] india-gaming-market-entry → industries/gaming/india-gaming-market-entry.html</w:t>
      </w:r>
    </w:p>
    <w:p>
      <w:pPr>
        <w:pStyle w:val="ListParagraph"/>
        <w:numPr>
          <w:ilvl w:val="0"/>
          <w:numId w:val="2"/>
        </w:numPr>
        <w:spacing w:after="40" w:before="40"/>
      </w:pPr>
      <w:r>
        <w:rPr>
          <w:rFonts w:ascii="Arial" w:cs="Arial" w:eastAsia="Arial" w:hAnsi="Arial"/>
          <w:color w:val="222222"/>
          <w:sz w:val="20"/>
          <w:szCs w:val="20"/>
        </w:rPr>
        <w:t xml:space="preserve">[gaming] gulf-gaming-market-entry → industries/gaming/gulf-gaming-market-entry.html</w:t>
      </w:r>
    </w:p>
    <w:p>
      <w:pPr>
        <w:pStyle w:val="ListParagraph"/>
        <w:numPr>
          <w:ilvl w:val="0"/>
          <w:numId w:val="2"/>
        </w:numPr>
        <w:spacing w:after="40" w:before="40"/>
      </w:pPr>
      <w:r>
        <w:rPr>
          <w:rFonts w:ascii="Arial" w:cs="Arial" w:eastAsia="Arial" w:hAnsi="Arial"/>
          <w:color w:val="222222"/>
          <w:sz w:val="20"/>
          <w:szCs w:val="20"/>
        </w:rPr>
        <w:t xml:space="preserve">[gaming] southeast-asia-gaming → industries/gaming/southeast-asia-gaming.html</w:t>
      </w:r>
    </w:p>
    <w:p>
      <w:pPr>
        <w:pStyle w:val="ListParagraph"/>
        <w:numPr>
          <w:ilvl w:val="0"/>
          <w:numId w:val="2"/>
        </w:numPr>
        <w:spacing w:after="40" w:before="40"/>
      </w:pPr>
      <w:r>
        <w:rPr>
          <w:rFonts w:ascii="Arial" w:cs="Arial" w:eastAsia="Arial" w:hAnsi="Arial"/>
          <w:color w:val="222222"/>
          <w:sz w:val="20"/>
          <w:szCs w:val="20"/>
        </w:rPr>
        <w:t xml:space="preserve">[higher-education] india-higher-education → industries/higher-education/india-higher-education.html</w:t>
      </w:r>
    </w:p>
    <w:p>
      <w:pPr>
        <w:pStyle w:val="ListParagraph"/>
        <w:numPr>
          <w:ilvl w:val="0"/>
          <w:numId w:val="2"/>
        </w:numPr>
        <w:spacing w:after="40" w:before="40"/>
      </w:pPr>
      <w:r>
        <w:rPr>
          <w:rFonts w:ascii="Arial" w:cs="Arial" w:eastAsia="Arial" w:hAnsi="Arial"/>
          <w:color w:val="222222"/>
          <w:sz w:val="20"/>
          <w:szCs w:val="20"/>
        </w:rPr>
        <w:t xml:space="preserve">[higher-education] gulf-higher-education → industries/higher-education/gulf-higher-education.html</w:t>
      </w:r>
    </w:p>
    <w:p>
      <w:pPr>
        <w:pStyle w:val="ListParagraph"/>
        <w:numPr>
          <w:ilvl w:val="0"/>
          <w:numId w:val="2"/>
        </w:numPr>
        <w:spacing w:after="40" w:before="40"/>
      </w:pPr>
      <w:r>
        <w:rPr>
          <w:rFonts w:ascii="Arial" w:cs="Arial" w:eastAsia="Arial" w:hAnsi="Arial"/>
          <w:color w:val="222222"/>
          <w:sz w:val="20"/>
          <w:szCs w:val="20"/>
        </w:rPr>
        <w:t xml:space="preserve">[rare-earth-metals] africa-rare-earth → industries/rare-earth-metals/africa-rare-earth.html</w:t>
      </w:r>
    </w:p>
    <w:p>
      <w:pPr>
        <w:pStyle w:val="ListParagraph"/>
        <w:numPr>
          <w:ilvl w:val="0"/>
          <w:numId w:val="2"/>
        </w:numPr>
        <w:spacing w:after="40" w:before="40"/>
      </w:pPr>
      <w:r>
        <w:rPr>
          <w:rFonts w:ascii="Arial" w:cs="Arial" w:eastAsia="Arial" w:hAnsi="Arial"/>
          <w:color w:val="222222"/>
          <w:sz w:val="20"/>
          <w:szCs w:val="20"/>
        </w:rPr>
        <w:t xml:space="preserve">[rare-earth-metals] india-rare-earth → industries/rare-earth-metals/india-rare-earth.html</w:t>
      </w:r>
    </w:p>
    <w:p>
      <w:pPr>
        <w:pStyle w:val="ListParagraph"/>
        <w:numPr>
          <w:ilvl w:val="0"/>
          <w:numId w:val="2"/>
        </w:numPr>
        <w:spacing w:after="40" w:before="40"/>
      </w:pPr>
      <w:r>
        <w:rPr>
          <w:rFonts w:ascii="Arial" w:cs="Arial" w:eastAsia="Arial" w:hAnsi="Arial"/>
          <w:color w:val="222222"/>
          <w:sz w:val="20"/>
          <w:szCs w:val="20"/>
        </w:rPr>
        <w:t xml:space="preserve">[rare-earth-metals] southeast-asia-rare-earth → industries/rare-earth-metals/southeast-asia-rare-earth.html</w:t>
      </w:r>
    </w:p>
    <w:p>
      <w:pPr>
        <w:pStyle w:val="ListParagraph"/>
        <w:numPr>
          <w:ilvl w:val="0"/>
          <w:numId w:val="2"/>
        </w:numPr>
        <w:spacing w:after="40" w:before="40"/>
      </w:pPr>
      <w:r>
        <w:rPr>
          <w:rFonts w:ascii="Arial" w:cs="Arial" w:eastAsia="Arial" w:hAnsi="Arial"/>
          <w:color w:val="222222"/>
          <w:sz w:val="20"/>
          <w:szCs w:val="20"/>
        </w:rPr>
        <w:t xml:space="preserve">[residential-development] india-residential-development → industries/residential-development/india-residential-development.html</w:t>
      </w:r>
    </w:p>
    <w:p>
      <w:pPr>
        <w:pStyle w:val="ListParagraph"/>
        <w:numPr>
          <w:ilvl w:val="0"/>
          <w:numId w:val="2"/>
        </w:numPr>
        <w:spacing w:after="40" w:before="40"/>
      </w:pPr>
      <w:r>
        <w:rPr>
          <w:rFonts w:ascii="Arial" w:cs="Arial" w:eastAsia="Arial" w:hAnsi="Arial"/>
          <w:color w:val="222222"/>
          <w:sz w:val="20"/>
          <w:szCs w:val="20"/>
        </w:rPr>
        <w:t xml:space="preserve">[residential-development] gulf-residential-development → industries/residential-development/gulf-residential-development.html</w:t>
      </w:r>
    </w:p>
    <w:p>
      <w:pPr>
        <w:pStyle w:val="ListParagraph"/>
        <w:numPr>
          <w:ilvl w:val="0"/>
          <w:numId w:val="2"/>
        </w:numPr>
        <w:spacing w:after="40" w:before="40"/>
      </w:pPr>
      <w:r>
        <w:rPr>
          <w:rFonts w:ascii="Arial" w:cs="Arial" w:eastAsia="Arial" w:hAnsi="Arial"/>
          <w:color w:val="222222"/>
          <w:sz w:val="20"/>
          <w:szCs w:val="20"/>
        </w:rPr>
        <w:t xml:space="preserve">[residential-development] africa-residential-development → industries/residential-development/africa-residential-development.html</w:t>
      </w:r>
    </w:p>
    <w:p>
      <w:pPr>
        <w:pStyle w:val="ListParagraph"/>
        <w:numPr>
          <w:ilvl w:val="0"/>
          <w:numId w:val="2"/>
        </w:numPr>
        <w:spacing w:after="40" w:before="40"/>
      </w:pPr>
      <w:r>
        <w:rPr>
          <w:rFonts w:ascii="Arial" w:cs="Arial" w:eastAsia="Arial" w:hAnsi="Arial"/>
          <w:color w:val="222222"/>
          <w:sz w:val="20"/>
          <w:szCs w:val="20"/>
        </w:rPr>
        <w:t xml:space="preserve">[freight-cargo] india-freight-cargo → industries/freight-cargo/india-freight-cargo.html</w:t>
      </w:r>
    </w:p>
    <w:p>
      <w:pPr>
        <w:pStyle w:val="ListParagraph"/>
        <w:numPr>
          <w:ilvl w:val="0"/>
          <w:numId w:val="2"/>
        </w:numPr>
        <w:spacing w:after="40" w:before="40"/>
      </w:pPr>
      <w:r>
        <w:rPr>
          <w:rFonts w:ascii="Arial" w:cs="Arial" w:eastAsia="Arial" w:hAnsi="Arial"/>
          <w:color w:val="222222"/>
          <w:sz w:val="20"/>
          <w:szCs w:val="20"/>
        </w:rPr>
        <w:t xml:space="preserve">[freight-cargo] gulf-freight-cargo → industries/freight-cargo/gulf-freight-cargo.html</w:t>
      </w:r>
    </w:p>
    <w:p>
      <w:pPr>
        <w:pStyle w:val="ListParagraph"/>
        <w:numPr>
          <w:ilvl w:val="0"/>
          <w:numId w:val="2"/>
        </w:numPr>
        <w:spacing w:after="40" w:before="40"/>
      </w:pPr>
      <w:r>
        <w:rPr>
          <w:rFonts w:ascii="Arial" w:cs="Arial" w:eastAsia="Arial" w:hAnsi="Arial"/>
          <w:color w:val="222222"/>
          <w:sz w:val="20"/>
          <w:szCs w:val="20"/>
        </w:rPr>
        <w:t xml:space="preserve">[last-mile-delivery] india-last-mile → industries/last-mile-delivery/india-last-mile.html</w:t>
      </w:r>
    </w:p>
    <w:p>
      <w:pPr>
        <w:pStyle w:val="ListParagraph"/>
        <w:numPr>
          <w:ilvl w:val="0"/>
          <w:numId w:val="2"/>
        </w:numPr>
        <w:spacing w:after="40" w:before="40"/>
      </w:pPr>
      <w:r>
        <w:rPr>
          <w:rFonts w:ascii="Arial" w:cs="Arial" w:eastAsia="Arial" w:hAnsi="Arial"/>
          <w:color w:val="222222"/>
          <w:sz w:val="20"/>
          <w:szCs w:val="20"/>
        </w:rPr>
        <w:t xml:space="preserve">[last-mile-delivery] gulf-last-mile → industries/last-mile-delivery/gulf-last-mile.html</w:t>
      </w:r>
    </w:p>
    <w:p>
      <w:pPr>
        <w:pStyle w:val="ListParagraph"/>
        <w:numPr>
          <w:ilvl w:val="0"/>
          <w:numId w:val="2"/>
        </w:numPr>
        <w:spacing w:after="40" w:before="40"/>
      </w:pPr>
      <w:r>
        <w:rPr>
          <w:rFonts w:ascii="Arial" w:cs="Arial" w:eastAsia="Arial" w:hAnsi="Arial"/>
          <w:color w:val="222222"/>
          <w:sz w:val="20"/>
          <w:szCs w:val="20"/>
        </w:rPr>
        <w:t xml:space="preserve">[mental-health-tech] gulf-mental-health → industries/mental-health-tech/gulf-mental-health.html</w:t>
      </w:r>
    </w:p>
    <w:p>
      <w:pPr>
        <w:pStyle w:val="ListParagraph"/>
        <w:numPr>
          <w:ilvl w:val="0"/>
          <w:numId w:val="2"/>
        </w:numPr>
        <w:spacing w:after="40" w:before="40"/>
      </w:pPr>
      <w:r>
        <w:rPr>
          <w:rFonts w:ascii="Arial" w:cs="Arial" w:eastAsia="Arial" w:hAnsi="Arial"/>
          <w:color w:val="222222"/>
          <w:sz w:val="20"/>
          <w:szCs w:val="20"/>
        </w:rPr>
        <w:t xml:space="preserve">[mental-health-tech] india-mental-health → industries/mental-health-tech/india-mental-health.html</w:t>
      </w:r>
    </w:p>
    <w:p>
      <w:pPr>
        <w:pBdr>
          <w:bottom w:val="single" w:color="1B2A4A" w:sz="8" w:space="1"/>
        </w:pBdr>
        <w:spacing w:after="200" w:before="200"/>
      </w:pPr>
      <w:r>
        <w:rPr>
          <w:rFonts w:ascii="Arial" w:cs="Arial" w:eastAsia="Arial" w:hAnsi="Arial"/>
        </w:rPr>
        <w:t xml:space="preserve"/>
      </w:r>
    </w:p>
    <w:p>
      <w:pPr>
        <w:pStyle w:val="Heading1"/>
        <w:spacing w:after="160" w:before="400"/>
      </w:pPr>
      <w:r>
        <w:rPr>
          <w:rFonts w:ascii="Arial" w:cs="Arial" w:eastAsia="Arial" w:hAnsi="Arial"/>
          <w:b/>
          <w:bCs/>
          <w:color w:val="1B2A4A"/>
          <w:sz w:val="32"/>
          <w:szCs w:val="32"/>
        </w:rPr>
        <w:t xml:space="preserve">Section 2: Replit prompt</w:t>
      </w:r>
    </w:p>
    <w:p>
      <w:pPr>
        <w:spacing w:after="60" w:before="60"/>
      </w:pPr>
      <w:r>
        <w:rPr>
          <w:rFonts w:ascii="Arial" w:cs="Arial" w:eastAsia="Arial" w:hAnsi="Arial"/>
          <w:i/>
          <w:iCs/>
          <w:color w:val="666666"/>
          <w:sz w:val="18"/>
          <w:szCs w:val="18"/>
        </w:rPr>
        <w:t xml:space="preserve">Copy and paste directly into Replit AI without modification.</w:t>
      </w:r>
    </w:p>
    <w:p>
      <w:pPr>
        <w:spacing w:after="40" w:before="80"/>
      </w:pPr>
    </w:p>
    <w:p>
      <w:pPr>
        <w:shd w:fill="F0F0F0" w:val="clear"/>
        <w:spacing w:after="14" w:before="14"/>
        <w:ind w:left="360"/>
      </w:pPr>
      <w:r>
        <w:rPr>
          <w:rFonts w:ascii="Courier New" w:cs="Courier New" w:eastAsia="Courier New" w:hAnsi="Courier New"/>
          <w:color w:val="1B2A4A"/>
          <w:sz w:val="16"/>
          <w:szCs w:val="16"/>
        </w:rPr>
        <w:t xml:space="preserve">===================================================</w:t>
      </w:r>
    </w:p>
    <w:p>
      <w:pPr>
        <w:shd w:fill="F0F0F0" w:val="clear"/>
        <w:spacing w:after="14" w:before="14"/>
        <w:ind w:left="360"/>
      </w:pPr>
      <w:r>
        <w:rPr>
          <w:rFonts w:ascii="Courier New" w:cs="Courier New" w:eastAsia="Courier New" w:hAnsi="Courier New"/>
          <w:color w:val="1B2A4A"/>
          <w:sz w:val="16"/>
          <w:szCs w:val="16"/>
        </w:rPr>
        <w:t xml:space="preserve">GREYRADIUS INDUSTRY PAGES — BATCH 21 BUILD</w:t>
      </w:r>
    </w:p>
    <w:p>
      <w:pPr>
        <w:shd w:fill="F0F0F0" w:val="clear"/>
        <w:spacing w:after="14" w:before="14"/>
        <w:ind w:left="360"/>
      </w:pPr>
      <w:r>
        <w:rPr>
          <w:rFonts w:ascii="Courier New" w:cs="Courier New" w:eastAsia="Courier New" w:hAnsi="Courier New"/>
          <w:color w:val="1B2A4A"/>
          <w:sz w:val="16"/>
          <w:szCs w:val="16"/>
        </w:rPr>
        <w:t xml:space="preserve">===================================================</w:t>
      </w:r>
    </w:p>
    <w:p>
      <w:pPr>
        <w:shd w:fill="F0F0F0" w:val="clear"/>
        <w:spacing w:after="14" w:before="14"/>
        <w:ind w:left="360"/>
      </w:pPr>
      <w:r>
        <w:rPr>
          <w:rFonts w:ascii="Courier New" w:cs="Courier New" w:eastAsia="Courier New" w:hAnsi="Courier New"/>
          <w:color w:val="1B2A4A"/>
          <w:sz w:val="16"/>
          <w:szCs w:val="16"/>
        </w:rPr>
        <w:t xml:space="preserve">JSON file:  data/industry-pages-batch21.json</w:t>
      </w:r>
    </w:p>
    <w:p>
      <w:pPr>
        <w:shd w:fill="F0F0F0" w:val="clear"/>
        <w:spacing w:after="14" w:before="14"/>
        <w:ind w:left="360"/>
      </w:pPr>
      <w:r>
        <w:rPr>
          <w:rFonts w:ascii="Courier New" w:cs="Courier New" w:eastAsia="Courier New" w:hAnsi="Courier New"/>
          <w:color w:val="1B2A4A"/>
          <w:sz w:val="16"/>
          <w:szCs w:val="16"/>
        </w:rPr>
        <w:t xml:space="preserve">Template:   templates/industry-page-template.html</w:t>
      </w:r>
    </w:p>
    <w:p>
      <w:pPr>
        <w:shd w:fill="F0F0F0" w:val="clear"/>
        <w:spacing w:after="14" w:before="14"/>
        <w:ind w:left="360"/>
      </w:pPr>
      <w:r>
        <w:rPr>
          <w:rFonts w:ascii="Courier New" w:cs="Courier New" w:eastAsia="Courier New" w:hAnsi="Courier New"/>
          <w:color w:val="1B2A4A"/>
          <w:sz w:val="16"/>
          <w:szCs w:val="16"/>
        </w:rPr>
        <w:t xml:space="preserve">Pages:      20 (verified — no duplicates)</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FOCUS: Sector gap fill — corporate-learning, gaming,</w:t>
      </w:r>
    </w:p>
    <w:p>
      <w:pPr>
        <w:shd w:fill="F0F0F0" w:val="clear"/>
        <w:spacing w:after="14" w:before="14"/>
        <w:ind w:left="360"/>
      </w:pPr>
      <w:r>
        <w:rPr>
          <w:rFonts w:ascii="Courier New" w:cs="Courier New" w:eastAsia="Courier New" w:hAnsi="Courier New"/>
          <w:color w:val="1B2A4A"/>
          <w:sz w:val="16"/>
          <w:szCs w:val="16"/>
        </w:rPr>
        <w:t xml:space="preserve">higher-education, rare-earth-metals, residential-development,</w:t>
      </w:r>
    </w:p>
    <w:p>
      <w:pPr>
        <w:shd w:fill="F0F0F0" w:val="clear"/>
        <w:spacing w:after="14" w:before="14"/>
        <w:ind w:left="360"/>
      </w:pPr>
      <w:r>
        <w:rPr>
          <w:rFonts w:ascii="Courier New" w:cs="Courier New" w:eastAsia="Courier New" w:hAnsi="Courier New"/>
          <w:color w:val="1B2A4A"/>
          <w:sz w:val="16"/>
          <w:szCs w:val="16"/>
        </w:rPr>
        <w:t xml:space="preserve">freight-cargo, last-mile-delivery, mental-health-tech.</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PAGES TO BUILD:</w:t>
      </w:r>
    </w:p>
    <w:p>
      <w:pPr>
        <w:shd w:fill="F0F0F0" w:val="clear"/>
        <w:spacing w:after="14" w:before="14"/>
        <w:ind w:left="360"/>
      </w:pPr>
      <w:r>
        <w:rPr>
          <w:rFonts w:ascii="Courier New" w:cs="Courier New" w:eastAsia="Courier New" w:hAnsi="Courier New"/>
          <w:color w:val="1B2A4A"/>
          <w:sz w:val="16"/>
          <w:szCs w:val="16"/>
        </w:rPr>
        <w:t xml:space="preserve">   1. [corporate-learning] gulf-corporate-learning.html</w:t>
      </w:r>
    </w:p>
    <w:p>
      <w:pPr>
        <w:shd w:fill="F0F0F0" w:val="clear"/>
        <w:spacing w:after="14" w:before="14"/>
        <w:ind w:left="360"/>
      </w:pPr>
      <w:r>
        <w:rPr>
          <w:rFonts w:ascii="Courier New" w:cs="Courier New" w:eastAsia="Courier New" w:hAnsi="Courier New"/>
          <w:color w:val="1B2A4A"/>
          <w:sz w:val="16"/>
          <w:szCs w:val="16"/>
        </w:rPr>
        <w:t xml:space="preserve">   2. [corporate-learning] india-corporate-learning.html</w:t>
      </w:r>
    </w:p>
    <w:p>
      <w:pPr>
        <w:shd w:fill="F0F0F0" w:val="clear"/>
        <w:spacing w:after="14" w:before="14"/>
        <w:ind w:left="360"/>
      </w:pPr>
      <w:r>
        <w:rPr>
          <w:rFonts w:ascii="Courier New" w:cs="Courier New" w:eastAsia="Courier New" w:hAnsi="Courier New"/>
          <w:color w:val="1B2A4A"/>
          <w:sz w:val="16"/>
          <w:szCs w:val="16"/>
        </w:rPr>
        <w:t xml:space="preserve">   3. [corporate-learning] africa-corporate-learning.html</w:t>
      </w:r>
    </w:p>
    <w:p>
      <w:pPr>
        <w:shd w:fill="F0F0F0" w:val="clear"/>
        <w:spacing w:after="14" w:before="14"/>
        <w:ind w:left="360"/>
      </w:pPr>
      <w:r>
        <w:rPr>
          <w:rFonts w:ascii="Courier New" w:cs="Courier New" w:eastAsia="Courier New" w:hAnsi="Courier New"/>
          <w:color w:val="1B2A4A"/>
          <w:sz w:val="16"/>
          <w:szCs w:val="16"/>
        </w:rPr>
        <w:t xml:space="preserve">   4. [gaming] india-gaming-market-entry.html</w:t>
      </w:r>
    </w:p>
    <w:p>
      <w:pPr>
        <w:shd w:fill="F0F0F0" w:val="clear"/>
        <w:spacing w:after="14" w:before="14"/>
        <w:ind w:left="360"/>
      </w:pPr>
      <w:r>
        <w:rPr>
          <w:rFonts w:ascii="Courier New" w:cs="Courier New" w:eastAsia="Courier New" w:hAnsi="Courier New"/>
          <w:color w:val="1B2A4A"/>
          <w:sz w:val="16"/>
          <w:szCs w:val="16"/>
        </w:rPr>
        <w:t xml:space="preserve">   5. [gaming] gulf-gaming-market-entry.html</w:t>
      </w:r>
    </w:p>
    <w:p>
      <w:pPr>
        <w:shd w:fill="F0F0F0" w:val="clear"/>
        <w:spacing w:after="14" w:before="14"/>
        <w:ind w:left="360"/>
      </w:pPr>
      <w:r>
        <w:rPr>
          <w:rFonts w:ascii="Courier New" w:cs="Courier New" w:eastAsia="Courier New" w:hAnsi="Courier New"/>
          <w:color w:val="1B2A4A"/>
          <w:sz w:val="16"/>
          <w:szCs w:val="16"/>
        </w:rPr>
        <w:t xml:space="preserve">   6. [gaming] southeast-asia-gaming.html</w:t>
      </w:r>
    </w:p>
    <w:p>
      <w:pPr>
        <w:shd w:fill="F0F0F0" w:val="clear"/>
        <w:spacing w:after="14" w:before="14"/>
        <w:ind w:left="360"/>
      </w:pPr>
      <w:r>
        <w:rPr>
          <w:rFonts w:ascii="Courier New" w:cs="Courier New" w:eastAsia="Courier New" w:hAnsi="Courier New"/>
          <w:color w:val="1B2A4A"/>
          <w:sz w:val="16"/>
          <w:szCs w:val="16"/>
        </w:rPr>
        <w:t xml:space="preserve">   7. [higher-education] india-higher-education.html</w:t>
      </w:r>
    </w:p>
    <w:p>
      <w:pPr>
        <w:shd w:fill="F0F0F0" w:val="clear"/>
        <w:spacing w:after="14" w:before="14"/>
        <w:ind w:left="360"/>
      </w:pPr>
      <w:r>
        <w:rPr>
          <w:rFonts w:ascii="Courier New" w:cs="Courier New" w:eastAsia="Courier New" w:hAnsi="Courier New"/>
          <w:color w:val="1B2A4A"/>
          <w:sz w:val="16"/>
          <w:szCs w:val="16"/>
        </w:rPr>
        <w:t xml:space="preserve">   8. [higher-education] gulf-higher-education.html</w:t>
      </w:r>
    </w:p>
    <w:p>
      <w:pPr>
        <w:shd w:fill="F0F0F0" w:val="clear"/>
        <w:spacing w:after="14" w:before="14"/>
        <w:ind w:left="360"/>
      </w:pPr>
      <w:r>
        <w:rPr>
          <w:rFonts w:ascii="Courier New" w:cs="Courier New" w:eastAsia="Courier New" w:hAnsi="Courier New"/>
          <w:color w:val="1B2A4A"/>
          <w:sz w:val="16"/>
          <w:szCs w:val="16"/>
        </w:rPr>
        <w:t xml:space="preserve">   9. [rare-earth-metals] africa-rare-earth.html</w:t>
      </w:r>
    </w:p>
    <w:p>
      <w:pPr>
        <w:shd w:fill="F0F0F0" w:val="clear"/>
        <w:spacing w:after="14" w:before="14"/>
        <w:ind w:left="360"/>
      </w:pPr>
      <w:r>
        <w:rPr>
          <w:rFonts w:ascii="Courier New" w:cs="Courier New" w:eastAsia="Courier New" w:hAnsi="Courier New"/>
          <w:color w:val="1B2A4A"/>
          <w:sz w:val="16"/>
          <w:szCs w:val="16"/>
        </w:rPr>
        <w:t xml:space="preserve">  10. [rare-earth-metals] india-rare-earth.html</w:t>
      </w:r>
    </w:p>
    <w:p>
      <w:pPr>
        <w:shd w:fill="F0F0F0" w:val="clear"/>
        <w:spacing w:after="14" w:before="14"/>
        <w:ind w:left="360"/>
      </w:pPr>
      <w:r>
        <w:rPr>
          <w:rFonts w:ascii="Courier New" w:cs="Courier New" w:eastAsia="Courier New" w:hAnsi="Courier New"/>
          <w:color w:val="1B2A4A"/>
          <w:sz w:val="16"/>
          <w:szCs w:val="16"/>
        </w:rPr>
        <w:t xml:space="preserve">  11. [rare-earth-metals] southeast-asia-rare-earth.html</w:t>
      </w:r>
    </w:p>
    <w:p>
      <w:pPr>
        <w:shd w:fill="F0F0F0" w:val="clear"/>
        <w:spacing w:after="14" w:before="14"/>
        <w:ind w:left="360"/>
      </w:pPr>
      <w:r>
        <w:rPr>
          <w:rFonts w:ascii="Courier New" w:cs="Courier New" w:eastAsia="Courier New" w:hAnsi="Courier New"/>
          <w:color w:val="1B2A4A"/>
          <w:sz w:val="16"/>
          <w:szCs w:val="16"/>
        </w:rPr>
        <w:t xml:space="preserve">  12. [residential-development] india-residential-development.html</w:t>
      </w:r>
    </w:p>
    <w:p>
      <w:pPr>
        <w:shd w:fill="F0F0F0" w:val="clear"/>
        <w:spacing w:after="14" w:before="14"/>
        <w:ind w:left="360"/>
      </w:pPr>
      <w:r>
        <w:rPr>
          <w:rFonts w:ascii="Courier New" w:cs="Courier New" w:eastAsia="Courier New" w:hAnsi="Courier New"/>
          <w:color w:val="1B2A4A"/>
          <w:sz w:val="16"/>
          <w:szCs w:val="16"/>
        </w:rPr>
        <w:t xml:space="preserve">  13. [residential-development] gulf-residential-development.html</w:t>
      </w:r>
    </w:p>
    <w:p>
      <w:pPr>
        <w:shd w:fill="F0F0F0" w:val="clear"/>
        <w:spacing w:after="14" w:before="14"/>
        <w:ind w:left="360"/>
      </w:pPr>
      <w:r>
        <w:rPr>
          <w:rFonts w:ascii="Courier New" w:cs="Courier New" w:eastAsia="Courier New" w:hAnsi="Courier New"/>
          <w:color w:val="1B2A4A"/>
          <w:sz w:val="16"/>
          <w:szCs w:val="16"/>
        </w:rPr>
        <w:t xml:space="preserve">  14. [residential-development] africa-residential-development.html</w:t>
      </w:r>
    </w:p>
    <w:p>
      <w:pPr>
        <w:shd w:fill="F0F0F0" w:val="clear"/>
        <w:spacing w:after="14" w:before="14"/>
        <w:ind w:left="360"/>
      </w:pPr>
      <w:r>
        <w:rPr>
          <w:rFonts w:ascii="Courier New" w:cs="Courier New" w:eastAsia="Courier New" w:hAnsi="Courier New"/>
          <w:color w:val="1B2A4A"/>
          <w:sz w:val="16"/>
          <w:szCs w:val="16"/>
        </w:rPr>
        <w:t xml:space="preserve">  15. [freight-cargo] india-freight-cargo.html</w:t>
      </w:r>
    </w:p>
    <w:p>
      <w:pPr>
        <w:shd w:fill="F0F0F0" w:val="clear"/>
        <w:spacing w:after="14" w:before="14"/>
        <w:ind w:left="360"/>
      </w:pPr>
      <w:r>
        <w:rPr>
          <w:rFonts w:ascii="Courier New" w:cs="Courier New" w:eastAsia="Courier New" w:hAnsi="Courier New"/>
          <w:color w:val="1B2A4A"/>
          <w:sz w:val="16"/>
          <w:szCs w:val="16"/>
        </w:rPr>
        <w:t xml:space="preserve">  16. [freight-cargo] gulf-freight-cargo.html</w:t>
      </w:r>
    </w:p>
    <w:p>
      <w:pPr>
        <w:shd w:fill="F0F0F0" w:val="clear"/>
        <w:spacing w:after="14" w:before="14"/>
        <w:ind w:left="360"/>
      </w:pPr>
      <w:r>
        <w:rPr>
          <w:rFonts w:ascii="Courier New" w:cs="Courier New" w:eastAsia="Courier New" w:hAnsi="Courier New"/>
          <w:color w:val="1B2A4A"/>
          <w:sz w:val="16"/>
          <w:szCs w:val="16"/>
        </w:rPr>
        <w:t xml:space="preserve">  17. [last-mile-delivery] india-last-mile.html</w:t>
      </w:r>
    </w:p>
    <w:p>
      <w:pPr>
        <w:shd w:fill="F0F0F0" w:val="clear"/>
        <w:spacing w:after="14" w:before="14"/>
        <w:ind w:left="360"/>
      </w:pPr>
      <w:r>
        <w:rPr>
          <w:rFonts w:ascii="Courier New" w:cs="Courier New" w:eastAsia="Courier New" w:hAnsi="Courier New"/>
          <w:color w:val="1B2A4A"/>
          <w:sz w:val="16"/>
          <w:szCs w:val="16"/>
        </w:rPr>
        <w:t xml:space="preserve">  18. [last-mile-delivery] gulf-last-mile.html</w:t>
      </w:r>
    </w:p>
    <w:p>
      <w:pPr>
        <w:shd w:fill="F0F0F0" w:val="clear"/>
        <w:spacing w:after="14" w:before="14"/>
        <w:ind w:left="360"/>
      </w:pPr>
      <w:r>
        <w:rPr>
          <w:rFonts w:ascii="Courier New" w:cs="Courier New" w:eastAsia="Courier New" w:hAnsi="Courier New"/>
          <w:color w:val="1B2A4A"/>
          <w:sz w:val="16"/>
          <w:szCs w:val="16"/>
        </w:rPr>
        <w:t xml:space="preserve">  19. [mental-health-tech] gulf-mental-health.html</w:t>
      </w:r>
    </w:p>
    <w:p>
      <w:pPr>
        <w:shd w:fill="F0F0F0" w:val="clear"/>
        <w:spacing w:after="14" w:before="14"/>
        <w:ind w:left="360"/>
      </w:pPr>
      <w:r>
        <w:rPr>
          <w:rFonts w:ascii="Courier New" w:cs="Courier New" w:eastAsia="Courier New" w:hAnsi="Courier New"/>
          <w:color w:val="1B2A4A"/>
          <w:sz w:val="16"/>
          <w:szCs w:val="16"/>
        </w:rPr>
        <w:t xml:space="preserve">  20. [mental-health-tech] india-mental-health.html</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STEP 1 — VERIFY FILES exist:</w:t>
      </w:r>
    </w:p>
    <w:p>
      <w:pPr>
        <w:shd w:fill="F0F0F0" w:val="clear"/>
        <w:spacing w:after="14" w:before="14"/>
        <w:ind w:left="360"/>
      </w:pPr>
      <w:r>
        <w:rPr>
          <w:rFonts w:ascii="Courier New" w:cs="Courier New" w:eastAsia="Courier New" w:hAnsi="Courier New"/>
          <w:color w:val="1B2A4A"/>
          <w:sz w:val="16"/>
          <w:szCs w:val="16"/>
        </w:rPr>
        <w:t xml:space="preserve">  data/industry-pages-batch21.json</w:t>
      </w:r>
    </w:p>
    <w:p>
      <w:pPr>
        <w:shd w:fill="F0F0F0" w:val="clear"/>
        <w:spacing w:after="14" w:before="14"/>
        <w:ind w:left="360"/>
      </w:pPr>
      <w:r>
        <w:rPr>
          <w:rFonts w:ascii="Courier New" w:cs="Courier New" w:eastAsia="Courier New" w:hAnsi="Courier New"/>
          <w:color w:val="1B2A4A"/>
          <w:sz w:val="16"/>
          <w:szCs w:val="16"/>
        </w:rPr>
        <w:t xml:space="preserve">  templates/industry-page-template.html</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STEP 2 — BUILD ALL 20 PAGES</w:t>
      </w:r>
    </w:p>
    <w:p>
      <w:pPr>
        <w:shd w:fill="F0F0F0" w:val="clear"/>
        <w:spacing w:after="14" w:before="14"/>
        <w:ind w:left="360"/>
      </w:pPr>
      <w:r>
        <w:rPr>
          <w:rFonts w:ascii="Courier New" w:cs="Courier New" w:eastAsia="Courier New" w:hAnsi="Courier New"/>
          <w:color w:val="1B2A4A"/>
          <w:sz w:val="16"/>
          <w:szCs w:val="16"/>
        </w:rPr>
        <w:t xml:space="preserve">Same process as all previous batches.</w:t>
      </w:r>
    </w:p>
    <w:p>
      <w:pPr>
        <w:shd w:fill="F0F0F0" w:val="clear"/>
        <w:spacing w:after="14" w:before="14"/>
        <w:ind w:left="360"/>
      </w:pPr>
      <w:r>
        <w:rPr>
          <w:rFonts w:ascii="Courier New" w:cs="Courier New" w:eastAsia="Courier New" w:hAnsi="Courier New"/>
          <w:color w:val="1B2A4A"/>
          <w:sz w:val="16"/>
          <w:szCs w:val="16"/>
        </w:rPr>
        <w:t xml:space="preserve">Read JSON. For each page object:</w:t>
      </w:r>
    </w:p>
    <w:p>
      <w:pPr>
        <w:shd w:fill="F0F0F0" w:val="clear"/>
        <w:spacing w:after="14" w:before="14"/>
        <w:ind w:left="360"/>
      </w:pPr>
      <w:r>
        <w:rPr>
          <w:rFonts w:ascii="Courier New" w:cs="Courier New" w:eastAsia="Courier New" w:hAnsi="Courier New"/>
          <w:color w:val="1B2A4A"/>
          <w:sz w:val="16"/>
          <w:szCs w:val="16"/>
        </w:rPr>
        <w:t xml:space="preserve">  A. mkdir -p industries/[parent]</w:t>
      </w:r>
    </w:p>
    <w:p>
      <w:pPr>
        <w:shd w:fill="F0F0F0" w:val="clear"/>
        <w:spacing w:after="14" w:before="14"/>
        <w:ind w:left="360"/>
      </w:pPr>
      <w:r>
        <w:rPr>
          <w:rFonts w:ascii="Courier New" w:cs="Courier New" w:eastAsia="Courier New" w:hAnsi="Courier New"/>
          <w:color w:val="1B2A4A"/>
          <w:sz w:val="16"/>
          <w:szCs w:val="16"/>
        </w:rPr>
        <w:t xml:space="preserve">  B. Read template fresh</w:t>
      </w:r>
    </w:p>
    <w:p>
      <w:pPr>
        <w:shd w:fill="F0F0F0" w:val="clear"/>
        <w:spacing w:after="14" w:before="14"/>
        <w:ind w:left="360"/>
      </w:pPr>
      <w:r>
        <w:rPr>
          <w:rFonts w:ascii="Courier New" w:cs="Courier New" w:eastAsia="Courier New" w:hAnsi="Courier New"/>
          <w:color w:val="1B2A4A"/>
          <w:sz w:val="16"/>
          <w:szCs w:val="16"/>
        </w:rPr>
        <w:t xml:space="preserve">  C. Replace ALL tokens (same token list as all prior batches)</w:t>
      </w:r>
    </w:p>
    <w:p>
      <w:pPr>
        <w:shd w:fill="F0F0F0" w:val="clear"/>
        <w:spacing w:after="14" w:before="14"/>
        <w:ind w:left="360"/>
      </w:pPr>
      <w:r>
        <w:rPr>
          <w:rFonts w:ascii="Courier New" w:cs="Courier New" w:eastAsia="Courier New" w:hAnsi="Courier New"/>
          <w:color w:val="1B2A4A"/>
          <w:sz w:val="16"/>
          <w:szCs w:val="16"/>
        </w:rPr>
        <w:t xml:space="preserve">  D. Write to industries/[parent]/[slug].html</w:t>
      </w:r>
    </w:p>
    <w:p>
      <w:pPr>
        <w:shd w:fill="F0F0F0" w:val="clear"/>
        <w:spacing w:after="14" w:before="14"/>
        <w:ind w:left="360"/>
      </w:pPr>
      <w:r>
        <w:rPr>
          <w:rFonts w:ascii="Courier New" w:cs="Courier New" w:eastAsia="Courier New" w:hAnsi="Courier New"/>
          <w:color w:val="1B2A4A"/>
          <w:sz w:val="16"/>
          <w:szCs w:val="16"/>
        </w:rPr>
        <w:t xml:space="preserve">  E. Log: Created [path]</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STEP 3 — UPDATE SITEMAP (priority 0.7) and nav.</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STEP 4 — CONFIRM</w:t>
      </w:r>
    </w:p>
    <w:p>
      <w:pPr>
        <w:shd w:fill="F0F0F0" w:val="clear"/>
        <w:spacing w:after="14" w:before="14"/>
        <w:ind w:left="360"/>
      </w:pPr>
      <w:r>
        <w:rPr>
          <w:rFonts w:ascii="Courier New" w:cs="Courier New" w:eastAsia="Courier New" w:hAnsi="Courier New"/>
          <w:color w:val="1B2A4A"/>
          <w:sz w:val="16"/>
          <w:szCs w:val="16"/>
        </w:rPr>
        <w:t xml:space="preserve">Total pages created: [N] must equal 20</w:t>
      </w:r>
    </w:p>
    <w:p>
      <w:pPr>
        <w:shd w:fill="F0F0F0" w:val="clear"/>
        <w:spacing w:after="14" w:before="14"/>
        <w:ind w:left="360"/>
      </w:pPr>
      <w:r>
        <w:rPr>
          <w:rFonts w:ascii="Courier New" w:cs="Courier New" w:eastAsia="Courier New" w:hAnsi="Courier New"/>
          <w:color w:val="1B2A4A"/>
          <w:sz w:val="16"/>
          <w:szCs w:val="16"/>
        </w:rPr>
        <w:t xml:space="preserve">List all 20 file paths</w:t>
      </w:r>
    </w:p>
    <w:p>
      <w:pPr>
        <w:shd w:fill="F0F0F0" w:val="clear"/>
        <w:spacing w:after="14" w:before="14"/>
        <w:ind w:left="360"/>
      </w:pPr>
      <w:r>
        <w:rPr>
          <w:rFonts w:ascii="Courier New" w:cs="Courier New" w:eastAsia="Courier New" w:hAnsi="Courier New"/>
          <w:color w:val="1B2A4A"/>
          <w:sz w:val="16"/>
          <w:szCs w:val="16"/>
        </w:rPr>
        <w:t xml:space="preserve">Sitemap updated: yes/no</w:t>
      </w:r>
    </w:p>
    <w:p>
      <w:pPr>
        <w:shd w:fill="F0F0F0" w:val="clear"/>
        <w:spacing w:after="14" w:before="14"/>
        <w:ind w:left="360"/>
      </w:pPr>
      <w:r>
        <w:rPr>
          <w:rFonts w:ascii="Courier New" w:cs="Courier New" w:eastAsia="Courier New" w:hAnsi="Courier New"/>
          <w:color w:val="1B2A4A"/>
          <w:sz w:val="16"/>
          <w:szCs w:val="16"/>
        </w:rPr>
        <w:t xml:space="preserve">Any failures: [list]</w:t>
      </w:r>
    </w:p>
    <w:p>
      <w:pPr>
        <w:shd w:fill="F0F0F0" w:val="clear"/>
        <w:spacing w:after="14" w:before="14"/>
        <w:ind w:left="360"/>
      </w:pPr>
      <w:r>
        <w:rPr>
          <w:rFonts w:ascii="Courier New" w:cs="Courier New" w:eastAsia="Courier New" w:hAnsi="Courier New"/>
          <w:color w:val="1B2A4A"/>
          <w:sz w:val="16"/>
          <w:szCs w:val="16"/>
        </w:rPr>
        <w:t xml:space="preserve">===================================================</w:t>
      </w:r>
    </w:p>
    <w:p>
      <w:pPr>
        <w:shd w:fill="F0F0F0" w:val="clear"/>
        <w:spacing w:after="14" w:before="14"/>
        <w:ind w:left="360"/>
      </w:pPr>
      <w:r>
        <w:rPr>
          <w:rFonts w:ascii="Courier New" w:cs="Courier New" w:eastAsia="Courier New" w:hAnsi="Courier New"/>
          <w:color w:val="1B2A4A"/>
          <w:sz w:val="16"/>
          <w:szCs w:val="16"/>
        </w:rPr>
        <w:t xml:space="preserve">DO NOT write scripts. Read JSON. Replace tokens. Write.</w:t>
      </w:r>
    </w:p>
    <w:p>
      <w:pPr>
        <w:shd w:fill="F0F0F0" w:val="clear"/>
        <w:spacing w:after="14" w:before="14"/>
        <w:ind w:left="360"/>
      </w:pPr>
      <w:r>
        <w:rPr>
          <w:rFonts w:ascii="Courier New" w:cs="Courier New" w:eastAsia="Courier New" w:hAnsi="Courier New"/>
          <w:color w:val="1B2A4A"/>
          <w:sz w:val="16"/>
          <w:szCs w:val="16"/>
        </w:rPr>
        <w:t xml:space="preserve">===================================================</w:t>
      </w:r>
    </w:p>
    <w:p>
      <w:pPr>
        <w:pBdr>
          <w:bottom w:val="single" w:color="1B2A4A" w:sz="8" w:space="1"/>
        </w:pBdr>
        <w:spacing w:after="200" w:before="200"/>
      </w:pPr>
      <w:r>
        <w:rPr>
          <w:rFonts w:ascii="Arial" w:cs="Arial" w:eastAsia="Arial" w:hAnsi="Arial"/>
        </w:rPr>
        <w:t xml:space="preserve"/>
      </w:r>
    </w:p>
    <w:p>
      <w:pPr>
        <w:pStyle w:val="Heading1"/>
        <w:spacing w:after="160" w:before="400"/>
      </w:pPr>
      <w:r>
        <w:rPr>
          <w:rFonts w:ascii="Arial" w:cs="Arial" w:eastAsia="Arial" w:hAnsi="Arial"/>
          <w:b/>
          <w:bCs/>
          <w:color w:val="1B2A4A"/>
          <w:sz w:val="32"/>
          <w:szCs w:val="32"/>
        </w:rPr>
        <w:t xml:space="preserve">Section 3: JSON — save as data/industry-pages-batch21.json</w:t>
      </w:r>
    </w:p>
    <w:p>
      <w:pPr>
        <w:shd w:fill="F0F0F0" w:val="clear"/>
        <w:spacing w:after="14" w:before="14"/>
        <w:ind w:left="360"/>
      </w:pPr>
      <w:r>
        <w:rPr>
          <w:rFonts w:ascii="Courier New" w:cs="Courier New" w:eastAsia="Courier New" w:hAnsi="Courier New"/>
          <w:color w:val="1B2A4A"/>
          <w:sz w:val="16"/>
          <w:szCs w:val="16"/>
        </w:rPr>
        <w:t xml:space="preserv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"gulf-corporate-learning",</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"corporate-learning",</w:t>
      </w:r>
    </w:p>
    <w:p>
      <w:pPr>
        <w:shd w:fill="F0F0F0" w:val="clear"/>
        <w:spacing w:after="14" w:before="14"/>
        <w:ind w:left="360"/>
      </w:pPr>
      <w:r>
        <w:rPr>
          <w:rFonts w:ascii="Courier New" w:cs="Courier New" w:eastAsia="Courier New" w:hAnsi="Courier New"/>
          <w:color w:val="1B2A4A"/>
          <w:sz w:val="16"/>
          <w:szCs w:val="16"/>
        </w:rPr>
        <w:t xml:space="preserve">    "title": "Gulf Corporate Learning &amp; L&amp;D Market Entry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corporate learning and L&amp;D companies enter Gulf markets with Saudisation workforce development access, enterprise buyer research, government programme identification, and GTM strategy.",</w:t>
      </w:r>
    </w:p>
    <w:p>
      <w:pPr>
        <w:shd w:fill="F0F0F0" w:val="clear"/>
        <w:spacing w:after="14" w:before="14"/>
        <w:ind w:left="360"/>
      </w:pPr>
      <w:r>
        <w:rPr>
          <w:rFonts w:ascii="Courier New" w:cs="Courier New" w:eastAsia="Courier New" w:hAnsi="Courier New"/>
          <w:color w:val="1B2A4A"/>
          <w:sz w:val="16"/>
          <w:szCs w:val="16"/>
        </w:rPr>
        <w:t xml:space="preserve">    "h1": "Gulf corporate learning and L&amp;D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learning platform to Gulf enterprise workforce development — strategy for corporate learning companies entering the GCC.",</w:t>
      </w:r>
    </w:p>
    <w:p>
      <w:pPr>
        <w:shd w:fill="F0F0F0" w:val="clear"/>
        <w:spacing w:after="14" w:before="14"/>
        <w:ind w:left="360"/>
      </w:pPr>
      <w:r>
        <w:rPr>
          <w:rFonts w:ascii="Courier New" w:cs="Courier New" w:eastAsia="Courier New" w:hAnsi="Courier New"/>
          <w:color w:val="1B2A4A"/>
          <w:sz w:val="16"/>
          <w:szCs w:val="16"/>
        </w:rPr>
        <w:t xml:space="preserve">    "hero": "The Gulf's corporate learning and workforce development market is growing at extraordinary pace — driven by Saudisation and Emiratisation mandates requiring sustained national workforce upskilling, Vision 2030 human capital development programmes creating government-funded L&amp;D investment, and Gulf enterprises managing rapid digital transformation requiring continuous learning infrastructure. International corporate learning companies across LMS platforms, leadership development, professional certification, digital skills training, and blended learning programmes are all evaluating Gulf market entry. GreyRadius helps corporate learning companies validate Gulf enterprise and government demand, navigate workforce development programme access, identify content localisation requirements, and execute GTM.",</w:t>
      </w:r>
    </w:p>
    <w:p>
      <w:pPr>
        <w:shd w:fill="F0F0F0" w:val="clear"/>
        <w:spacing w:after="14" w:before="14"/>
        <w:ind w:left="360"/>
      </w:pPr>
      <w:r>
        <w:rPr>
          <w:rFonts w:ascii="Courier New" w:cs="Courier New" w:eastAsia="Courier New" w:hAnsi="Courier New"/>
          <w:color w:val="1B2A4A"/>
          <w:sz w:val="16"/>
          <w:szCs w:val="16"/>
        </w:rPr>
        <w:t xml:space="preserve">    "market_timing": "Saudi Arabia's Vision 2030 Human Capability Development Programme is the world's most funded national workforce development initiative — with $21B+ committed to Saudi national upskilling across digital skills, professional certifications, and leadership development. Corporate learning companies that establish programme partnerships with HRDF (Human Resources Development Fund) and NHC (National Human Capability Development) in 2024-2027 will access sustained government-funded L&amp;D procurement.",</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"Gulf corporate learning market is projected to reach $4B by 2028 — growing at 18% annually as Saudisation mandates, Vision 2030 human capital programmes, and enterprise digital transformation all drive L&amp;D investment.",</w:t>
      </w:r>
    </w:p>
    <w:p>
      <w:pPr>
        <w:shd w:fill="F0F0F0" w:val="clear"/>
        <w:spacing w:after="14" w:before="14"/>
        <w:ind w:left="360"/>
      </w:pPr>
      <w:r>
        <w:rPr>
          <w:rFonts w:ascii="Courier New" w:cs="Courier New" w:eastAsia="Courier New" w:hAnsi="Courier New"/>
          <w:color w:val="1B2A4A"/>
          <w:sz w:val="16"/>
          <w:szCs w:val="16"/>
        </w:rPr>
        <w:t xml:space="preserve">      "Saudi Arabia's HRDF provides co-funding for approved training programmes — international L&amp;D providers with HRDF-approved programme status access government co-funding that reduces enterprise training cost and accelerates adoption.",</w:t>
      </w:r>
    </w:p>
    <w:p>
      <w:pPr>
        <w:shd w:fill="F0F0F0" w:val="clear"/>
        <w:spacing w:after="14" w:before="14"/>
        <w:ind w:left="360"/>
      </w:pPr>
      <w:r>
        <w:rPr>
          <w:rFonts w:ascii="Courier New" w:cs="Courier New" w:eastAsia="Courier New" w:hAnsi="Courier New"/>
          <w:color w:val="1B2A4A"/>
          <w:sz w:val="16"/>
          <w:szCs w:val="16"/>
        </w:rPr>
        <w:t xml:space="preserve">      "Arabic language learning content is the primary localisation requirement — corporate learning programmes in Saudi Arabia and UAE government entities require Arabic language delivery or bilingual content for national employee populations.",</w:t>
      </w:r>
    </w:p>
    <w:p>
      <w:pPr>
        <w:shd w:fill="F0F0F0" w:val="clear"/>
        <w:spacing w:after="14" w:before="14"/>
        <w:ind w:left="360"/>
      </w:pPr>
      <w:r>
        <w:rPr>
          <w:rFonts w:ascii="Courier New" w:cs="Courier New" w:eastAsia="Courier New" w:hAnsi="Courier New"/>
          <w:color w:val="1B2A4A"/>
          <w:sz w:val="16"/>
          <w:szCs w:val="16"/>
        </w:rPr>
        <w:t xml:space="preserve">      "Gulf enterprise digital skills gap is significant — financial services, energy, and government entities all investing heavily in digital transformation skills training as the primary L&amp;D priority in 2024-2028."</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"HRDF programme approval is required for Saudi government-funded L&amp;D co-investment — international training providers must register with HRDF and achieve programme approval status before accessing Saudi government subsidy.",</w:t>
      </w:r>
    </w:p>
    <w:p>
      <w:pPr>
        <w:shd w:fill="F0F0F0" w:val="clear"/>
        <w:spacing w:after="14" w:before="14"/>
        <w:ind w:left="360"/>
      </w:pPr>
      <w:r>
        <w:rPr>
          <w:rFonts w:ascii="Courier New" w:cs="Courier New" w:eastAsia="Courier New" w:hAnsi="Courier New"/>
          <w:color w:val="1B2A4A"/>
          <w:sz w:val="16"/>
          <w:szCs w:val="16"/>
        </w:rPr>
        <w:t xml:space="preserve">      "Arabic content localisation is a significant investment — converting international corporate learning content to Arabic requires specialist L&amp;D localisation expertise and cultural adaptation beyond translation.",</w:t>
      </w:r>
    </w:p>
    <w:p>
      <w:pPr>
        <w:shd w:fill="F0F0F0" w:val="clear"/>
        <w:spacing w:after="14" w:before="14"/>
        <w:ind w:left="360"/>
      </w:pPr>
      <w:r>
        <w:rPr>
          <w:rFonts w:ascii="Courier New" w:cs="Courier New" w:eastAsia="Courier New" w:hAnsi="Courier New"/>
          <w:color w:val="1B2A4A"/>
          <w:sz w:val="16"/>
          <w:szCs w:val="16"/>
        </w:rPr>
        <w:t xml:space="preserve">      "Competition from established Gulf L&amp;D providers — Injaz Al-Arab, Gulf Talent, and regional management institutes — with existing government relationships is intense across professional development categories.",</w:t>
      </w:r>
    </w:p>
    <w:p>
      <w:pPr>
        <w:shd w:fill="F0F0F0" w:val="clear"/>
        <w:spacing w:after="14" w:before="14"/>
        <w:ind w:left="360"/>
      </w:pPr>
      <w:r>
        <w:rPr>
          <w:rFonts w:ascii="Courier New" w:cs="Courier New" w:eastAsia="Courier New" w:hAnsi="Courier New"/>
          <w:color w:val="1B2A4A"/>
          <w:sz w:val="16"/>
          <w:szCs w:val="16"/>
        </w:rPr>
        <w:t xml:space="preserve">      "Gulf enterprise L&amp;D procurement is centralised — L&amp;D decisions in large Gulf banks, energy companies, and government entities are made at senior HR level requiring executive relationship investment."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"Gulf corporate learning demand validation|You need to validate Gulf enterprise HR and L&amp;D director demand for your training programmes and understand HRDF and government programme access requirements.",</w:t>
      </w:r>
    </w:p>
    <w:p>
      <w:pPr>
        <w:shd w:fill="F0F0F0" w:val="clear"/>
        <w:spacing w:after="14" w:before="14"/>
        <w:ind w:left="360"/>
      </w:pPr>
      <w:r>
        <w:rPr>
          <w:rFonts w:ascii="Courier New" w:cs="Courier New" w:eastAsia="Courier New" w:hAnsi="Courier New"/>
          <w:color w:val="1B2A4A"/>
          <w:sz w:val="16"/>
          <w:szCs w:val="16"/>
        </w:rPr>
        <w:t xml:space="preserve">      "HRDF programme approval pathway|You need to understand HRDF registration requirements, programme approval criteria, and Saudi government L&amp;D co-funding access.",</w:t>
      </w:r>
    </w:p>
    <w:p>
      <w:pPr>
        <w:shd w:fill="F0F0F0" w:val="clear"/>
        <w:spacing w:after="14" w:before="14"/>
        <w:ind w:left="360"/>
      </w:pPr>
      <w:r>
        <w:rPr>
          <w:rFonts w:ascii="Courier New" w:cs="Courier New" w:eastAsia="Courier New" w:hAnsi="Courier New"/>
          <w:color w:val="1B2A4A"/>
          <w:sz w:val="16"/>
          <w:szCs w:val="16"/>
        </w:rPr>
        <w:t xml:space="preserve">      "Gulf corporate learning partner identification|You need HR consulting firms, government L&amp;D programme contacts, and Arabic content localisation partners.",</w:t>
      </w:r>
    </w:p>
    <w:p>
      <w:pPr>
        <w:shd w:fill="F0F0F0" w:val="clear"/>
        <w:spacing w:after="14" w:before="14"/>
        <w:ind w:left="360"/>
      </w:pPr>
      <w:r>
        <w:rPr>
          <w:rFonts w:ascii="Courier New" w:cs="Courier New" w:eastAsia="Courier New" w:hAnsi="Courier New"/>
          <w:color w:val="1B2A4A"/>
          <w:sz w:val="16"/>
          <w:szCs w:val="16"/>
        </w:rPr>
        <w:t xml:space="preserve">      "Gulf corporate learning GTM strategy|You need a go-to-market plan covering HRDF programme access, enterprise L&amp;D director outreach, and Vision 2030 human capital programme partnerships.",</w:t>
      </w:r>
    </w:p>
    <w:p>
      <w:pPr>
        <w:shd w:fill="F0F0F0" w:val="clear"/>
        <w:spacing w:after="14" w:before="14"/>
        <w:ind w:left="360"/>
      </w:pPr>
      <w:r>
        <w:rPr>
          <w:rFonts w:ascii="Courier New" w:cs="Courier New" w:eastAsia="Courier New" w:hAnsi="Courier New"/>
          <w:color w:val="1B2A4A"/>
          <w:sz w:val="16"/>
          <w:szCs w:val="16"/>
        </w:rPr>
        <w:t xml:space="preserve">      "Raising capital for Gulf L&amp;D investment|You need a pitch book grounded in Gulf corporate learning market data and Vision 2030 human capital development analysis.",</w:t>
      </w:r>
    </w:p>
    <w:p>
      <w:pPr>
        <w:shd w:fill="F0F0F0" w:val="clear"/>
        <w:spacing w:after="14" w:before="14"/>
        <w:ind w:left="360"/>
      </w:pPr>
      <w:r>
        <w:rPr>
          <w:rFonts w:ascii="Courier New" w:cs="Courier New" w:eastAsia="Courier New" w:hAnsi="Courier New"/>
          <w:color w:val="1B2A4A"/>
          <w:sz w:val="16"/>
          <w:szCs w:val="16"/>
        </w:rPr>
        <w:t xml:space="preserve">      "Arabic content localisation strategy|You need a content localisation roadmap covering Arabic translation, cultural adaptation, and bilingual delivery capability."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Gulf enterprise HR and L&amp;D demand with CHRO and L&amp;D director interviews and HRDF programme mapping.",</w:t>
      </w:r>
    </w:p>
    <w:p>
      <w:pPr>
        <w:shd w:fill="F0F0F0" w:val="clear"/>
        <w:spacing w:after="14" w:before="14"/>
        <w:ind w:left="360"/>
      </w:pPr>
      <w:r>
        <w:rPr>
          <w:rFonts w:ascii="Courier New" w:cs="Courier New" w:eastAsia="Courier New" w:hAnsi="Courier New"/>
          <w:color w:val="1B2A4A"/>
          <w:sz w:val="16"/>
          <w:szCs w:val="16"/>
        </w:rPr>
        <w:t xml:space="preserve">      "Full financial feasibility for Gulf corporate learning investment covering HRDF approval cost and enterprise sales cycle economics.",</w:t>
      </w:r>
    </w:p>
    <w:p>
      <w:pPr>
        <w:shd w:fill="F0F0F0" w:val="clear"/>
        <w:spacing w:after="14" w:before="14"/>
        <w:ind w:left="360"/>
      </w:pPr>
      <w:r>
        <w:rPr>
          <w:rFonts w:ascii="Courier New" w:cs="Courier New" w:eastAsia="Courier New" w:hAnsi="Courier New"/>
          <w:color w:val="1B2A4A"/>
          <w:sz w:val="16"/>
          <w:szCs w:val="16"/>
        </w:rPr>
        <w:t xml:space="preserve">      "End-to-end Gulf corporate learning market entry including HRDF pathway, enterprise L&amp;D partner identification, and first-programme-delivery milestone.",</w:t>
      </w:r>
    </w:p>
    <w:p>
      <w:pPr>
        <w:shd w:fill="F0F0F0" w:val="clear"/>
        <w:spacing w:after="14" w:before="14"/>
        <w:ind w:left="360"/>
      </w:pPr>
      <w:r>
        <w:rPr>
          <w:rFonts w:ascii="Courier New" w:cs="Courier New" w:eastAsia="Courier New" w:hAnsi="Courier New"/>
          <w:color w:val="1B2A4A"/>
          <w:sz w:val="16"/>
          <w:szCs w:val="16"/>
        </w:rPr>
        <w:t xml:space="preserve">      "Embedded Gulf corporate learning GTM team covering enterprise L&amp;D and Vision 2030 programme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Gulf corporate learning investment with Vision 2030 human capital and HRDF co-funding narrative.",</w:t>
      </w:r>
    </w:p>
    <w:p>
      <w:pPr>
        <w:shd w:fill="F0F0F0" w:val="clear"/>
        <w:spacing w:after="14" w:before="14"/>
        <w:ind w:left="360"/>
      </w:pPr>
      <w:r>
        <w:rPr>
          <w:rFonts w:ascii="Courier New" w:cs="Courier New" w:eastAsia="Courier New" w:hAnsi="Courier New"/>
          <w:color w:val="1B2A4A"/>
          <w:sz w:val="16"/>
          <w:szCs w:val="16"/>
        </w:rPr>
        <w:t xml:space="preserve">      "AI use-case identification — from Arabic language AI tutoring to Gulf workforce skills gap prediction."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LMS companies or also with leadership development, professional certification, and digital skills training companies entering the Gulf?|All corporate learning categories.",</w:t>
      </w:r>
    </w:p>
    <w:p>
      <w:pPr>
        <w:shd w:fill="F0F0F0" w:val="clear"/>
        <w:spacing w:after="14" w:before="14"/>
        <w:ind w:left="360"/>
      </w:pPr>
      <w:r>
        <w:rPr>
          <w:rFonts w:ascii="Courier New" w:cs="Courier New" w:eastAsia="Courier New" w:hAnsi="Courier New"/>
          <w:color w:val="1B2A4A"/>
          <w:sz w:val="16"/>
          <w:szCs w:val="16"/>
        </w:rPr>
        <w:t xml:space="preserve">      "How long does a Gulf corporate learning engagement take?|Typically 8-10 weeks for enterprise demand research, HRDF programme mapping, and partner identification.",</w:t>
      </w:r>
    </w:p>
    <w:p>
      <w:pPr>
        <w:shd w:fill="F0F0F0" w:val="clear"/>
        <w:spacing w:after="14" w:before="14"/>
        <w:ind w:left="360"/>
      </w:pPr>
      <w:r>
        <w:rPr>
          <w:rFonts w:ascii="Courier New" w:cs="Courier New" w:eastAsia="Courier New" w:hAnsi="Courier New"/>
          <w:color w:val="1B2A4A"/>
          <w:sz w:val="16"/>
          <w:szCs w:val="16"/>
        </w:rPr>
        <w:t xml:space="preserve">      "Can GreyRadius identify HRDF programme approval contacts?|Yes.",</w:t>
      </w:r>
    </w:p>
    <w:p>
      <w:pPr>
        <w:shd w:fill="F0F0F0" w:val="clear"/>
        <w:spacing w:after="14" w:before="14"/>
        <w:ind w:left="360"/>
      </w:pPr>
      <w:r>
        <w:rPr>
          <w:rFonts w:ascii="Courier New" w:cs="Courier New" w:eastAsia="Courier New" w:hAnsi="Courier New"/>
          <w:color w:val="1B2A4A"/>
          <w:sz w:val="16"/>
          <w:szCs w:val="16"/>
        </w:rPr>
        <w:t xml:space="preserve">      "Which Gulf markets are most attractive for corporate learning?|Saudi Arabia for HRDF scale and Vision 2030 human capital investment; UAE for Emiratisation mandate and financial services L&amp;D spending."</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"Gulf corporate learning market entry, Saudi Arabia L&amp;D GTM strategy, HRDF programme access consulting, UAE workforce development advisory, Gulf training market entry",</w:t>
      </w:r>
    </w:p>
    <w:p>
      <w:pPr>
        <w:shd w:fill="F0F0F0" w:val="clear"/>
        <w:spacing w:after="14" w:before="14"/>
        <w:ind w:left="360"/>
      </w:pPr>
      <w:r>
        <w:rPr>
          <w:rFonts w:ascii="Courier New" w:cs="Courier New" w:eastAsia="Courier New" w:hAnsi="Courier New"/>
          <w:color w:val="1B2A4A"/>
          <w:sz w:val="16"/>
          <w:szCs w:val="16"/>
        </w:rPr>
        <w:t xml:space="preserve">    "regions": "Saudi Arabia — HRDF-registered training providers across Riyadh, Jeddah, Dammam; UAE — KHDA-approved training providers in Dubai and Abu Dhabi",</w:t>
      </w:r>
    </w:p>
    <w:p>
      <w:pPr>
        <w:shd w:fill="F0F0F0" w:val="clear"/>
        <w:spacing w:after="14" w:before="14"/>
        <w:ind w:left="360"/>
      </w:pPr>
      <w:r>
        <w:rPr>
          <w:rFonts w:ascii="Courier New" w:cs="Courier New" w:eastAsia="Courier New" w:hAnsi="Courier New"/>
          <w:color w:val="1B2A4A"/>
          <w:sz w:val="16"/>
          <w:szCs w:val="16"/>
        </w:rPr>
        <w:t xml:space="preserve">    "stat1n": "$4B",</w:t>
      </w:r>
    </w:p>
    <w:p>
      <w:pPr>
        <w:shd w:fill="F0F0F0" w:val="clear"/>
        <w:spacing w:after="14" w:before="14"/>
        <w:ind w:left="360"/>
      </w:pPr>
      <w:r>
        <w:rPr>
          <w:rFonts w:ascii="Courier New" w:cs="Courier New" w:eastAsia="Courier New" w:hAnsi="Courier New"/>
          <w:color w:val="1B2A4A"/>
          <w:sz w:val="16"/>
          <w:szCs w:val="16"/>
        </w:rPr>
        <w:t xml:space="preserve">    "stat1l": "Gulf corporate learning market by 2028",</w:t>
      </w:r>
    </w:p>
    <w:p>
      <w:pPr>
        <w:shd w:fill="F0F0F0" w:val="clear"/>
        <w:spacing w:after="14" w:before="14"/>
        <w:ind w:left="360"/>
      </w:pPr>
      <w:r>
        <w:rPr>
          <w:rFonts w:ascii="Courier New" w:cs="Courier New" w:eastAsia="Courier New" w:hAnsi="Courier New"/>
          <w:color w:val="1B2A4A"/>
          <w:sz w:val="16"/>
          <w:szCs w:val="16"/>
        </w:rPr>
        <w:t xml:space="preserve">    "stat1b": "Saudisation mandates, Vision 2030 human capital programmes, and enterprise digital transformation driving 18% annual L&amp;D growth.",</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Gulf L&amp;D mandate",</w:t>
      </w:r>
    </w:p>
    <w:p>
      <w:pPr>
        <w:shd w:fill="F0F0F0" w:val="clear"/>
        <w:spacing w:after="14" w:before="14"/>
        <w:ind w:left="360"/>
      </w:pPr>
      <w:r>
        <w:rPr>
          <w:rFonts w:ascii="Courier New" w:cs="Courier New" w:eastAsia="Courier New" w:hAnsi="Courier New"/>
          <w:color w:val="1B2A4A"/>
          <w:sz w:val="16"/>
          <w:szCs w:val="16"/>
        </w:rPr>
        <w:t xml:space="preserve">    "stat2b": "Gulf CHROs, L&amp;D directors, and HRDF programme officials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"8 weeks",</w:t>
      </w:r>
    </w:p>
    <w:p>
      <w:pPr>
        <w:shd w:fill="F0F0F0" w:val="clear"/>
        <w:spacing w:after="14" w:before="14"/>
        <w:ind w:left="360"/>
      </w:pPr>
      <w:r>
        <w:rPr>
          <w:rFonts w:ascii="Courier New" w:cs="Courier New" w:eastAsia="Courier New" w:hAnsi="Courier New"/>
          <w:color w:val="1B2A4A"/>
          <w:sz w:val="16"/>
          <w:szCs w:val="16"/>
        </w:rPr>
        <w:t xml:space="preserve">    "stat3l": "Gulf corporate learning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HRDF programme mapping and enterprise demand research delivers Gulf L&amp;D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"india-corporate-learning",</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"corporate-learning",</w:t>
      </w:r>
    </w:p>
    <w:p>
      <w:pPr>
        <w:shd w:fill="F0F0F0" w:val="clear"/>
        <w:spacing w:after="14" w:before="14"/>
        <w:ind w:left="360"/>
      </w:pPr>
      <w:r>
        <w:rPr>
          <w:rFonts w:ascii="Courier New" w:cs="Courier New" w:eastAsia="Courier New" w:hAnsi="Courier New"/>
          <w:color w:val="1B2A4A"/>
          <w:sz w:val="16"/>
          <w:szCs w:val="16"/>
        </w:rPr>
        <w:t xml:space="preserve">    "title": "India Corporate Learning &amp; L&amp;D Market Entry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corporate learning and L&amp;D companies enter India with enterprise buyer research, NSDC partnership access, vernacular content strategy, and GTM planning.",</w:t>
      </w:r>
    </w:p>
    <w:p>
      <w:pPr>
        <w:shd w:fill="F0F0F0" w:val="clear"/>
        <w:spacing w:after="14" w:before="14"/>
        <w:ind w:left="360"/>
      </w:pPr>
      <w:r>
        <w:rPr>
          <w:rFonts w:ascii="Courier New" w:cs="Courier New" w:eastAsia="Courier New" w:hAnsi="Courier New"/>
          <w:color w:val="1B2A4A"/>
          <w:sz w:val="16"/>
          <w:szCs w:val="16"/>
        </w:rPr>
        <w:t xml:space="preserve">    "h1": "India corporate learning and L&amp;D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learning platform to Indian enterprise workforce development — strategy for corporate learning companies entering India.",</w:t>
      </w:r>
    </w:p>
    <w:p>
      <w:pPr>
        <w:shd w:fill="F0F0F0" w:val="clear"/>
        <w:spacing w:after="14" w:before="14"/>
        <w:ind w:left="360"/>
      </w:pPr>
      <w:r>
        <w:rPr>
          <w:rFonts w:ascii="Courier New" w:cs="Courier New" w:eastAsia="Courier New" w:hAnsi="Courier New"/>
          <w:color w:val="1B2A4A"/>
          <w:sz w:val="16"/>
          <w:szCs w:val="16"/>
        </w:rPr>
        <w:t xml:space="preserve">    "hero": "India's corporate learning and workforce development market is one of the world's largest and fastest growing — with 63 million MSMEs and 1,000+ large enterprises all investing in workforce capability, India's National Skills Qualifications Framework creating structured skills development infrastructure, NSDC partnerships enabling government co-funded training delivery, and India's rapidly digitalising enterprise workforce requiring continuous learning. International corporate learning companies across LMS platforms, digital skills training, leadership development, professional certification, and vernacular content are all evaluating India as a high-growth L&amp;D market. GreyRadius helps L&amp;D companies validate Indian enterprise demand, navigate NSDC and regulatory frameworks, identify channel partners, and execute GTM.",</w:t>
      </w:r>
    </w:p>
    <w:p>
      <w:pPr>
        <w:shd w:fill="F0F0F0" w:val="clear"/>
        <w:spacing w:after="14" w:before="14"/>
        <w:ind w:left="360"/>
      </w:pPr>
      <w:r>
        <w:rPr>
          <w:rFonts w:ascii="Courier New" w:cs="Courier New" w:eastAsia="Courier New" w:hAnsi="Courier New"/>
          <w:color w:val="1B2A4A"/>
          <w:sz w:val="16"/>
          <w:szCs w:val="16"/>
        </w:rPr>
        <w:t xml:space="preserve">    "market_timing": "India's National Skill Development Corporation (NSDC) partnership programme is creating co-funded training delivery at scale — international L&amp;D companies with NSDC-approved training content and assessment frameworks can access government-subsidised training delivery across India's formal and informal workforce. The L&amp;D companies establishing NSDC partnerships in 2024-2027 will access training volumes that standalone enterprise sales cannot match.",</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"India's corporate learning market is projected to reach $6B by 2027 — growing at 20% annually as MSME formalisation, enterprise digital transformation, and skills development investment all scale.",</w:t>
      </w:r>
    </w:p>
    <w:p>
      <w:pPr>
        <w:shd w:fill="F0F0F0" w:val="clear"/>
        <w:spacing w:after="14" w:before="14"/>
        <w:ind w:left="360"/>
      </w:pPr>
      <w:r>
        <w:rPr>
          <w:rFonts w:ascii="Courier New" w:cs="Courier New" w:eastAsia="Courier New" w:hAnsi="Courier New"/>
          <w:color w:val="1B2A4A"/>
          <w:sz w:val="16"/>
          <w:szCs w:val="16"/>
        </w:rPr>
        <w:t xml:space="preserve">      "India's technology sector is the largest enterprise L&amp;D buyer — IT services, product companies, and BPO employers investing $2B+ annually in technical upskilling, leadership development, and certification training.",</w:t>
      </w:r>
    </w:p>
    <w:p>
      <w:pPr>
        <w:shd w:fill="F0F0F0" w:val="clear"/>
        <w:spacing w:after="14" w:before="14"/>
        <w:ind w:left="360"/>
      </w:pPr>
      <w:r>
        <w:rPr>
          <w:rFonts w:ascii="Courier New" w:cs="Courier New" w:eastAsia="Courier New" w:hAnsi="Courier New"/>
          <w:color w:val="1B2A4A"/>
          <w:sz w:val="16"/>
          <w:szCs w:val="16"/>
        </w:rPr>
        <w:t xml:space="preserve">      "Vernacular language learning content is the primary differentiator — corporate learning companies with Hindi, Tamil, Telugu, and regional language content capabilities access India's non-English workforce segments that English-only providers cannot serve.",</w:t>
      </w:r>
    </w:p>
    <w:p>
      <w:pPr>
        <w:shd w:fill="F0F0F0" w:val="clear"/>
        <w:spacing w:after="14" w:before="14"/>
        <w:ind w:left="360"/>
      </w:pPr>
      <w:r>
        <w:rPr>
          <w:rFonts w:ascii="Courier New" w:cs="Courier New" w:eastAsia="Courier New" w:hAnsi="Courier New"/>
          <w:color w:val="1B2A4A"/>
          <w:sz w:val="16"/>
          <w:szCs w:val="16"/>
        </w:rPr>
        <w:t xml:space="preserve">      "India's apprenticeship and internship programmes are creating structured L&amp;D demand — the National Apprenticeship Promotion Scheme (NAPS) creating government-subsidised apprenticeship training that L&amp;D companies can deliver."</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"India L&amp;D price sensitivity is significant — enterprise training budgets in India are typically 20-30% of equivalent Western budgets requiring India-specific pricing and packaging strategies.",</w:t>
      </w:r>
    </w:p>
    <w:p>
      <w:pPr>
        <w:shd w:fill="F0F0F0" w:val="clear"/>
        <w:spacing w:after="14" w:before="14"/>
        <w:ind w:left="360"/>
      </w:pPr>
      <w:r>
        <w:rPr>
          <w:rFonts w:ascii="Courier New" w:cs="Courier New" w:eastAsia="Courier New" w:hAnsi="Courier New"/>
          <w:color w:val="1B2A4A"/>
          <w:sz w:val="16"/>
          <w:szCs w:val="16"/>
        </w:rPr>
        <w:t xml:space="preserve">      "Vernacular language content development is a substantial investment — producing quality learning content in 10+ Indian languages requires significant localisation investment with specialised instructional design capability.",</w:t>
      </w:r>
    </w:p>
    <w:p>
      <w:pPr>
        <w:shd w:fill="F0F0F0" w:val="clear"/>
        <w:spacing w:after="14" w:before="14"/>
        <w:ind w:left="360"/>
      </w:pPr>
      <w:r>
        <w:rPr>
          <w:rFonts w:ascii="Courier New" w:cs="Courier New" w:eastAsia="Courier New" w:hAnsi="Courier New"/>
          <w:color w:val="1B2A4A"/>
          <w:sz w:val="16"/>
          <w:szCs w:val="16"/>
        </w:rPr>
        <w:t xml:space="preserve">      "Competition from established India L&amp;D providers — Simplilearn, upGrad, and NIIT — with scale and enterprise relationships is intense across digital skills and professional certification categories.",</w:t>
      </w:r>
    </w:p>
    <w:p>
      <w:pPr>
        <w:shd w:fill="F0F0F0" w:val="clear"/>
        <w:spacing w:after="14" w:before="14"/>
        <w:ind w:left="360"/>
      </w:pPr>
      <w:r>
        <w:rPr>
          <w:rFonts w:ascii="Courier New" w:cs="Courier New" w:eastAsia="Courier New" w:hAnsi="Courier New"/>
          <w:color w:val="1B2A4A"/>
          <w:sz w:val="16"/>
          <w:szCs w:val="16"/>
        </w:rPr>
        <w:t xml:space="preserve">      "NSDC programme approval process requires specific documentation — content quality assessment, trainer certification, and learning outcome validation are all required for NSDC partnership status."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"India corporate learning demand validation|You need to validate Indian enterprise HR and L&amp;D buyer demand for your training programmes and understand NSDC partnership requirements.",</w:t>
      </w:r>
    </w:p>
    <w:p>
      <w:pPr>
        <w:shd w:fill="F0F0F0" w:val="clear"/>
        <w:spacing w:after="14" w:before="14"/>
        <w:ind w:left="360"/>
      </w:pPr>
      <w:r>
        <w:rPr>
          <w:rFonts w:ascii="Courier New" w:cs="Courier New" w:eastAsia="Courier New" w:hAnsi="Courier New"/>
          <w:color w:val="1B2A4A"/>
          <w:sz w:val="16"/>
          <w:szCs w:val="16"/>
        </w:rPr>
        <w:t xml:space="preserve">      "NSDC and government L&amp;D programme access|You need to understand NSDC partnership process, NAPS training delivery requirements, and MoLE (Ministry of Labour and Employment) programme access.",</w:t>
      </w:r>
    </w:p>
    <w:p>
      <w:pPr>
        <w:shd w:fill="F0F0F0" w:val="clear"/>
        <w:spacing w:after="14" w:before="14"/>
        <w:ind w:left="360"/>
      </w:pPr>
      <w:r>
        <w:rPr>
          <w:rFonts w:ascii="Courier New" w:cs="Courier New" w:eastAsia="Courier New" w:hAnsi="Courier New"/>
          <w:color w:val="1B2A4A"/>
          <w:sz w:val="16"/>
          <w:szCs w:val="16"/>
        </w:rPr>
        <w:t xml:space="preserve">      "India corporate learning channel partner identification|You need HR consulting firms, staffing companies with L&amp;D arms, and technology sector employer L&amp;D heads as partners.",</w:t>
      </w:r>
    </w:p>
    <w:p>
      <w:pPr>
        <w:shd w:fill="F0F0F0" w:val="clear"/>
        <w:spacing w:after="14" w:before="14"/>
        <w:ind w:left="360"/>
      </w:pPr>
      <w:r>
        <w:rPr>
          <w:rFonts w:ascii="Courier New" w:cs="Courier New" w:eastAsia="Courier New" w:hAnsi="Courier New"/>
          <w:color w:val="1B2A4A"/>
          <w:sz w:val="16"/>
          <w:szCs w:val="16"/>
        </w:rPr>
        <w:t xml:space="preserve">      "India corporate learning GTM strategy|You need a go-to-market plan covering enterprise L&amp;D director outreach, NSDC programme delivery, and technology sector concentration.",</w:t>
      </w:r>
    </w:p>
    <w:p>
      <w:pPr>
        <w:shd w:fill="F0F0F0" w:val="clear"/>
        <w:spacing w:after="14" w:before="14"/>
        <w:ind w:left="360"/>
      </w:pPr>
      <w:r>
        <w:rPr>
          <w:rFonts w:ascii="Courier New" w:cs="Courier New" w:eastAsia="Courier New" w:hAnsi="Courier New"/>
          <w:color w:val="1B2A4A"/>
          <w:sz w:val="16"/>
          <w:szCs w:val="16"/>
        </w:rPr>
        <w:t xml:space="preserve">      "Raising capital for India L&amp;D investment|You need a pitch book grounded in India corporate learning market data and NSDC programme access analysis.",</w:t>
      </w:r>
    </w:p>
    <w:p>
      <w:pPr>
        <w:shd w:fill="F0F0F0" w:val="clear"/>
        <w:spacing w:after="14" w:before="14"/>
        <w:ind w:left="360"/>
      </w:pPr>
      <w:r>
        <w:rPr>
          <w:rFonts w:ascii="Courier New" w:cs="Courier New" w:eastAsia="Courier New" w:hAnsi="Courier New"/>
          <w:color w:val="1B2A4A"/>
          <w:sz w:val="16"/>
          <w:szCs w:val="16"/>
        </w:rPr>
        <w:t xml:space="preserve">      "Vernacular content strategy|You need a vernacular language content development roadmap for India's non-English enterprise workforce."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Indian enterprise HR and L&amp;D demand with CHRO and L&amp;D head interviews and NSDC programme mapping.",</w:t>
      </w:r>
    </w:p>
    <w:p>
      <w:pPr>
        <w:shd w:fill="F0F0F0" w:val="clear"/>
        <w:spacing w:after="14" w:before="14"/>
        <w:ind w:left="360"/>
      </w:pPr>
      <w:r>
        <w:rPr>
          <w:rFonts w:ascii="Courier New" w:cs="Courier New" w:eastAsia="Courier New" w:hAnsi="Courier New"/>
          <w:color w:val="1B2A4A"/>
          <w:sz w:val="16"/>
          <w:szCs w:val="16"/>
        </w:rPr>
        <w:t xml:space="preserve">      "Full financial feasibility for India corporate learning investment covering NSDC approval cost and enterprise sales economics.",</w:t>
      </w:r>
    </w:p>
    <w:p>
      <w:pPr>
        <w:shd w:fill="F0F0F0" w:val="clear"/>
        <w:spacing w:after="14" w:before="14"/>
        <w:ind w:left="360"/>
      </w:pPr>
      <w:r>
        <w:rPr>
          <w:rFonts w:ascii="Courier New" w:cs="Courier New" w:eastAsia="Courier New" w:hAnsi="Courier New"/>
          <w:color w:val="1B2A4A"/>
          <w:sz w:val="16"/>
          <w:szCs w:val="16"/>
        </w:rPr>
        <w:t xml:space="preserve">      "End-to-end India corporate learning market entry including NSDC pathway, enterprise L&amp;D partner identification, and first-programme-delivery milestone.",</w:t>
      </w:r>
    </w:p>
    <w:p>
      <w:pPr>
        <w:shd w:fill="F0F0F0" w:val="clear"/>
        <w:spacing w:after="14" w:before="14"/>
        <w:ind w:left="360"/>
      </w:pPr>
      <w:r>
        <w:rPr>
          <w:rFonts w:ascii="Courier New" w:cs="Courier New" w:eastAsia="Courier New" w:hAnsi="Courier New"/>
          <w:color w:val="1B2A4A"/>
          <w:sz w:val="16"/>
          <w:szCs w:val="16"/>
        </w:rPr>
        <w:t xml:space="preserve">      "Embedded India corporate learning GTM team covering enterprise L&amp;D and NSDC programme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India corporate learning investment with NSDC partnership and skills development narrative.",</w:t>
      </w:r>
    </w:p>
    <w:p>
      <w:pPr>
        <w:shd w:fill="F0F0F0" w:val="clear"/>
        <w:spacing w:after="14" w:before="14"/>
        <w:ind w:left="360"/>
      </w:pPr>
      <w:r>
        <w:rPr>
          <w:rFonts w:ascii="Courier New" w:cs="Courier New" w:eastAsia="Courier New" w:hAnsi="Courier New"/>
          <w:color w:val="1B2A4A"/>
          <w:sz w:val="16"/>
          <w:szCs w:val="16"/>
        </w:rPr>
        <w:t xml:space="preserve">      "AI use-case identification — from Hindi language AI tutoring to India-specific workforce skills gap analysis."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LMS companies or also with professional certification, leadership development, and vernacular content companies entering India?|All corporate learning categories.",</w:t>
      </w:r>
    </w:p>
    <w:p>
      <w:pPr>
        <w:shd w:fill="F0F0F0" w:val="clear"/>
        <w:spacing w:after="14" w:before="14"/>
        <w:ind w:left="360"/>
      </w:pPr>
      <w:r>
        <w:rPr>
          <w:rFonts w:ascii="Courier New" w:cs="Courier New" w:eastAsia="Courier New" w:hAnsi="Courier New"/>
          <w:color w:val="1B2A4A"/>
          <w:sz w:val="16"/>
          <w:szCs w:val="16"/>
        </w:rPr>
        <w:t xml:space="preserve">      "How long does an India corporate learning engagement take?|Typically 8-10 weeks for enterprise demand research, NSDC programme mapping, and channel partner identification.",</w:t>
      </w:r>
    </w:p>
    <w:p>
      <w:pPr>
        <w:shd w:fill="F0F0F0" w:val="clear"/>
        <w:spacing w:after="14" w:before="14"/>
        <w:ind w:left="360"/>
      </w:pPr>
      <w:r>
        <w:rPr>
          <w:rFonts w:ascii="Courier New" w:cs="Courier New" w:eastAsia="Courier New" w:hAnsi="Courier New"/>
          <w:color w:val="1B2A4A"/>
          <w:sz w:val="16"/>
          <w:szCs w:val="16"/>
        </w:rPr>
        <w:t xml:space="preserve">      "Can GreyRadius identify NSDC programme partnership contacts?|Yes.",</w:t>
      </w:r>
    </w:p>
    <w:p>
      <w:pPr>
        <w:shd w:fill="F0F0F0" w:val="clear"/>
        <w:spacing w:after="14" w:before="14"/>
        <w:ind w:left="360"/>
      </w:pPr>
      <w:r>
        <w:rPr>
          <w:rFonts w:ascii="Courier New" w:cs="Courier New" w:eastAsia="Courier New" w:hAnsi="Courier New"/>
          <w:color w:val="1B2A4A"/>
          <w:sz w:val="16"/>
          <w:szCs w:val="16"/>
        </w:rPr>
        <w:t xml:space="preserve">      "What is the right India pricing strategy for international L&amp;D companies?|India enterprise L&amp;D requires 60-70% lower price points than Western equivalents — we develop India-specific pricing architecture in every engagement."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"India corporate learning market entry, NSDC partnership consulting, India L&amp;D GTM strategy, India enterprise training advisory, India workforce development market entry",</w:t>
      </w:r>
    </w:p>
    <w:p>
      <w:pPr>
        <w:shd w:fill="F0F0F0" w:val="clear"/>
        <w:spacing w:after="14" w:before="14"/>
        <w:ind w:left="360"/>
      </w:pPr>
      <w:r>
        <w:rPr>
          <w:rFonts w:ascii="Courier New" w:cs="Courier New" w:eastAsia="Courier New" w:hAnsi="Courier New"/>
          <w:color w:val="1B2A4A"/>
          <w:sz w:val="16"/>
          <w:szCs w:val="16"/>
        </w:rPr>
        <w:t xml:space="preserve">    "regions": "India — Bengaluru, Hyderabad, Pune, Delhi NCR technology sector L&amp;D concentration; NSDC-registered training delivery nationwide",</w:t>
      </w:r>
    </w:p>
    <w:p>
      <w:pPr>
        <w:shd w:fill="F0F0F0" w:val="clear"/>
        <w:spacing w:after="14" w:before="14"/>
        <w:ind w:left="360"/>
      </w:pPr>
      <w:r>
        <w:rPr>
          <w:rFonts w:ascii="Courier New" w:cs="Courier New" w:eastAsia="Courier New" w:hAnsi="Courier New"/>
          <w:color w:val="1B2A4A"/>
          <w:sz w:val="16"/>
          <w:szCs w:val="16"/>
        </w:rPr>
        <w:t xml:space="preserve">    "stat1n": "$6B",</w:t>
      </w:r>
    </w:p>
    <w:p>
      <w:pPr>
        <w:shd w:fill="F0F0F0" w:val="clear"/>
        <w:spacing w:after="14" w:before="14"/>
        <w:ind w:left="360"/>
      </w:pPr>
      <w:r>
        <w:rPr>
          <w:rFonts w:ascii="Courier New" w:cs="Courier New" w:eastAsia="Courier New" w:hAnsi="Courier New"/>
          <w:color w:val="1B2A4A"/>
          <w:sz w:val="16"/>
          <w:szCs w:val="16"/>
        </w:rPr>
        <w:t xml:space="preserve">    "stat1l": "India corporate learning market by 2027",</w:t>
      </w:r>
    </w:p>
    <w:p>
      <w:pPr>
        <w:shd w:fill="F0F0F0" w:val="clear"/>
        <w:spacing w:after="14" w:before="14"/>
        <w:ind w:left="360"/>
      </w:pPr>
      <w:r>
        <w:rPr>
          <w:rFonts w:ascii="Courier New" w:cs="Courier New" w:eastAsia="Courier New" w:hAnsi="Courier New"/>
          <w:color w:val="1B2A4A"/>
          <w:sz w:val="16"/>
          <w:szCs w:val="16"/>
        </w:rPr>
        <w:t xml:space="preserve">    "stat1b": "Enterprise digital transformation, NSDC programme investment, and skills development mandates driving 20% annual L&amp;D growth.",</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India L&amp;D mandate",</w:t>
      </w:r>
    </w:p>
    <w:p>
      <w:pPr>
        <w:shd w:fill="F0F0F0" w:val="clear"/>
        <w:spacing w:after="14" w:before="14"/>
        <w:ind w:left="360"/>
      </w:pPr>
      <w:r>
        <w:rPr>
          <w:rFonts w:ascii="Courier New" w:cs="Courier New" w:eastAsia="Courier New" w:hAnsi="Courier New"/>
          <w:color w:val="1B2A4A"/>
          <w:sz w:val="16"/>
          <w:szCs w:val="16"/>
        </w:rPr>
        <w:t xml:space="preserve">    "stat2b": "Indian CHROs, L&amp;D directors, and NSDC programme officials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"8 weeks",</w:t>
      </w:r>
    </w:p>
    <w:p>
      <w:pPr>
        <w:shd w:fill="F0F0F0" w:val="clear"/>
        <w:spacing w:after="14" w:before="14"/>
        <w:ind w:left="360"/>
      </w:pPr>
      <w:r>
        <w:rPr>
          <w:rFonts w:ascii="Courier New" w:cs="Courier New" w:eastAsia="Courier New" w:hAnsi="Courier New"/>
          <w:color w:val="1B2A4A"/>
          <w:sz w:val="16"/>
          <w:szCs w:val="16"/>
        </w:rPr>
        <w:t xml:space="preserve">    "stat3l": "India corporate learning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NSDC programme mapping and enterprise demand research delivers India L&amp;D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"africa-corporate-learning",</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"corporate-learning",</w:t>
      </w:r>
    </w:p>
    <w:p>
      <w:pPr>
        <w:shd w:fill="F0F0F0" w:val="clear"/>
        <w:spacing w:after="14" w:before="14"/>
        <w:ind w:left="360"/>
      </w:pPr>
      <w:r>
        <w:rPr>
          <w:rFonts w:ascii="Courier New" w:cs="Courier New" w:eastAsia="Courier New" w:hAnsi="Courier New"/>
          <w:color w:val="1B2A4A"/>
          <w:sz w:val="16"/>
          <w:szCs w:val="16"/>
        </w:rPr>
        <w:t xml:space="preserve">    "title": "Africa Corporate Learning &amp; L&amp;D Market Entry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corporate learning and L&amp;D companies enter Africa with enterprise buyer research, government skills programme access, mobile-first content strategy, and GTM planning across Nigeria, South Africa, and Kenya.",</w:t>
      </w:r>
    </w:p>
    <w:p>
      <w:pPr>
        <w:shd w:fill="F0F0F0" w:val="clear"/>
        <w:spacing w:after="14" w:before="14"/>
        <w:ind w:left="360"/>
      </w:pPr>
      <w:r>
        <w:rPr>
          <w:rFonts w:ascii="Courier New" w:cs="Courier New" w:eastAsia="Courier New" w:hAnsi="Courier New"/>
          <w:color w:val="1B2A4A"/>
          <w:sz w:val="16"/>
          <w:szCs w:val="16"/>
        </w:rPr>
        <w:t xml:space="preserve">    "h1": "Africa corporate learning and L&amp;D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learning platform to African enterprise workforce development — strategy for corporate learning companies entering Africa.",</w:t>
      </w:r>
    </w:p>
    <w:p>
      <w:pPr>
        <w:shd w:fill="F0F0F0" w:val="clear"/>
        <w:spacing w:after="14" w:before="14"/>
        <w:ind w:left="360"/>
      </w:pPr>
      <w:r>
        <w:rPr>
          <w:rFonts w:ascii="Courier New" w:cs="Courier New" w:eastAsia="Courier New" w:hAnsi="Courier New"/>
          <w:color w:val="1B2A4A"/>
          <w:sz w:val="16"/>
          <w:szCs w:val="16"/>
        </w:rPr>
        <w:t xml:space="preserve">    "hero": "Africa's corporate learning market is growing at extraordinary pace — driven by Africa's youngest workforce globally requiring massive skills development investment, mobile-first learning infrastructure creating accessible L&amp;D delivery without traditional classroom infrastructure, government skills development levies creating mandatory enterprise L&amp;D spending, and Africa's rapidly growing financial services, technology, and telecommunications sectors all investing in workforce capability. International corporate learning companies across mobile learning, digital skills training, professional development, and leadership programmes are all evaluating Africa as a priority L&amp;D market. GreyRadius helps L&amp;D companies validate African enterprise demand, navigate government skills levy programmes, develop mobile-first content strategies, and execute GTM.",</w:t>
      </w:r>
    </w:p>
    <w:p>
      <w:pPr>
        <w:shd w:fill="F0F0F0" w:val="clear"/>
        <w:spacing w:after="14" w:before="14"/>
        <w:ind w:left="360"/>
      </w:pPr>
      <w:r>
        <w:rPr>
          <w:rFonts w:ascii="Courier New" w:cs="Courier New" w:eastAsia="Courier New" w:hAnsi="Courier New"/>
          <w:color w:val="1B2A4A"/>
          <w:sz w:val="16"/>
          <w:szCs w:val="16"/>
        </w:rPr>
        <w:t xml:space="preserve">    "market_timing": "South Africa's Skills Development Levy creates mandatory L&amp;D spending that international providers can access — South African employers contribute 1% of payroll to SDL, which can be claimed back through SETA-approved training programmes. International L&amp;D companies with SETA-accredited programmes access employer training budgets that are mandatory rather than discretionary, creating predictable revenue independent of IT budget cycles.",</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"Africa's corporate learning market is projected to reach $3B by 2028 — growing at 15% annually as young workforce skills development, digital economy growth, and enterprise capability investment all scale.",</w:t>
      </w:r>
    </w:p>
    <w:p>
      <w:pPr>
        <w:shd w:fill="F0F0F0" w:val="clear"/>
        <w:spacing w:after="14" w:before="14"/>
        <w:ind w:left="360"/>
      </w:pPr>
      <w:r>
        <w:rPr>
          <w:rFonts w:ascii="Courier New" w:cs="Courier New" w:eastAsia="Courier New" w:hAnsi="Courier New"/>
          <w:color w:val="1B2A4A"/>
          <w:sz w:val="16"/>
          <w:szCs w:val="16"/>
        </w:rPr>
        <w:t xml:space="preserve">      "Mobile learning is Africa's primary L&amp;D delivery channel — 60%+ of African corporate learners access training on mobile devices first, making mobile-optimised content a prerequisite for African L&amp;D adoption.",</w:t>
      </w:r>
    </w:p>
    <w:p>
      <w:pPr>
        <w:shd w:fill="F0F0F0" w:val="clear"/>
        <w:spacing w:after="14" w:before="14"/>
        <w:ind w:left="360"/>
      </w:pPr>
      <w:r>
        <w:rPr>
          <w:rFonts w:ascii="Courier New" w:cs="Courier New" w:eastAsia="Courier New" w:hAnsi="Courier New"/>
          <w:color w:val="1B2A4A"/>
          <w:sz w:val="16"/>
          <w:szCs w:val="16"/>
        </w:rPr>
        <w:t xml:space="preserve">      "South Africa's SETA system creates structured L&amp;D procurement — 21 sector SETAs managing Skills Development Levy disbursement create a formalised training procurement process that international L&amp;D companies can navigate.",</w:t>
      </w:r>
    </w:p>
    <w:p>
      <w:pPr>
        <w:shd w:fill="F0F0F0" w:val="clear"/>
        <w:spacing w:after="14" w:before="14"/>
        <w:ind w:left="360"/>
      </w:pPr>
      <w:r>
        <w:rPr>
          <w:rFonts w:ascii="Courier New" w:cs="Courier New" w:eastAsia="Courier New" w:hAnsi="Courier New"/>
          <w:color w:val="1B2A4A"/>
          <w:sz w:val="16"/>
          <w:szCs w:val="16"/>
        </w:rPr>
        <w:t xml:space="preserve">      "Financial services is Africa's largest enterprise L&amp;D spender — banks, insurance companies, and fintechs across Nigeria, South Africa, and Kenya investing heavily in digital banking skills, compliance training, and leadership development."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"SETA accreditation in South Africa is required for SDL-funded training — international L&amp;D companies must achieve SETA accreditation for specific training programmes before accessing South African employer skills levy funding.",</w:t>
      </w:r>
    </w:p>
    <w:p>
      <w:pPr>
        <w:shd w:fill="F0F0F0" w:val="clear"/>
        <w:spacing w:after="14" w:before="14"/>
        <w:ind w:left="360"/>
      </w:pPr>
      <w:r>
        <w:rPr>
          <w:rFonts w:ascii="Courier New" w:cs="Courier New" w:eastAsia="Courier New" w:hAnsi="Courier New"/>
          <w:color w:val="1B2A4A"/>
          <w:sz w:val="16"/>
          <w:szCs w:val="16"/>
        </w:rPr>
        <w:t xml:space="preserve">      "Mobile-first content development requires significant investment — repurposing Western desktop-optimised learning content for African mobile learners requires instructional design expertise and technical optimisation.",</w:t>
      </w:r>
    </w:p>
    <w:p>
      <w:pPr>
        <w:shd w:fill="F0F0F0" w:val="clear"/>
        <w:spacing w:after="14" w:before="14"/>
        <w:ind w:left="360"/>
      </w:pPr>
      <w:r>
        <w:rPr>
          <w:rFonts w:ascii="Courier New" w:cs="Courier New" w:eastAsia="Courier New" w:hAnsi="Courier New"/>
          <w:color w:val="1B2A4A"/>
          <w:sz w:val="16"/>
          <w:szCs w:val="16"/>
        </w:rPr>
        <w:t xml:space="preserve">      "Connectivity constraints affect content delivery — intermittent internet connectivity across most African markets requires offline-capable learning content and low-bandwidth delivery optimisation.",</w:t>
      </w:r>
    </w:p>
    <w:p>
      <w:pPr>
        <w:shd w:fill="F0F0F0" w:val="clear"/>
        <w:spacing w:after="14" w:before="14"/>
        <w:ind w:left="360"/>
      </w:pPr>
      <w:r>
        <w:rPr>
          <w:rFonts w:ascii="Courier New" w:cs="Courier New" w:eastAsia="Courier New" w:hAnsi="Courier New"/>
          <w:color w:val="1B2A4A"/>
          <w:sz w:val="16"/>
          <w:szCs w:val="16"/>
        </w:rPr>
        <w:t xml:space="preserve">      "Multiple language requirements — English, French, Portuguese, and Swahili across different African markets — create significant content localisation investment for pan-Africa L&amp;D strategies."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"Africa corporate learning demand validation|You need to validate African enterprise HR and L&amp;D buyer demand for your training programmes and understand SETA and government skills programme access.",</w:t>
      </w:r>
    </w:p>
    <w:p>
      <w:pPr>
        <w:shd w:fill="F0F0F0" w:val="clear"/>
        <w:spacing w:after="14" w:before="14"/>
        <w:ind w:left="360"/>
      </w:pPr>
      <w:r>
        <w:rPr>
          <w:rFonts w:ascii="Courier New" w:cs="Courier New" w:eastAsia="Courier New" w:hAnsi="Courier New"/>
          <w:color w:val="1B2A4A"/>
          <w:sz w:val="16"/>
          <w:szCs w:val="16"/>
        </w:rPr>
        <w:t xml:space="preserve">      "SETA accreditation and SDL access|You need to understand South Africa SETA accreditation requirements and the SDL claim process for international L&amp;D providers.",</w:t>
      </w:r>
    </w:p>
    <w:p>
      <w:pPr>
        <w:shd w:fill="F0F0F0" w:val="clear"/>
        <w:spacing w:after="14" w:before="14"/>
        <w:ind w:left="360"/>
      </w:pPr>
      <w:r>
        <w:rPr>
          <w:rFonts w:ascii="Courier New" w:cs="Courier New" w:eastAsia="Courier New" w:hAnsi="Courier New"/>
          <w:color w:val="1B2A4A"/>
          <w:sz w:val="16"/>
          <w:szCs w:val="16"/>
        </w:rPr>
        <w:t xml:space="preserve">      "Africa corporate learning channel partner identification|You need African HR consulting firms, financial services L&amp;D heads, and government skills programme contacts as partners.",</w:t>
      </w:r>
    </w:p>
    <w:p>
      <w:pPr>
        <w:shd w:fill="F0F0F0" w:val="clear"/>
        <w:spacing w:after="14" w:before="14"/>
        <w:ind w:left="360"/>
      </w:pPr>
      <w:r>
        <w:rPr>
          <w:rFonts w:ascii="Courier New" w:cs="Courier New" w:eastAsia="Courier New" w:hAnsi="Courier New"/>
          <w:color w:val="1B2A4A"/>
          <w:sz w:val="16"/>
          <w:szCs w:val="16"/>
        </w:rPr>
        <w:t xml:space="preserve">      "Africa corporate learning GTM strategy|You need a market-by-market enterprise L&amp;D acquisition plan covering South Africa SETA, Nigeria enterprise direct, and Kenya financial services.",</w:t>
      </w:r>
    </w:p>
    <w:p>
      <w:pPr>
        <w:shd w:fill="F0F0F0" w:val="clear"/>
        <w:spacing w:after="14" w:before="14"/>
        <w:ind w:left="360"/>
      </w:pPr>
      <w:r>
        <w:rPr>
          <w:rFonts w:ascii="Courier New" w:cs="Courier New" w:eastAsia="Courier New" w:hAnsi="Courier New"/>
          <w:color w:val="1B2A4A"/>
          <w:sz w:val="16"/>
          <w:szCs w:val="16"/>
        </w:rPr>
        <w:t xml:space="preserve">      "Raising capital for Africa L&amp;D investment|You need a pitch book grounded in Africa corporate learning market data and young workforce skills development analysis.",</w:t>
      </w:r>
    </w:p>
    <w:p>
      <w:pPr>
        <w:shd w:fill="F0F0F0" w:val="clear"/>
        <w:spacing w:after="14" w:before="14"/>
        <w:ind w:left="360"/>
      </w:pPr>
      <w:r>
        <w:rPr>
          <w:rFonts w:ascii="Courier New" w:cs="Courier New" w:eastAsia="Courier New" w:hAnsi="Courier New"/>
          <w:color w:val="1B2A4A"/>
          <w:sz w:val="16"/>
          <w:szCs w:val="16"/>
        </w:rPr>
        <w:t xml:space="preserve">      "Mobile-first content strategy|You need a mobile learning content development roadmap for Africa's primary L&amp;D delivery channel."</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African enterprise HR and L&amp;D demand with CHRO interviews and SETA programme mapping.",</w:t>
      </w:r>
    </w:p>
    <w:p>
      <w:pPr>
        <w:shd w:fill="F0F0F0" w:val="clear"/>
        <w:spacing w:after="14" w:before="14"/>
        <w:ind w:left="360"/>
      </w:pPr>
      <w:r>
        <w:rPr>
          <w:rFonts w:ascii="Courier New" w:cs="Courier New" w:eastAsia="Courier New" w:hAnsi="Courier New"/>
          <w:color w:val="1B2A4A"/>
          <w:sz w:val="16"/>
          <w:szCs w:val="16"/>
        </w:rPr>
        <w:t xml:space="preserve">      "Full financial feasibility for Africa corporate learning investment covering SETA accreditation cost and enterprise sales economics.",</w:t>
      </w:r>
    </w:p>
    <w:p>
      <w:pPr>
        <w:shd w:fill="F0F0F0" w:val="clear"/>
        <w:spacing w:after="14" w:before="14"/>
        <w:ind w:left="360"/>
      </w:pPr>
      <w:r>
        <w:rPr>
          <w:rFonts w:ascii="Courier New" w:cs="Courier New" w:eastAsia="Courier New" w:hAnsi="Courier New"/>
          <w:color w:val="1B2A4A"/>
          <w:sz w:val="16"/>
          <w:szCs w:val="16"/>
        </w:rPr>
        <w:t xml:space="preserve">      "End-to-end Africa corporate learning market entry including SETA pathway, enterprise L&amp;D partner identification, and first-programme-delivery milestone.",</w:t>
      </w:r>
    </w:p>
    <w:p>
      <w:pPr>
        <w:shd w:fill="F0F0F0" w:val="clear"/>
        <w:spacing w:after="14" w:before="14"/>
        <w:ind w:left="360"/>
      </w:pPr>
      <w:r>
        <w:rPr>
          <w:rFonts w:ascii="Courier New" w:cs="Courier New" w:eastAsia="Courier New" w:hAnsi="Courier New"/>
          <w:color w:val="1B2A4A"/>
          <w:sz w:val="16"/>
          <w:szCs w:val="16"/>
        </w:rPr>
        <w:t xml:space="preserve">      "Embedded Africa corporate learning GTM team covering enterprise L&amp;D and government skills programme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Africa corporate learning investment with young workforce and SETA SDL narrative.",</w:t>
      </w:r>
    </w:p>
    <w:p>
      <w:pPr>
        <w:shd w:fill="F0F0F0" w:val="clear"/>
        <w:spacing w:after="14" w:before="14"/>
        <w:ind w:left="360"/>
      </w:pPr>
      <w:r>
        <w:rPr>
          <w:rFonts w:ascii="Courier New" w:cs="Courier New" w:eastAsia="Courier New" w:hAnsi="Courier New"/>
          <w:color w:val="1B2A4A"/>
          <w:sz w:val="16"/>
          <w:szCs w:val="16"/>
        </w:rPr>
        <w:t xml:space="preserve">      "AI use-case identification — from multilingual African language AI tutoring to offline-capable AI learning delivery."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LMS companies or also with professional certification, digital skills, and mobile learning companies entering Africa?|All corporate learning categories.",</w:t>
      </w:r>
    </w:p>
    <w:p>
      <w:pPr>
        <w:shd w:fill="F0F0F0" w:val="clear"/>
        <w:spacing w:after="14" w:before="14"/>
        <w:ind w:left="360"/>
      </w:pPr>
      <w:r>
        <w:rPr>
          <w:rFonts w:ascii="Courier New" w:cs="Courier New" w:eastAsia="Courier New" w:hAnsi="Courier New"/>
          <w:color w:val="1B2A4A"/>
          <w:sz w:val="16"/>
          <w:szCs w:val="16"/>
        </w:rPr>
        <w:t xml:space="preserve">      "Which African corporate learning markets does GreyRadius prioritise?|South Africa for SETA SDL access and most sophisticated enterprise L&amp;D market; Nigeria for largest workforce volume; Kenya for East Africa hub.",</w:t>
      </w:r>
    </w:p>
    <w:p>
      <w:pPr>
        <w:shd w:fill="F0F0F0" w:val="clear"/>
        <w:spacing w:after="14" w:before="14"/>
        <w:ind w:left="360"/>
      </w:pPr>
      <w:r>
        <w:rPr>
          <w:rFonts w:ascii="Courier New" w:cs="Courier New" w:eastAsia="Courier New" w:hAnsi="Courier New"/>
          <w:color w:val="1B2A4A"/>
          <w:sz w:val="16"/>
          <w:szCs w:val="16"/>
        </w:rPr>
        <w:t xml:space="preserve">      "How long does an Africa corporate learning engagement take?|Typically 8-10 weeks for enterprise demand research, SETA programme mapping, and partner identification.",</w:t>
      </w:r>
    </w:p>
    <w:p>
      <w:pPr>
        <w:shd w:fill="F0F0F0" w:val="clear"/>
        <w:spacing w:after="14" w:before="14"/>
        <w:ind w:left="360"/>
      </w:pPr>
      <w:r>
        <w:rPr>
          <w:rFonts w:ascii="Courier New" w:cs="Courier New" w:eastAsia="Courier New" w:hAnsi="Courier New"/>
          <w:color w:val="1B2A4A"/>
          <w:sz w:val="16"/>
          <w:szCs w:val="16"/>
        </w:rPr>
        <w:t xml:space="preserve">      "Can GreyRadius identify South African SETA accreditation contacts?|Yes."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"Africa corporate learning market entry, South Africa SETA accreditation consulting, Africa L&amp;D GTM strategy, Nigeria workforce development advisory, Africa enterprise training market entry",</w:t>
      </w:r>
    </w:p>
    <w:p>
      <w:pPr>
        <w:shd w:fill="F0F0F0" w:val="clear"/>
        <w:spacing w:after="14" w:before="14"/>
        <w:ind w:left="360"/>
      </w:pPr>
      <w:r>
        <w:rPr>
          <w:rFonts w:ascii="Courier New" w:cs="Courier New" w:eastAsia="Courier New" w:hAnsi="Courier New"/>
          <w:color w:val="1B2A4A"/>
          <w:sz w:val="16"/>
          <w:szCs w:val="16"/>
        </w:rPr>
        <w:t xml:space="preserve">    "regions": "South Africa — SETA-accredited training across Johannesburg, Cape Town, Durban enterprise markets; Nigeria — Lagos enterprise L&amp;D; Kenya — Nairobi financial services training",</w:t>
      </w:r>
    </w:p>
    <w:p>
      <w:pPr>
        <w:shd w:fill="F0F0F0" w:val="clear"/>
        <w:spacing w:after="14" w:before="14"/>
        <w:ind w:left="360"/>
      </w:pPr>
      <w:r>
        <w:rPr>
          <w:rFonts w:ascii="Courier New" w:cs="Courier New" w:eastAsia="Courier New" w:hAnsi="Courier New"/>
          <w:color w:val="1B2A4A"/>
          <w:sz w:val="16"/>
          <w:szCs w:val="16"/>
        </w:rPr>
        <w:t xml:space="preserve">    "stat1n": "$3B",</w:t>
      </w:r>
    </w:p>
    <w:p>
      <w:pPr>
        <w:shd w:fill="F0F0F0" w:val="clear"/>
        <w:spacing w:after="14" w:before="14"/>
        <w:ind w:left="360"/>
      </w:pPr>
      <w:r>
        <w:rPr>
          <w:rFonts w:ascii="Courier New" w:cs="Courier New" w:eastAsia="Courier New" w:hAnsi="Courier New"/>
          <w:color w:val="1B2A4A"/>
          <w:sz w:val="16"/>
          <w:szCs w:val="16"/>
        </w:rPr>
        <w:t xml:space="preserve">    "stat1l": "Africa corporate learning market by 2028",</w:t>
      </w:r>
    </w:p>
    <w:p>
      <w:pPr>
        <w:shd w:fill="F0F0F0" w:val="clear"/>
        <w:spacing w:after="14" w:before="14"/>
        <w:ind w:left="360"/>
      </w:pPr>
      <w:r>
        <w:rPr>
          <w:rFonts w:ascii="Courier New" w:cs="Courier New" w:eastAsia="Courier New" w:hAnsi="Courier New"/>
          <w:color w:val="1B2A4A"/>
          <w:sz w:val="16"/>
          <w:szCs w:val="16"/>
        </w:rPr>
        <w:t xml:space="preserve">    "stat1b": "Young workforce skills development, digital economy growth, and mandatory enterprise skills levy investment driving 15% annual L&amp;D growth.",</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Africa L&amp;D mandate",</w:t>
      </w:r>
    </w:p>
    <w:p>
      <w:pPr>
        <w:shd w:fill="F0F0F0" w:val="clear"/>
        <w:spacing w:after="14" w:before="14"/>
        <w:ind w:left="360"/>
      </w:pPr>
      <w:r>
        <w:rPr>
          <w:rFonts w:ascii="Courier New" w:cs="Courier New" w:eastAsia="Courier New" w:hAnsi="Courier New"/>
          <w:color w:val="1B2A4A"/>
          <w:sz w:val="16"/>
          <w:szCs w:val="16"/>
        </w:rPr>
        <w:t xml:space="preserve">    "stat2b": "African CHROs, L&amp;D directors, and SETA programme officials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"8 weeks",</w:t>
      </w:r>
    </w:p>
    <w:p>
      <w:pPr>
        <w:shd w:fill="F0F0F0" w:val="clear"/>
        <w:spacing w:after="14" w:before="14"/>
        <w:ind w:left="360"/>
      </w:pPr>
      <w:r>
        <w:rPr>
          <w:rFonts w:ascii="Courier New" w:cs="Courier New" w:eastAsia="Courier New" w:hAnsi="Courier New"/>
          <w:color w:val="1B2A4A"/>
          <w:sz w:val="16"/>
          <w:szCs w:val="16"/>
        </w:rPr>
        <w:t xml:space="preserve">    "stat3l": "Africa corporate learning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SETA programme mapping and enterprise demand research delivers Africa L&amp;D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"india-gaming-market-entry",</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"gaming",</w:t>
      </w:r>
    </w:p>
    <w:p>
      <w:pPr>
        <w:shd w:fill="F0F0F0" w:val="clear"/>
        <w:spacing w:after="14" w:before="14"/>
        <w:ind w:left="360"/>
      </w:pPr>
      <w:r>
        <w:rPr>
          <w:rFonts w:ascii="Courier New" w:cs="Courier New" w:eastAsia="Courier New" w:hAnsi="Courier New"/>
          <w:color w:val="1B2A4A"/>
          <w:sz w:val="16"/>
          <w:szCs w:val="16"/>
        </w:rPr>
        <w:t xml:space="preserve">    "title": "India Gaming Market Entry Strategy | GreyRadius Consulting",</w:t>
      </w:r>
    </w:p>
    <w:p>
      <w:pPr>
        <w:shd w:fill="F0F0F0" w:val="clear"/>
        <w:spacing w:after="14" w:before="14"/>
        <w:ind w:left="360"/>
      </w:pPr>
      <w:r>
        <w:rPr>
          <w:rFonts w:ascii="Courier New" w:cs="Courier New" w:eastAsia="Courier New" w:hAnsi="Courier New"/>
          <w:color w:val="1B2A4A"/>
          <w:sz w:val="16"/>
          <w:szCs w:val="16"/>
        </w:rPr>
        <w:t xml:space="preserve">    "meta": "GreyRadius helps gaming companies enter India with market entry strategy, MeitY regulatory mapping, mobile gaming demand research, e-sports ecosystem access, and GTM planning.",</w:t>
      </w:r>
    </w:p>
    <w:p>
      <w:pPr>
        <w:shd w:fill="F0F0F0" w:val="clear"/>
        <w:spacing w:after="14" w:before="14"/>
        <w:ind w:left="360"/>
      </w:pPr>
      <w:r>
        <w:rPr>
          <w:rFonts w:ascii="Courier New" w:cs="Courier New" w:eastAsia="Courier New" w:hAnsi="Courier New"/>
          <w:color w:val="1B2A4A"/>
          <w:sz w:val="16"/>
          <w:szCs w:val="16"/>
        </w:rPr>
        <w:t xml:space="preserve">    "h1": "India gaming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international gaming title to Indian player — strategy for gaming companies entering India.",</w:t>
      </w:r>
    </w:p>
    <w:p>
      <w:pPr>
        <w:shd w:fill="F0F0F0" w:val="clear"/>
        <w:spacing w:after="14" w:before="14"/>
        <w:ind w:left="360"/>
      </w:pPr>
      <w:r>
        <w:rPr>
          <w:rFonts w:ascii="Courier New" w:cs="Courier New" w:eastAsia="Courier New" w:hAnsi="Courier New"/>
          <w:color w:val="1B2A4A"/>
          <w:sz w:val="16"/>
          <w:szCs w:val="16"/>
        </w:rPr>
        <w:t xml:space="preserve">    "hero": "India's gaming market is the world's fastest-growing — with 600 million smartphone users, India as the world's largest market for mobile game downloads, real-money gaming and fantasy sports creating a uniquely monetisable Indian gaming segment, and India's young demographics driving gaming adoption at extraordinary speed. International gaming companies across mobile gaming, PC gaming, e-sports platforms, gaming infrastructure, and real-money gaming are all evaluating India as a priority gaming market. GreyRadius helps gaming companies validate Indian player demand, navigate MeitY and state-level gaming regulations, identify publisher and distribution partners, and execute GTM.",</w:t>
      </w:r>
    </w:p>
    <w:p>
      <w:pPr>
        <w:shd w:fill="F0F0F0" w:val="clear"/>
        <w:spacing w:after="14" w:before="14"/>
        <w:ind w:left="360"/>
      </w:pPr>
      <w:r>
        <w:rPr>
          <w:rFonts w:ascii="Courier New" w:cs="Courier New" w:eastAsia="Courier New" w:hAnsi="Courier New"/>
          <w:color w:val="1B2A4A"/>
          <w:sz w:val="16"/>
          <w:szCs w:val="16"/>
        </w:rPr>
        <w:t xml:space="preserve">    "market_timing": "India's online gaming regulatory framework is emerging from a period of significant state-level variation — the central government's MeitY Online Gaming Intermediary Rules 2023 are creating a clearer national framework that reduces regulatory uncertainty. Gaming companies that engage with MeitY framework compliance in 2024-2026 will be positioned as compliant operators when India's gaming regulatory environment stabilises.",</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"India's gaming market is projected to reach $8B by 2028 — growing at 28% annually as mobile gaming adoption, real-money gaming expansion, and e-sports ecosystem development all scale.",</w:t>
      </w:r>
    </w:p>
    <w:p>
      <w:pPr>
        <w:shd w:fill="F0F0F0" w:val="clear"/>
        <w:spacing w:after="14" w:before="14"/>
        <w:ind w:left="360"/>
      </w:pPr>
      <w:r>
        <w:rPr>
          <w:rFonts w:ascii="Courier New" w:cs="Courier New" w:eastAsia="Courier New" w:hAnsi="Courier New"/>
          <w:color w:val="1B2A4A"/>
          <w:sz w:val="16"/>
          <w:szCs w:val="16"/>
        </w:rPr>
        <w:t xml:space="preserve">      "India is the world's largest mobile game download market — 1.5 billion+ annual mobile game downloads making India the essential mobile gaming market for international titles seeking volume.",</w:t>
      </w:r>
    </w:p>
    <w:p>
      <w:pPr>
        <w:shd w:fill="F0F0F0" w:val="clear"/>
        <w:spacing w:after="14" w:before="14"/>
        <w:ind w:left="360"/>
      </w:pPr>
      <w:r>
        <w:rPr>
          <w:rFonts w:ascii="Courier New" w:cs="Courier New" w:eastAsia="Courier New" w:hAnsi="Courier New"/>
          <w:color w:val="1B2A4A"/>
          <w:sz w:val="16"/>
          <w:szCs w:val="16"/>
        </w:rPr>
        <w:t xml:space="preserve">      "Real-money gaming is India's most monetisable gaming segment — fantasy sports (Dream11, MPL) and skill-based gaming have demonstrated that Indian players will pay for gaming experiences with real-money stakes.",</w:t>
      </w:r>
    </w:p>
    <w:p>
      <w:pPr>
        <w:shd w:fill="F0F0F0" w:val="clear"/>
        <w:spacing w:after="14" w:before="14"/>
        <w:ind w:left="360"/>
      </w:pPr>
      <w:r>
        <w:rPr>
          <w:rFonts w:ascii="Courier New" w:cs="Courier New" w:eastAsia="Courier New" w:hAnsi="Courier New"/>
          <w:color w:val="1B2A4A"/>
          <w:sz w:val="16"/>
          <w:szCs w:val="16"/>
        </w:rPr>
        <w:t xml:space="preserve">      "India's e-sports ecosystem is professionalising rapidly — BGMI and Free Fire tournaments drawing millions of viewers and creating structured e-sports league infrastructure that international e-sports companies can participate in."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"Indian gaming regulation varies by state — some states restrict real-money gaming while others permit it, requiring careful state-by-state compliance mapping before real-money gaming operations.",</w:t>
      </w:r>
    </w:p>
    <w:p>
      <w:pPr>
        <w:shd w:fill="F0F0F0" w:val="clear"/>
        <w:spacing w:after="14" w:before="14"/>
        <w:ind w:left="360"/>
      </w:pPr>
      <w:r>
        <w:rPr>
          <w:rFonts w:ascii="Courier New" w:cs="Courier New" w:eastAsia="Courier New" w:hAnsi="Courier New"/>
          <w:color w:val="1B2A4A"/>
          <w:sz w:val="16"/>
          <w:szCs w:val="16"/>
        </w:rPr>
        <w:t xml:space="preserve">      "Gaming monetisation in India requires mobile-first UPI payment integration — Indian players pay via UPI, Paytm, and wallets rather than credit cards requiring payment infrastructure adaptation.",</w:t>
      </w:r>
    </w:p>
    <w:p>
      <w:pPr>
        <w:shd w:fill="F0F0F0" w:val="clear"/>
        <w:spacing w:after="14" w:before="14"/>
        <w:ind w:left="360"/>
      </w:pPr>
      <w:r>
        <w:rPr>
          <w:rFonts w:ascii="Courier New" w:cs="Courier New" w:eastAsia="Courier New" w:hAnsi="Courier New"/>
          <w:color w:val="1B2A4A"/>
          <w:sz w:val="16"/>
          <w:szCs w:val="16"/>
        </w:rPr>
        <w:t xml:space="preserve">      "In-app purchase price sensitivity is significant — Indian mobile gamers are highly price-sensitive with average revenue per user substantially below Western benchmarks requiring India-specific monetisation models.",</w:t>
      </w:r>
    </w:p>
    <w:p>
      <w:pPr>
        <w:shd w:fill="F0F0F0" w:val="clear"/>
        <w:spacing w:after="14" w:before="14"/>
        <w:ind w:left="360"/>
      </w:pPr>
      <w:r>
        <w:rPr>
          <w:rFonts w:ascii="Courier New" w:cs="Courier New" w:eastAsia="Courier New" w:hAnsi="Courier New"/>
          <w:color w:val="1B2A4A"/>
          <w:sz w:val="16"/>
          <w:szCs w:val="16"/>
        </w:rPr>
        <w:t xml:space="preserve">      "Competition from Indian gaming companies — Dream11, MPL, and Nazara — with established player relationships and regulatory navigation expertise is intense across most gaming categories."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"India gaming demand validation|You need to validate Indian player demand for your game or gaming platform and understand MeitY and state gaming regulatory requirements.",</w:t>
      </w:r>
    </w:p>
    <w:p>
      <w:pPr>
        <w:shd w:fill="F0F0F0" w:val="clear"/>
        <w:spacing w:after="14" w:before="14"/>
        <w:ind w:left="360"/>
      </w:pPr>
      <w:r>
        <w:rPr>
          <w:rFonts w:ascii="Courier New" w:cs="Courier New" w:eastAsia="Courier New" w:hAnsi="Courier New"/>
          <w:color w:val="1B2A4A"/>
          <w:sz w:val="16"/>
          <w:szCs w:val="16"/>
        </w:rPr>
        <w:t xml:space="preserve">      "MeitY gaming regulatory pathway|You need to understand MeitY Online Gaming Intermediary Rules, state-level gaming legality mapping, and GST on gaming compliance.",</w:t>
      </w:r>
    </w:p>
    <w:p>
      <w:pPr>
        <w:shd w:fill="F0F0F0" w:val="clear"/>
        <w:spacing w:after="14" w:before="14"/>
        <w:ind w:left="360"/>
      </w:pPr>
      <w:r>
        <w:rPr>
          <w:rFonts w:ascii="Courier New" w:cs="Courier New" w:eastAsia="Courier New" w:hAnsi="Courier New"/>
          <w:color w:val="1B2A4A"/>
          <w:sz w:val="16"/>
          <w:szCs w:val="16"/>
        </w:rPr>
        <w:t xml:space="preserve">      "India gaming publisher and distributor identification|You need Indian gaming publishers, app store optimisation partners, and e-sports tournament organisers as commercial partners.",</w:t>
      </w:r>
    </w:p>
    <w:p>
      <w:pPr>
        <w:shd w:fill="F0F0F0" w:val="clear"/>
        <w:spacing w:after="14" w:before="14"/>
        <w:ind w:left="360"/>
      </w:pPr>
      <w:r>
        <w:rPr>
          <w:rFonts w:ascii="Courier New" w:cs="Courier New" w:eastAsia="Courier New" w:hAnsi="Courier New"/>
          <w:color w:val="1B2A4A"/>
          <w:sz w:val="16"/>
          <w:szCs w:val="16"/>
        </w:rPr>
        <w:t xml:space="preserve">      "India gaming GTM strategy|You need a go-to-market plan covering mobile game launch, UPI payment integration, and Indian player acquisition.",</w:t>
      </w:r>
    </w:p>
    <w:p>
      <w:pPr>
        <w:shd w:fill="F0F0F0" w:val="clear"/>
        <w:spacing w:after="14" w:before="14"/>
        <w:ind w:left="360"/>
      </w:pPr>
      <w:r>
        <w:rPr>
          <w:rFonts w:ascii="Courier New" w:cs="Courier New" w:eastAsia="Courier New" w:hAnsi="Courier New"/>
          <w:color w:val="1B2A4A"/>
          <w:sz w:val="16"/>
          <w:szCs w:val="16"/>
        </w:rPr>
        <w:t xml:space="preserve">      "Raising capital for India gaming investment|You need a pitch book grounded in India gaming market data and MeitY regulatory framework analysis.",</w:t>
      </w:r>
    </w:p>
    <w:p>
      <w:pPr>
        <w:shd w:fill="F0F0F0" w:val="clear"/>
        <w:spacing w:after="14" w:before="14"/>
        <w:ind w:left="360"/>
      </w:pPr>
      <w:r>
        <w:rPr>
          <w:rFonts w:ascii="Courier New" w:cs="Courier New" w:eastAsia="Courier New" w:hAnsi="Courier New"/>
          <w:color w:val="1B2A4A"/>
          <w:sz w:val="16"/>
          <w:szCs w:val="16"/>
        </w:rPr>
        <w:t xml:space="preserve">      "India gaming monetisation strategy|You need a UPI-integrated, price-sensitive India monetisation architecture that captures Indian player revenue effectively."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Indian player demand for your game with gamer research and MeitY regulatory mapping.",</w:t>
      </w:r>
    </w:p>
    <w:p>
      <w:pPr>
        <w:shd w:fill="F0F0F0" w:val="clear"/>
        <w:spacing w:after="14" w:before="14"/>
        <w:ind w:left="360"/>
      </w:pPr>
      <w:r>
        <w:rPr>
          <w:rFonts w:ascii="Courier New" w:cs="Courier New" w:eastAsia="Courier New" w:hAnsi="Courier New"/>
          <w:color w:val="1B2A4A"/>
          <w:sz w:val="16"/>
          <w:szCs w:val="16"/>
        </w:rPr>
        <w:t xml:space="preserve">      "Full financial feasibility for India gaming investment covering regulatory compliance cost and Indian ARPU economics.",</w:t>
      </w:r>
    </w:p>
    <w:p>
      <w:pPr>
        <w:shd w:fill="F0F0F0" w:val="clear"/>
        <w:spacing w:after="14" w:before="14"/>
        <w:ind w:left="360"/>
      </w:pPr>
      <w:r>
        <w:rPr>
          <w:rFonts w:ascii="Courier New" w:cs="Courier New" w:eastAsia="Courier New" w:hAnsi="Courier New"/>
          <w:color w:val="1B2A4A"/>
          <w:sz w:val="16"/>
          <w:szCs w:val="16"/>
        </w:rPr>
        <w:t xml:space="preserve">      "End-to-end India gaming market entry including MeitY compliance, publisher identification, and first-million-player milestone.",</w:t>
      </w:r>
    </w:p>
    <w:p>
      <w:pPr>
        <w:shd w:fill="F0F0F0" w:val="clear"/>
        <w:spacing w:after="14" w:before="14"/>
        <w:ind w:left="360"/>
      </w:pPr>
      <w:r>
        <w:rPr>
          <w:rFonts w:ascii="Courier New" w:cs="Courier New" w:eastAsia="Courier New" w:hAnsi="Courier New"/>
          <w:color w:val="1B2A4A"/>
          <w:sz w:val="16"/>
          <w:szCs w:val="16"/>
        </w:rPr>
        <w:t xml:space="preserve">      "Embedded India gaming GTM team covering gamer acquisition and e-sports ecosystem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India gaming investment with mobile gaming adoption and real-money gaming narrative.",</w:t>
      </w:r>
    </w:p>
    <w:p>
      <w:pPr>
        <w:shd w:fill="F0F0F0" w:val="clear"/>
        <w:spacing w:after="14" w:before="14"/>
        <w:ind w:left="360"/>
      </w:pPr>
      <w:r>
        <w:rPr>
          <w:rFonts w:ascii="Courier New" w:cs="Courier New" w:eastAsia="Courier New" w:hAnsi="Courier New"/>
          <w:color w:val="1B2A4A"/>
          <w:sz w:val="16"/>
          <w:szCs w:val="16"/>
        </w:rPr>
        <w:t xml:space="preserve">      "AI use-case identification — from Hindi language AI game character development to Indian player behaviour prediction."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mobile gaming companies or also with PC gaming, e-sports platforms, and real-money gaming companies entering India?|All gaming categories.",</w:t>
      </w:r>
    </w:p>
    <w:p>
      <w:pPr>
        <w:shd w:fill="F0F0F0" w:val="clear"/>
        <w:spacing w:after="14" w:before="14"/>
        <w:ind w:left="360"/>
      </w:pPr>
      <w:r>
        <w:rPr>
          <w:rFonts w:ascii="Courier New" w:cs="Courier New" w:eastAsia="Courier New" w:hAnsi="Courier New"/>
          <w:color w:val="1B2A4A"/>
          <w:sz w:val="16"/>
          <w:szCs w:val="16"/>
        </w:rPr>
        <w:t xml:space="preserve">      "How long does an India gaming engagement take?|Typically 6-8 weeks for player demand research, MeitY regulatory mapping, and publisher identification.",</w:t>
      </w:r>
    </w:p>
    <w:p>
      <w:pPr>
        <w:shd w:fill="F0F0F0" w:val="clear"/>
        <w:spacing w:after="14" w:before="14"/>
        <w:ind w:left="360"/>
      </w:pPr>
      <w:r>
        <w:rPr>
          <w:rFonts w:ascii="Courier New" w:cs="Courier New" w:eastAsia="Courier New" w:hAnsi="Courier New"/>
          <w:color w:val="1B2A4A"/>
          <w:sz w:val="16"/>
          <w:szCs w:val="16"/>
        </w:rPr>
        <w:t xml:space="preserve">      "Is real-money gaming legal in India?|It depends on the state and game type — we map state-level gaming legality and MeitY framework compliance in every gaming engagement.",</w:t>
      </w:r>
    </w:p>
    <w:p>
      <w:pPr>
        <w:shd w:fill="F0F0F0" w:val="clear"/>
        <w:spacing w:after="14" w:before="14"/>
        <w:ind w:left="360"/>
      </w:pPr>
      <w:r>
        <w:rPr>
          <w:rFonts w:ascii="Courier New" w:cs="Courier New" w:eastAsia="Courier New" w:hAnsi="Courier New"/>
          <w:color w:val="1B2A4A"/>
          <w:sz w:val="16"/>
          <w:szCs w:val="16"/>
        </w:rPr>
        <w:t xml:space="preserve">      "What India gaming monetisation model works best?|UPI-integrated micro-transaction models at Indian price points significantly outperform Western credit-card subscription models."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"India gaming market entry, MeitY gaming regulation consulting, India mobile gaming GTM strategy, India e-sports advisory, India online gaming market entry",</w:t>
      </w:r>
    </w:p>
    <w:p>
      <w:pPr>
        <w:shd w:fill="F0F0F0" w:val="clear"/>
        <w:spacing w:after="14" w:before="14"/>
        <w:ind w:left="360"/>
      </w:pPr>
      <w:r>
        <w:rPr>
          <w:rFonts w:ascii="Courier New" w:cs="Courier New" w:eastAsia="Courier New" w:hAnsi="Courier New"/>
          <w:color w:val="1B2A4A"/>
          <w:sz w:val="16"/>
          <w:szCs w:val="16"/>
        </w:rPr>
        <w:t xml:space="preserve">    "regions": "India — Delhi NCR, Bengaluru, Mumbai, Hyderabad gaming player concentration; pan-India mobile gaming via smartphone",</w:t>
      </w:r>
    </w:p>
    <w:p>
      <w:pPr>
        <w:shd w:fill="F0F0F0" w:val="clear"/>
        <w:spacing w:after="14" w:before="14"/>
        <w:ind w:left="360"/>
      </w:pPr>
      <w:r>
        <w:rPr>
          <w:rFonts w:ascii="Courier New" w:cs="Courier New" w:eastAsia="Courier New" w:hAnsi="Courier New"/>
          <w:color w:val="1B2A4A"/>
          <w:sz w:val="16"/>
          <w:szCs w:val="16"/>
        </w:rPr>
        <w:t xml:space="preserve">    "stat1n": "$8B",</w:t>
      </w:r>
    </w:p>
    <w:p>
      <w:pPr>
        <w:shd w:fill="F0F0F0" w:val="clear"/>
        <w:spacing w:after="14" w:before="14"/>
        <w:ind w:left="360"/>
      </w:pPr>
      <w:r>
        <w:rPr>
          <w:rFonts w:ascii="Courier New" w:cs="Courier New" w:eastAsia="Courier New" w:hAnsi="Courier New"/>
          <w:color w:val="1B2A4A"/>
          <w:sz w:val="16"/>
          <w:szCs w:val="16"/>
        </w:rPr>
        <w:t xml:space="preserve">    "stat1l": "India gaming market by 2028",</w:t>
      </w:r>
    </w:p>
    <w:p>
      <w:pPr>
        <w:shd w:fill="F0F0F0" w:val="clear"/>
        <w:spacing w:after="14" w:before="14"/>
        <w:ind w:left="360"/>
      </w:pPr>
      <w:r>
        <w:rPr>
          <w:rFonts w:ascii="Courier New" w:cs="Courier New" w:eastAsia="Courier New" w:hAnsi="Courier New"/>
          <w:color w:val="1B2A4A"/>
          <w:sz w:val="16"/>
          <w:szCs w:val="16"/>
        </w:rPr>
        <w:t xml:space="preserve">    "stat1b": "Mobile gaming adoption, real-money gaming expansion, and e-sports ecosystem development driving 28% annual India gaming growth.",</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India gaming mandate",</w:t>
      </w:r>
    </w:p>
    <w:p>
      <w:pPr>
        <w:shd w:fill="F0F0F0" w:val="clear"/>
        <w:spacing w:after="14" w:before="14"/>
        <w:ind w:left="360"/>
      </w:pPr>
      <w:r>
        <w:rPr>
          <w:rFonts w:ascii="Courier New" w:cs="Courier New" w:eastAsia="Courier New" w:hAnsi="Courier New"/>
          <w:color w:val="1B2A4A"/>
          <w:sz w:val="16"/>
          <w:szCs w:val="16"/>
        </w:rPr>
        <w:t xml:space="preserve">    "stat2b": "Indian gamers, MeitY officials, and gaming publishers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"6 weeks",</w:t>
      </w:r>
    </w:p>
    <w:p>
      <w:pPr>
        <w:shd w:fill="F0F0F0" w:val="clear"/>
        <w:spacing w:after="14" w:before="14"/>
        <w:ind w:left="360"/>
      </w:pPr>
      <w:r>
        <w:rPr>
          <w:rFonts w:ascii="Courier New" w:cs="Courier New" w:eastAsia="Courier New" w:hAnsi="Courier New"/>
          <w:color w:val="1B2A4A"/>
          <w:sz w:val="16"/>
          <w:szCs w:val="16"/>
        </w:rPr>
        <w:t xml:space="preserve">    "stat3l": "India gaming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MeitY regulatory mapping and player demand research delivers India gaming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"gulf-gaming-market-entry",</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"gaming",</w:t>
      </w:r>
    </w:p>
    <w:p>
      <w:pPr>
        <w:shd w:fill="F0F0F0" w:val="clear"/>
        <w:spacing w:after="14" w:before="14"/>
        <w:ind w:left="360"/>
      </w:pPr>
      <w:r>
        <w:rPr>
          <w:rFonts w:ascii="Courier New" w:cs="Courier New" w:eastAsia="Courier New" w:hAnsi="Courier New"/>
          <w:color w:val="1B2A4A"/>
          <w:sz w:val="16"/>
          <w:szCs w:val="16"/>
        </w:rPr>
        <w:t xml:space="preserve">    "title": "Gulf Gaming Market Entry Strategy | GreyRadius Consulting",</w:t>
      </w:r>
    </w:p>
    <w:p>
      <w:pPr>
        <w:shd w:fill="F0F0F0" w:val="clear"/>
        <w:spacing w:after="14" w:before="14"/>
        <w:ind w:left="360"/>
      </w:pPr>
      <w:r>
        <w:rPr>
          <w:rFonts w:ascii="Courier New" w:cs="Courier New" w:eastAsia="Courier New" w:hAnsi="Courier New"/>
          <w:color w:val="1B2A4A"/>
          <w:sz w:val="16"/>
          <w:szCs w:val="16"/>
        </w:rPr>
        <w:t xml:space="preserve">    "meta": "GreyRadius helps gaming companies enter Gulf markets with market entry strategy, GCAM and regulatory mapping, premium consumer demand research, and GTM planning.",</w:t>
      </w:r>
    </w:p>
    <w:p>
      <w:pPr>
        <w:shd w:fill="F0F0F0" w:val="clear"/>
        <w:spacing w:after="14" w:before="14"/>
        <w:ind w:left="360"/>
      </w:pPr>
      <w:r>
        <w:rPr>
          <w:rFonts w:ascii="Courier New" w:cs="Courier New" w:eastAsia="Courier New" w:hAnsi="Courier New"/>
          <w:color w:val="1B2A4A"/>
          <w:sz w:val="16"/>
          <w:szCs w:val="16"/>
        </w:rPr>
        <w:t xml:space="preserve">    "h1": "Gulf gaming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international gaming title to Gulf player — strategy for gaming companies entering the GCC.",</w:t>
      </w:r>
    </w:p>
    <w:p>
      <w:pPr>
        <w:shd w:fill="F0F0F0" w:val="clear"/>
        <w:spacing w:after="14" w:before="14"/>
        <w:ind w:left="360"/>
      </w:pPr>
      <w:r>
        <w:rPr>
          <w:rFonts w:ascii="Courier New" w:cs="Courier New" w:eastAsia="Courier New" w:hAnsi="Courier New"/>
          <w:color w:val="1B2A4A"/>
          <w:sz w:val="16"/>
          <w:szCs w:val="16"/>
        </w:rPr>
        <w:t xml:space="preserve">    "hero": "The Gulf's gaming market is one of the world's most commercially attractive — with Gulf consumers among the world's highest per-capita gaming spenders, government investment in gaming and e-sports as part of Vision 2030 entertainment diversification, Saudi Arabia's GCAM (General Commission for Audiovisual Media) creating a regulated gaming environment, and a young population (65%+ under 35) that is deeply gaming-oriented. International gaming companies across console, PC, mobile, and e-sports are all evaluating Gulf market entry. GreyRadius helps gaming companies validate Gulf player demand, navigate GCAM and regulatory requirements, identify publisher and distribution partners, and execute GTM.",</w:t>
      </w:r>
    </w:p>
    <w:p>
      <w:pPr>
        <w:shd w:fill="F0F0F0" w:val="clear"/>
        <w:spacing w:after="14" w:before="14"/>
        <w:ind w:left="360"/>
      </w:pPr>
      <w:r>
        <w:rPr>
          <w:rFonts w:ascii="Courier New" w:cs="Courier New" w:eastAsia="Courier New" w:hAnsi="Courier New"/>
          <w:color w:val="1B2A4A"/>
          <w:sz w:val="16"/>
          <w:szCs w:val="16"/>
        </w:rPr>
        <w:t xml:space="preserve">    "market_timing": "Saudi Arabia's Vision 2030 is explicitly investing in gaming and e-sports as entertainment economy diversification — with the Saudi Esports Federation, MDL Disrupt Saudi, and Gamers8 (the world's richest gaming festival) all creating government infrastructure around gaming. The gaming companies establishing Saudi gaming ecosystem relationships in 2024-2027 will benefit from government promotion that amplifies their Gulf market position.",</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"Gulf gaming market is projected to reach $3.5B by 2028 — growing at 15% annually as Vision 2030 entertainment investment, premium consumer spending, and e-sports ecosystem development all scale.",</w:t>
      </w:r>
    </w:p>
    <w:p>
      <w:pPr>
        <w:shd w:fill="F0F0F0" w:val="clear"/>
        <w:spacing w:after="14" w:before="14"/>
        <w:ind w:left="360"/>
      </w:pPr>
      <w:r>
        <w:rPr>
          <w:rFonts w:ascii="Courier New" w:cs="Courier New" w:eastAsia="Courier New" w:hAnsi="Courier New"/>
          <w:color w:val="1B2A4A"/>
          <w:sz w:val="16"/>
          <w:szCs w:val="16"/>
        </w:rPr>
        <w:t xml:space="preserve">      "Gulf gamers are among the world's highest per-capita gaming spenders — Arabic-speaking gamers in UAE and Saudi Arabia have average revenue per user 3-5x higher than Asian benchmarks due to premium purchasing power.",</w:t>
      </w:r>
    </w:p>
    <w:p>
      <w:pPr>
        <w:shd w:fill="F0F0F0" w:val="clear"/>
        <w:spacing w:after="14" w:before="14"/>
        <w:ind w:left="360"/>
      </w:pPr>
      <w:r>
        <w:rPr>
          <w:rFonts w:ascii="Courier New" w:cs="Courier New" w:eastAsia="Courier New" w:hAnsi="Courier New"/>
          <w:color w:val="1B2A4A"/>
          <w:sz w:val="16"/>
          <w:szCs w:val="16"/>
        </w:rPr>
        <w:t xml:space="preserve">      "Saudi Arabia's Gamers8 is the world's largest gaming festival — $45M+ in prize money and millions of viewers making Saudi Arabia the global centre of Arabic gaming and e-sports.",</w:t>
      </w:r>
    </w:p>
    <w:p>
      <w:pPr>
        <w:shd w:fill="F0F0F0" w:val="clear"/>
        <w:spacing w:after="14" w:before="14"/>
        <w:ind w:left="360"/>
      </w:pPr>
      <w:r>
        <w:rPr>
          <w:rFonts w:ascii="Courier New" w:cs="Courier New" w:eastAsia="Courier New" w:hAnsi="Courier New"/>
          <w:color w:val="1B2A4A"/>
          <w:sz w:val="16"/>
          <w:szCs w:val="16"/>
        </w:rPr>
        <w:t xml:space="preserve">      "Arabic language gaming content is a primary adoption driver — Gulf gamers strongly prefer Arabic-localised interfaces, narratives, and characters creating a quality signal for publishers that invest in Arabic gaming localisation."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"GCAM content approval is required for game publishing in Saudi Arabia — games must be submitted to GCAM for content review with violent, sexual, or politically sensitive content requiring modification or rejection.",</w:t>
      </w:r>
    </w:p>
    <w:p>
      <w:pPr>
        <w:shd w:fill="F0F0F0" w:val="clear"/>
        <w:spacing w:after="14" w:before="14"/>
        <w:ind w:left="360"/>
      </w:pPr>
      <w:r>
        <w:rPr>
          <w:rFonts w:ascii="Courier New" w:cs="Courier New" w:eastAsia="Courier New" w:hAnsi="Courier New"/>
          <w:color w:val="1B2A4A"/>
          <w:sz w:val="16"/>
          <w:szCs w:val="16"/>
        </w:rPr>
        <w:t xml:space="preserve">      "Arabic game localisation is a significant quality investment — Gulf gamers are discerning about Arabic language quality requiring native Arabic localisation rather than machine translation.",</w:t>
      </w:r>
    </w:p>
    <w:p>
      <w:pPr>
        <w:shd w:fill="F0F0F0" w:val="clear"/>
        <w:spacing w:after="14" w:before="14"/>
        <w:ind w:left="360"/>
      </w:pPr>
      <w:r>
        <w:rPr>
          <w:rFonts w:ascii="Courier New" w:cs="Courier New" w:eastAsia="Courier New" w:hAnsi="Courier New"/>
          <w:color w:val="1B2A4A"/>
          <w:sz w:val="16"/>
          <w:szCs w:val="16"/>
        </w:rPr>
        <w:t xml:space="preserve">      "Competition from established gaming publishers — EA, Activision, and Ubisoft — with existing Gulf distribution relationships and Arabic localisation investment is intense.",</w:t>
      </w:r>
    </w:p>
    <w:p>
      <w:pPr>
        <w:shd w:fill="F0F0F0" w:val="clear"/>
        <w:spacing w:after="14" w:before="14"/>
        <w:ind w:left="360"/>
      </w:pPr>
      <w:r>
        <w:rPr>
          <w:rFonts w:ascii="Courier New" w:cs="Courier New" w:eastAsia="Courier New" w:hAnsi="Courier New"/>
          <w:color w:val="1B2A4A"/>
          <w:sz w:val="16"/>
          <w:szCs w:val="16"/>
        </w:rPr>
        <w:t xml:space="preserve">      "Gulf gaming distribution requires local publisher partnerships — physical and digital game distribution in Gulf requires local publisher or distributor relationships for GCAM content compliance and local payment integration."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"Gulf gaming demand validation|You need to validate Gulf player demand for your game and understand GCAM content approval requirements.",</w:t>
      </w:r>
    </w:p>
    <w:p>
      <w:pPr>
        <w:shd w:fill="F0F0F0" w:val="clear"/>
        <w:spacing w:after="14" w:before="14"/>
        <w:ind w:left="360"/>
      </w:pPr>
      <w:r>
        <w:rPr>
          <w:rFonts w:ascii="Courier New" w:cs="Courier New" w:eastAsia="Courier New" w:hAnsi="Courier New"/>
          <w:color w:val="1B2A4A"/>
          <w:sz w:val="16"/>
          <w:szCs w:val="16"/>
        </w:rPr>
        <w:t xml:space="preserve">      "GCAM regulatory pathway|You need to understand GCAM content submission, review process, and approval requirements for your game category.",</w:t>
      </w:r>
    </w:p>
    <w:p>
      <w:pPr>
        <w:shd w:fill="F0F0F0" w:val="clear"/>
        <w:spacing w:after="14" w:before="14"/>
        <w:ind w:left="360"/>
      </w:pPr>
      <w:r>
        <w:rPr>
          <w:rFonts w:ascii="Courier New" w:cs="Courier New" w:eastAsia="Courier New" w:hAnsi="Courier New"/>
          <w:color w:val="1B2A4A"/>
          <w:sz w:val="16"/>
          <w:szCs w:val="16"/>
        </w:rPr>
        <w:t xml:space="preserve">      "Gulf gaming publisher and distributor identification|You need GCAM-compliant Gulf publishers, Saudi e-sports tournament partners, and Gulf gaming content distribution companies.",</w:t>
      </w:r>
    </w:p>
    <w:p>
      <w:pPr>
        <w:shd w:fill="F0F0F0" w:val="clear"/>
        <w:spacing w:after="14" w:before="14"/>
        <w:ind w:left="360"/>
      </w:pPr>
      <w:r>
        <w:rPr>
          <w:rFonts w:ascii="Courier New" w:cs="Courier New" w:eastAsia="Courier New" w:hAnsi="Courier New"/>
          <w:color w:val="1B2A4A"/>
          <w:sz w:val="16"/>
          <w:szCs w:val="16"/>
        </w:rPr>
        <w:t xml:space="preserve">      "Gulf gaming GTM strategy|You need a go-to-market plan covering GCAM compliance, Gamers8 e-sports integration, and Gulf player acquisition.",</w:t>
      </w:r>
    </w:p>
    <w:p>
      <w:pPr>
        <w:shd w:fill="F0F0F0" w:val="clear"/>
        <w:spacing w:after="14" w:before="14"/>
        <w:ind w:left="360"/>
      </w:pPr>
      <w:r>
        <w:rPr>
          <w:rFonts w:ascii="Courier New" w:cs="Courier New" w:eastAsia="Courier New" w:hAnsi="Courier New"/>
          <w:color w:val="1B2A4A"/>
          <w:sz w:val="16"/>
          <w:szCs w:val="16"/>
        </w:rPr>
        <w:t xml:space="preserve">      "Raising capital for Gulf gaming investment|You need a pitch book grounded in Gulf gaming market data and Vision 2030 gaming investment analysis.",</w:t>
      </w:r>
    </w:p>
    <w:p>
      <w:pPr>
        <w:shd w:fill="F0F0F0" w:val="clear"/>
        <w:spacing w:after="14" w:before="14"/>
        <w:ind w:left="360"/>
      </w:pPr>
      <w:r>
        <w:rPr>
          <w:rFonts w:ascii="Courier New" w:cs="Courier New" w:eastAsia="Courier New" w:hAnsi="Courier New"/>
          <w:color w:val="1B2A4A"/>
          <w:sz w:val="16"/>
          <w:szCs w:val="16"/>
        </w:rPr>
        <w:t xml:space="preserve">      "Arabic localisation strategy|You need an Arabic game localisation quality standard and implementation roadmap for Gulf player adoption."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Gulf player demand for your game with gamer research and GCAM regulatory mapping.",</w:t>
      </w:r>
    </w:p>
    <w:p>
      <w:pPr>
        <w:shd w:fill="F0F0F0" w:val="clear"/>
        <w:spacing w:after="14" w:before="14"/>
        <w:ind w:left="360"/>
      </w:pPr>
      <w:r>
        <w:rPr>
          <w:rFonts w:ascii="Courier New" w:cs="Courier New" w:eastAsia="Courier New" w:hAnsi="Courier New"/>
          <w:color w:val="1B2A4A"/>
          <w:sz w:val="16"/>
          <w:szCs w:val="16"/>
        </w:rPr>
        <w:t xml:space="preserve">      "Full financial feasibility for Gulf gaming investment covering GCAM approval and Arabic localisation cost.",</w:t>
      </w:r>
    </w:p>
    <w:p>
      <w:pPr>
        <w:shd w:fill="F0F0F0" w:val="clear"/>
        <w:spacing w:after="14" w:before="14"/>
        <w:ind w:left="360"/>
      </w:pPr>
      <w:r>
        <w:rPr>
          <w:rFonts w:ascii="Courier New" w:cs="Courier New" w:eastAsia="Courier New" w:hAnsi="Courier New"/>
          <w:color w:val="1B2A4A"/>
          <w:sz w:val="16"/>
          <w:szCs w:val="16"/>
        </w:rPr>
        <w:t xml:space="preserve">      "End-to-end Gulf gaming market entry including GCAM compliance, publisher identification, and first-player milestone.",</w:t>
      </w:r>
    </w:p>
    <w:p>
      <w:pPr>
        <w:shd w:fill="F0F0F0" w:val="clear"/>
        <w:spacing w:after="14" w:before="14"/>
        <w:ind w:left="360"/>
      </w:pPr>
      <w:r>
        <w:rPr>
          <w:rFonts w:ascii="Courier New" w:cs="Courier New" w:eastAsia="Courier New" w:hAnsi="Courier New"/>
          <w:color w:val="1B2A4A"/>
          <w:sz w:val="16"/>
          <w:szCs w:val="16"/>
        </w:rPr>
        <w:t xml:space="preserve">      "Embedded Gulf gaming GTM team covering player acquisition and Saudi e-sports ecosystem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Gulf gaming investment with Vision 2030 gaming and premium ARPU narrative.",</w:t>
      </w:r>
    </w:p>
    <w:p>
      <w:pPr>
        <w:shd w:fill="F0F0F0" w:val="clear"/>
        <w:spacing w:after="14" w:before="14"/>
        <w:ind w:left="360"/>
      </w:pPr>
      <w:r>
        <w:rPr>
          <w:rFonts w:ascii="Courier New" w:cs="Courier New" w:eastAsia="Courier New" w:hAnsi="Courier New"/>
          <w:color w:val="1B2A4A"/>
          <w:sz w:val="16"/>
          <w:szCs w:val="16"/>
        </w:rPr>
        <w:t xml:space="preserve">      "AI use-case identification — from Arabic language AI game character to Gulf player behaviour prediction."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mobile gaming companies or also with console, PC, and e-sports companies entering the Gulf?|All gaming categories.",</w:t>
      </w:r>
    </w:p>
    <w:p>
      <w:pPr>
        <w:shd w:fill="F0F0F0" w:val="clear"/>
        <w:spacing w:after="14" w:before="14"/>
        <w:ind w:left="360"/>
      </w:pPr>
      <w:r>
        <w:rPr>
          <w:rFonts w:ascii="Courier New" w:cs="Courier New" w:eastAsia="Courier New" w:hAnsi="Courier New"/>
          <w:color w:val="1B2A4A"/>
          <w:sz w:val="16"/>
          <w:szCs w:val="16"/>
        </w:rPr>
        <w:t xml:space="preserve">      "How long does a Gulf gaming engagement take?|Typically 6-8 weeks for player demand research, GCAM regulatory mapping, and publisher identification.",</w:t>
      </w:r>
    </w:p>
    <w:p>
      <w:pPr>
        <w:shd w:fill="F0F0F0" w:val="clear"/>
        <w:spacing w:after="14" w:before="14"/>
        <w:ind w:left="360"/>
      </w:pPr>
      <w:r>
        <w:rPr>
          <w:rFonts w:ascii="Courier New" w:cs="Courier New" w:eastAsia="Courier New" w:hAnsi="Courier New"/>
          <w:color w:val="1B2A4A"/>
          <w:sz w:val="16"/>
          <w:szCs w:val="16"/>
        </w:rPr>
        <w:t xml:space="preserve">      "Can GreyRadius identify GCAM-compliant gaming publishers in the Gulf?|Yes.",</w:t>
      </w:r>
    </w:p>
    <w:p>
      <w:pPr>
        <w:shd w:fill="F0F0F0" w:val="clear"/>
        <w:spacing w:after="14" w:before="14"/>
        <w:ind w:left="360"/>
      </w:pPr>
      <w:r>
        <w:rPr>
          <w:rFonts w:ascii="Courier New" w:cs="Courier New" w:eastAsia="Courier New" w:hAnsi="Courier New"/>
          <w:color w:val="1B2A4A"/>
          <w:sz w:val="16"/>
          <w:szCs w:val="16"/>
        </w:rPr>
        <w:t xml:space="preserve">      "Which Gulf gaming market should international companies enter first?|Saudi Arabia for Vision 2030 e-sports investment and largest player market; UAE for premium ARPU and established digital entertainment infrastructure."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"Gulf gaming market entry, Saudi Arabia gaming GTM strategy, GCAM approval consulting, UAE e-sports advisory, Gulf gaming market entry strategy",</w:t>
      </w:r>
    </w:p>
    <w:p>
      <w:pPr>
        <w:shd w:fill="F0F0F0" w:val="clear"/>
        <w:spacing w:after="14" w:before="14"/>
        <w:ind w:left="360"/>
      </w:pPr>
      <w:r>
        <w:rPr>
          <w:rFonts w:ascii="Courier New" w:cs="Courier New" w:eastAsia="Courier New" w:hAnsi="Courier New"/>
          <w:color w:val="1B2A4A"/>
          <w:sz w:val="16"/>
          <w:szCs w:val="16"/>
        </w:rPr>
        <w:t xml:space="preserve">    "regions": "Saudi Arabia — Riyadh and Jeddah Gamers8 e-sports ecosystem and GCAM-regulated gaming market; UAE — Dubai gaming and e-sports events",</w:t>
      </w:r>
    </w:p>
    <w:p>
      <w:pPr>
        <w:shd w:fill="F0F0F0" w:val="clear"/>
        <w:spacing w:after="14" w:before="14"/>
        <w:ind w:left="360"/>
      </w:pPr>
      <w:r>
        <w:rPr>
          <w:rFonts w:ascii="Courier New" w:cs="Courier New" w:eastAsia="Courier New" w:hAnsi="Courier New"/>
          <w:color w:val="1B2A4A"/>
          <w:sz w:val="16"/>
          <w:szCs w:val="16"/>
        </w:rPr>
        <w:t xml:space="preserve">    "stat1n": "$3.5B",</w:t>
      </w:r>
    </w:p>
    <w:p>
      <w:pPr>
        <w:shd w:fill="F0F0F0" w:val="clear"/>
        <w:spacing w:after="14" w:before="14"/>
        <w:ind w:left="360"/>
      </w:pPr>
      <w:r>
        <w:rPr>
          <w:rFonts w:ascii="Courier New" w:cs="Courier New" w:eastAsia="Courier New" w:hAnsi="Courier New"/>
          <w:color w:val="1B2A4A"/>
          <w:sz w:val="16"/>
          <w:szCs w:val="16"/>
        </w:rPr>
        <w:t xml:space="preserve">    "stat1l": "Gulf gaming market by 2028",</w:t>
      </w:r>
    </w:p>
    <w:p>
      <w:pPr>
        <w:shd w:fill="F0F0F0" w:val="clear"/>
        <w:spacing w:after="14" w:before="14"/>
        <w:ind w:left="360"/>
      </w:pPr>
      <w:r>
        <w:rPr>
          <w:rFonts w:ascii="Courier New" w:cs="Courier New" w:eastAsia="Courier New" w:hAnsi="Courier New"/>
          <w:color w:val="1B2A4A"/>
          <w:sz w:val="16"/>
          <w:szCs w:val="16"/>
        </w:rPr>
        <w:t xml:space="preserve">    "stat1b": "Vision 2030 entertainment investment, premium consumer spending, and e-sports ecosystem development driving 15% annual gaming growth.",</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Gulf gaming mandate",</w:t>
      </w:r>
    </w:p>
    <w:p>
      <w:pPr>
        <w:shd w:fill="F0F0F0" w:val="clear"/>
        <w:spacing w:after="14" w:before="14"/>
        <w:ind w:left="360"/>
      </w:pPr>
      <w:r>
        <w:rPr>
          <w:rFonts w:ascii="Courier New" w:cs="Courier New" w:eastAsia="Courier New" w:hAnsi="Courier New"/>
          <w:color w:val="1B2A4A"/>
          <w:sz w:val="16"/>
          <w:szCs w:val="16"/>
        </w:rPr>
        <w:t xml:space="preserve">    "stat2b": "Gulf gamers, GCAM officials, and gaming publishers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"6 weeks",</w:t>
      </w:r>
    </w:p>
    <w:p>
      <w:pPr>
        <w:shd w:fill="F0F0F0" w:val="clear"/>
        <w:spacing w:after="14" w:before="14"/>
        <w:ind w:left="360"/>
      </w:pPr>
      <w:r>
        <w:rPr>
          <w:rFonts w:ascii="Courier New" w:cs="Courier New" w:eastAsia="Courier New" w:hAnsi="Courier New"/>
          <w:color w:val="1B2A4A"/>
          <w:sz w:val="16"/>
          <w:szCs w:val="16"/>
        </w:rPr>
        <w:t xml:space="preserve">    "stat3l": "Gulf gaming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GCAM regulatory mapping and player demand research delivers Gulf gaming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"southeast-asia-gaming",</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"gaming",</w:t>
      </w:r>
    </w:p>
    <w:p>
      <w:pPr>
        <w:shd w:fill="F0F0F0" w:val="clear"/>
        <w:spacing w:after="14" w:before="14"/>
        <w:ind w:left="360"/>
      </w:pPr>
      <w:r>
        <w:rPr>
          <w:rFonts w:ascii="Courier New" w:cs="Courier New" w:eastAsia="Courier New" w:hAnsi="Courier New"/>
          <w:color w:val="1B2A4A"/>
          <w:sz w:val="16"/>
          <w:szCs w:val="16"/>
        </w:rPr>
        <w:t xml:space="preserve">    "title": "Southeast Asia Gaming Market Entry Strategy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gaming companies enter Southeast Asia with mobile gaming demand research, regulatory mapping across Indonesia, Vietnam, Thailand, and Philippines, and GTM strategy.",</w:t>
      </w:r>
    </w:p>
    <w:p>
      <w:pPr>
        <w:shd w:fill="F0F0F0" w:val="clear"/>
        <w:spacing w:after="14" w:before="14"/>
        <w:ind w:left="360"/>
      </w:pPr>
      <w:r>
        <w:rPr>
          <w:rFonts w:ascii="Courier New" w:cs="Courier New" w:eastAsia="Courier New" w:hAnsi="Courier New"/>
          <w:color w:val="1B2A4A"/>
          <w:sz w:val="16"/>
          <w:szCs w:val="16"/>
        </w:rPr>
        <w:t xml:space="preserve">    "h1": "Southeast Asia gaming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international gaming title to Southeast Asian player — strategy for gaming companies entering ASEAN.",</w:t>
      </w:r>
    </w:p>
    <w:p>
      <w:pPr>
        <w:shd w:fill="F0F0F0" w:val="clear"/>
        <w:spacing w:after="14" w:before="14"/>
        <w:ind w:left="360"/>
      </w:pPr>
      <w:r>
        <w:rPr>
          <w:rFonts w:ascii="Courier New" w:cs="Courier New" w:eastAsia="Courier New" w:hAnsi="Courier New"/>
          <w:color w:val="1B2A4A"/>
          <w:sz w:val="16"/>
          <w:szCs w:val="16"/>
        </w:rPr>
        <w:t xml:space="preserve">    "hero": "Southeast Asia's gaming market is one of the world's most commercially significant — with 400 million internet users, mobile gaming penetration among the highest globally, e-sports deeply embedded in youth culture across Philippines, Indonesia, Vietnam, and Thailand, and gaming monetisation via mobile payment and digital wallets creating accessible revenue infrastructure. International gaming companies across mobile gaming, PC gaming, and e-sports are all evaluating Southeast Asia as a high-growth gaming market. GreyRadius helps gaming companies validate ASEAN player demand, navigate country-specific gaming regulations, identify local publisher and distribution partners, and execute GTM.",</w:t>
      </w:r>
    </w:p>
    <w:p>
      <w:pPr>
        <w:shd w:fill="F0F0F0" w:val="clear"/>
        <w:spacing w:after="14" w:before="14"/>
        <w:ind w:left="360"/>
      </w:pPr>
      <w:r>
        <w:rPr>
          <w:rFonts w:ascii="Courier New" w:cs="Courier New" w:eastAsia="Courier New" w:hAnsi="Courier New"/>
          <w:color w:val="1B2A4A"/>
          <w:sz w:val="16"/>
          <w:szCs w:val="16"/>
        </w:rPr>
        <w:t xml:space="preserve">    "market_timing": "Southeast Asia's mobile gaming market is entering a monetisation maturity phase — after years of free-to-play dominance, player willingness to pay for premium gaming experiences is growing as Southeast Asian per-capita incomes rise and mobile payment infrastructure (GoPay, GCash, PromptPay) makes in-app purchases frictionless. The gaming companies establishing Southeast Asian player relationships in 2024-2027 will benefit from this monetisation maturity.",</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"Southeast Asia gaming market is projected to reach $9B by 2028 — growing at 12% annually as mobile gaming monetisation matures, e-sports economy professionalises, and regional gaming publishers scale.",</w:t>
      </w:r>
    </w:p>
    <w:p>
      <w:pPr>
        <w:shd w:fill="F0F0F0" w:val="clear"/>
        <w:spacing w:after="14" w:before="14"/>
        <w:ind w:left="360"/>
      </w:pPr>
      <w:r>
        <w:rPr>
          <w:rFonts w:ascii="Courier New" w:cs="Courier New" w:eastAsia="Courier New" w:hAnsi="Courier New"/>
          <w:color w:val="1B2A4A"/>
          <w:sz w:val="16"/>
          <w:szCs w:val="16"/>
        </w:rPr>
        <w:t xml:space="preserve">      "Philippines is Southeast Asia's most advanced e-sports market — MLBB Mobile Legends tournaments drawing stadium-scale audiences and creating professional e-sports infrastructure that international publishers can leverage.",</w:t>
      </w:r>
    </w:p>
    <w:p>
      <w:pPr>
        <w:shd w:fill="F0F0F0" w:val="clear"/>
        <w:spacing w:after="14" w:before="14"/>
        <w:ind w:left="360"/>
      </w:pPr>
      <w:r>
        <w:rPr>
          <w:rFonts w:ascii="Courier New" w:cs="Courier New" w:eastAsia="Courier New" w:hAnsi="Courier New"/>
          <w:color w:val="1B2A4A"/>
          <w:sz w:val="16"/>
          <w:szCs w:val="16"/>
        </w:rPr>
        <w:t xml:space="preserve">      "Indonesia is Southeast Asia's largest gaming market by player count — 150 million gamers and a mobile-first gaming culture making Indonesia the essential Southeast Asian gaming market for volume.",</w:t>
      </w:r>
    </w:p>
    <w:p>
      <w:pPr>
        <w:shd w:fill="F0F0F0" w:val="clear"/>
        <w:spacing w:after="14" w:before="14"/>
        <w:ind w:left="360"/>
      </w:pPr>
      <w:r>
        <w:rPr>
          <w:rFonts w:ascii="Courier New" w:cs="Courier New" w:eastAsia="Courier New" w:hAnsi="Courier New"/>
          <w:color w:val="1B2A4A"/>
          <w:sz w:val="16"/>
          <w:szCs w:val="16"/>
        </w:rPr>
        <w:t xml:space="preserve">      "Vietnam's PC gaming market is disproportionately large — Vietnam's net cafe culture and PC gaming tradition creating strong PC and MOBA (multiplayer online battle arena) gaming demand alongside mobile growth."</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"Gaming regulation varies significantly across ASEAN — Indonesia's Kominfo, Vietnam's Ministry of Information, and Thailand's NBTC all have different content approval and gaming licence requirements.",</w:t>
      </w:r>
    </w:p>
    <w:p>
      <w:pPr>
        <w:shd w:fill="F0F0F0" w:val="clear"/>
        <w:spacing w:after="14" w:before="14"/>
        <w:ind w:left="360"/>
      </w:pPr>
      <w:r>
        <w:rPr>
          <w:rFonts w:ascii="Courier New" w:cs="Courier New" w:eastAsia="Courier New" w:hAnsi="Courier New"/>
          <w:color w:val="1B2A4A"/>
          <w:sz w:val="16"/>
          <w:szCs w:val="16"/>
        </w:rPr>
        <w:t xml:space="preserve">      "Southeast Asian gaming monetisation requires local payment integration — GoPay in Indonesia, GCash in Philippines, PromptPay in Thailand, and MoMo in Vietnam all need to be integrated for effective Southeast Asian player monetisation.",</w:t>
      </w:r>
    </w:p>
    <w:p>
      <w:pPr>
        <w:shd w:fill="F0F0F0" w:val="clear"/>
        <w:spacing w:after="14" w:before="14"/>
        <w:ind w:left="360"/>
      </w:pPr>
      <w:r>
        <w:rPr>
          <w:rFonts w:ascii="Courier New" w:cs="Courier New" w:eastAsia="Courier New" w:hAnsi="Courier New"/>
          <w:color w:val="1B2A4A"/>
          <w:sz w:val="16"/>
          <w:szCs w:val="16"/>
        </w:rPr>
        <w:t xml:space="preserve">      "Competition from Southeast Asian gaming publishers — Garena (Singapore), VNG (Vietnam), and Agate (Indonesia) — with established player relationships and regulatory expertise is intense.",</w:t>
      </w:r>
    </w:p>
    <w:p>
      <w:pPr>
        <w:shd w:fill="F0F0F0" w:val="clear"/>
        <w:spacing w:after="14" w:before="14"/>
        <w:ind w:left="360"/>
      </w:pPr>
      <w:r>
        <w:rPr>
          <w:rFonts w:ascii="Courier New" w:cs="Courier New" w:eastAsia="Courier New" w:hAnsi="Courier New"/>
          <w:color w:val="1B2A4A"/>
          <w:sz w:val="16"/>
          <w:szCs w:val="16"/>
        </w:rPr>
        <w:t xml:space="preserve">      "Localisation quality requirements differ by market — Filipino English games, Bahasa Indonesia, Vietnamese, and Thai all require genuine local language quality rather than simple translation."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"Southeast Asia gaming demand validation|You need to validate ASEAN player demand for your game and understand country-specific gaming regulatory requirements.",</w:t>
      </w:r>
    </w:p>
    <w:p>
      <w:pPr>
        <w:shd w:fill="F0F0F0" w:val="clear"/>
        <w:spacing w:after="14" w:before="14"/>
        <w:ind w:left="360"/>
      </w:pPr>
      <w:r>
        <w:rPr>
          <w:rFonts w:ascii="Courier New" w:cs="Courier New" w:eastAsia="Courier New" w:hAnsi="Courier New"/>
          <w:color w:val="1B2A4A"/>
          <w:sz w:val="16"/>
          <w:szCs w:val="16"/>
        </w:rPr>
        <w:t xml:space="preserve">      "ASEAN gaming regulatory pathway|You need to understand Indonesia Kominfo, Vietnam MIC, Thailand NBTC, and Philippines DICT gaming content and operator requirements.",</w:t>
      </w:r>
    </w:p>
    <w:p>
      <w:pPr>
        <w:shd w:fill="F0F0F0" w:val="clear"/>
        <w:spacing w:after="14" w:before="14"/>
        <w:ind w:left="360"/>
      </w:pPr>
      <w:r>
        <w:rPr>
          <w:rFonts w:ascii="Courier New" w:cs="Courier New" w:eastAsia="Courier New" w:hAnsi="Courier New"/>
          <w:color w:val="1B2A4A"/>
          <w:sz w:val="16"/>
          <w:szCs w:val="16"/>
        </w:rPr>
        <w:t xml:space="preserve">      "Southeast Asia gaming publisher identification|You need ASEAN gaming publishers with country-specific regulatory compliance and local payment integration.",</w:t>
      </w:r>
    </w:p>
    <w:p>
      <w:pPr>
        <w:shd w:fill="F0F0F0" w:val="clear"/>
        <w:spacing w:after="14" w:before="14"/>
        <w:ind w:left="360"/>
      </w:pPr>
      <w:r>
        <w:rPr>
          <w:rFonts w:ascii="Courier New" w:cs="Courier New" w:eastAsia="Courier New" w:hAnsi="Courier New"/>
          <w:color w:val="1B2A4A"/>
          <w:sz w:val="16"/>
          <w:szCs w:val="16"/>
        </w:rPr>
        <w:t xml:space="preserve">      "Southeast Asia gaming GTM strategy|You need a market-by-market player acquisition plan covering Indonesia volume, Philippines e-sports, and Vietnam PC gaming.",</w:t>
      </w:r>
    </w:p>
    <w:p>
      <w:pPr>
        <w:shd w:fill="F0F0F0" w:val="clear"/>
        <w:spacing w:after="14" w:before="14"/>
        <w:ind w:left="360"/>
      </w:pPr>
      <w:r>
        <w:rPr>
          <w:rFonts w:ascii="Courier New" w:cs="Courier New" w:eastAsia="Courier New" w:hAnsi="Courier New"/>
          <w:color w:val="1B2A4A"/>
          <w:sz w:val="16"/>
          <w:szCs w:val="16"/>
        </w:rPr>
        <w:t xml:space="preserve">      "Raising capital for Southeast Asia gaming investment|You need a pitch book grounded in ASEAN gaming market data and monetisation maturity analysis.",</w:t>
      </w:r>
    </w:p>
    <w:p>
      <w:pPr>
        <w:shd w:fill="F0F0F0" w:val="clear"/>
        <w:spacing w:after="14" w:before="14"/>
        <w:ind w:left="360"/>
      </w:pPr>
      <w:r>
        <w:rPr>
          <w:rFonts w:ascii="Courier New" w:cs="Courier New" w:eastAsia="Courier New" w:hAnsi="Courier New"/>
          <w:color w:val="1B2A4A"/>
          <w:sz w:val="16"/>
          <w:szCs w:val="16"/>
        </w:rPr>
        <w:t xml:space="preserve">      "ASEAN localisation strategy|You need a language and cultural localisation roadmap covering Bahasa Indonesia, Filipino, Thai, and Vietnamese."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Southeast Asian player demand for your game with gamer research and regulatory mapping.",</w:t>
      </w:r>
    </w:p>
    <w:p>
      <w:pPr>
        <w:shd w:fill="F0F0F0" w:val="clear"/>
        <w:spacing w:after="14" w:before="14"/>
        <w:ind w:left="360"/>
      </w:pPr>
      <w:r>
        <w:rPr>
          <w:rFonts w:ascii="Courier New" w:cs="Courier New" w:eastAsia="Courier New" w:hAnsi="Courier New"/>
          <w:color w:val="1B2A4A"/>
          <w:sz w:val="16"/>
          <w:szCs w:val="16"/>
        </w:rPr>
        <w:t xml:space="preserve">      "Full financial feasibility for Southeast Asia gaming investment covering regulatory compliance and localisation cost.",</w:t>
      </w:r>
    </w:p>
    <w:p>
      <w:pPr>
        <w:shd w:fill="F0F0F0" w:val="clear"/>
        <w:spacing w:after="14" w:before="14"/>
        <w:ind w:left="360"/>
      </w:pPr>
      <w:r>
        <w:rPr>
          <w:rFonts w:ascii="Courier New" w:cs="Courier New" w:eastAsia="Courier New" w:hAnsi="Courier New"/>
          <w:color w:val="1B2A4A"/>
          <w:sz w:val="16"/>
          <w:szCs w:val="16"/>
        </w:rPr>
        <w:t xml:space="preserve">      "End-to-end Southeast Asia gaming market entry including regulatory pathway, publisher identification, and first-player milestone.",</w:t>
      </w:r>
    </w:p>
    <w:p>
      <w:pPr>
        <w:shd w:fill="F0F0F0" w:val="clear"/>
        <w:spacing w:after="14" w:before="14"/>
        <w:ind w:left="360"/>
      </w:pPr>
      <w:r>
        <w:rPr>
          <w:rFonts w:ascii="Courier New" w:cs="Courier New" w:eastAsia="Courier New" w:hAnsi="Courier New"/>
          <w:color w:val="1B2A4A"/>
          <w:sz w:val="16"/>
          <w:szCs w:val="16"/>
        </w:rPr>
        <w:t xml:space="preserve">      "Embedded Southeast Asia gaming GTM team covering player acquisition and e-sports ecosystem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Southeast Asia gaming investment with mobile gaming adoption and e-sports economy narrative.",</w:t>
      </w:r>
    </w:p>
    <w:p>
      <w:pPr>
        <w:shd w:fill="F0F0F0" w:val="clear"/>
        <w:spacing w:after="14" w:before="14"/>
        <w:ind w:left="360"/>
      </w:pPr>
      <w:r>
        <w:rPr>
          <w:rFonts w:ascii="Courier New" w:cs="Courier New" w:eastAsia="Courier New" w:hAnsi="Courier New"/>
          <w:color w:val="1B2A4A"/>
          <w:sz w:val="16"/>
          <w:szCs w:val="16"/>
        </w:rPr>
        <w:t xml:space="preserve">      "AI use-case identification — from ASEAN language AI game localisation to Southeast Asian player behaviour prediction."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mobile gaming companies or also with PC, console, and e-sports companies entering Southeast Asia?|All gaming categories.",</w:t>
      </w:r>
    </w:p>
    <w:p>
      <w:pPr>
        <w:shd w:fill="F0F0F0" w:val="clear"/>
        <w:spacing w:after="14" w:before="14"/>
        <w:ind w:left="360"/>
      </w:pPr>
      <w:r>
        <w:rPr>
          <w:rFonts w:ascii="Courier New" w:cs="Courier New" w:eastAsia="Courier New" w:hAnsi="Courier New"/>
          <w:color w:val="1B2A4A"/>
          <w:sz w:val="16"/>
          <w:szCs w:val="16"/>
        </w:rPr>
        <w:t xml:space="preserve">      "Which Southeast Asian gaming market should international companies enter first?|Indonesia for largest player volume; Philippines for most monetisable e-sports audience; Vietnam for PC and MOBA gaming depth.",</w:t>
      </w:r>
    </w:p>
    <w:p>
      <w:pPr>
        <w:shd w:fill="F0F0F0" w:val="clear"/>
        <w:spacing w:after="14" w:before="14"/>
        <w:ind w:left="360"/>
      </w:pPr>
      <w:r>
        <w:rPr>
          <w:rFonts w:ascii="Courier New" w:cs="Courier New" w:eastAsia="Courier New" w:hAnsi="Courier New"/>
          <w:color w:val="1B2A4A"/>
          <w:sz w:val="16"/>
          <w:szCs w:val="16"/>
        </w:rPr>
        <w:t xml:space="preserve">      "How long does a Southeast Asia gaming engagement take?|Typically 6-8 weeks for player demand research, regulatory mapping across 2-3 markets, and publisher identification.",</w:t>
      </w:r>
    </w:p>
    <w:p>
      <w:pPr>
        <w:shd w:fill="F0F0F0" w:val="clear"/>
        <w:spacing w:after="14" w:before="14"/>
        <w:ind w:left="360"/>
      </w:pPr>
      <w:r>
        <w:rPr>
          <w:rFonts w:ascii="Courier New" w:cs="Courier New" w:eastAsia="Courier New" w:hAnsi="Courier New"/>
          <w:color w:val="1B2A4A"/>
          <w:sz w:val="16"/>
          <w:szCs w:val="16"/>
        </w:rPr>
        <w:t xml:space="preserve">      "Can GreyRadius identify gaming publishers with Kominfo and Vietnam MIC compliance capability?|Yes."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"Southeast Asia gaming market entry, Indonesia gaming GTM strategy, Philippines e-sports consulting, Vietnam gaming advisory, ASEAN gaming market entry strategy",</w:t>
      </w:r>
    </w:p>
    <w:p>
      <w:pPr>
        <w:shd w:fill="F0F0F0" w:val="clear"/>
        <w:spacing w:after="14" w:before="14"/>
        <w:ind w:left="360"/>
      </w:pPr>
      <w:r>
        <w:rPr>
          <w:rFonts w:ascii="Courier New" w:cs="Courier New" w:eastAsia="Courier New" w:hAnsi="Courier New"/>
          <w:color w:val="1B2A4A"/>
          <w:sz w:val="16"/>
          <w:szCs w:val="16"/>
        </w:rPr>
        <w:t xml:space="preserve">    "regions": "Indonesia — Kominfo-compliant gaming across Java and mobile player base; Philippines — e-sports market Manila; Vietnam — Ho Chi Minh City PC gaming; Thailand — Bangkok mobile gaming",</w:t>
      </w:r>
    </w:p>
    <w:p>
      <w:pPr>
        <w:shd w:fill="F0F0F0" w:val="clear"/>
        <w:spacing w:after="14" w:before="14"/>
        <w:ind w:left="360"/>
      </w:pPr>
      <w:r>
        <w:rPr>
          <w:rFonts w:ascii="Courier New" w:cs="Courier New" w:eastAsia="Courier New" w:hAnsi="Courier New"/>
          <w:color w:val="1B2A4A"/>
          <w:sz w:val="16"/>
          <w:szCs w:val="16"/>
        </w:rPr>
        <w:t xml:space="preserve">    "stat1n": "$9B",</w:t>
      </w:r>
    </w:p>
    <w:p>
      <w:pPr>
        <w:shd w:fill="F0F0F0" w:val="clear"/>
        <w:spacing w:after="14" w:before="14"/>
        <w:ind w:left="360"/>
      </w:pPr>
      <w:r>
        <w:rPr>
          <w:rFonts w:ascii="Courier New" w:cs="Courier New" w:eastAsia="Courier New" w:hAnsi="Courier New"/>
          <w:color w:val="1B2A4A"/>
          <w:sz w:val="16"/>
          <w:szCs w:val="16"/>
        </w:rPr>
        <w:t xml:space="preserve">    "stat1l": "Southeast Asia gaming market by 2028",</w:t>
      </w:r>
    </w:p>
    <w:p>
      <w:pPr>
        <w:shd w:fill="F0F0F0" w:val="clear"/>
        <w:spacing w:after="14" w:before="14"/>
        <w:ind w:left="360"/>
      </w:pPr>
      <w:r>
        <w:rPr>
          <w:rFonts w:ascii="Courier New" w:cs="Courier New" w:eastAsia="Courier New" w:hAnsi="Courier New"/>
          <w:color w:val="1B2A4A"/>
          <w:sz w:val="16"/>
          <w:szCs w:val="16"/>
        </w:rPr>
        <w:t xml:space="preserve">    "stat1b": "Mobile gaming monetisation maturity, e-sports economy development, and ASEAN per-capita income growth driving 12% annual gaming growth.",</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Southeast Asia gaming mandate",</w:t>
      </w:r>
    </w:p>
    <w:p>
      <w:pPr>
        <w:shd w:fill="F0F0F0" w:val="clear"/>
        <w:spacing w:after="14" w:before="14"/>
        <w:ind w:left="360"/>
      </w:pPr>
      <w:r>
        <w:rPr>
          <w:rFonts w:ascii="Courier New" w:cs="Courier New" w:eastAsia="Courier New" w:hAnsi="Courier New"/>
          <w:color w:val="1B2A4A"/>
          <w:sz w:val="16"/>
          <w:szCs w:val="16"/>
        </w:rPr>
        <w:t xml:space="preserve">    "stat2b": "ASEAN gamers, gaming publishers, and regulatory officials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"6 weeks",</w:t>
      </w:r>
    </w:p>
    <w:p>
      <w:pPr>
        <w:shd w:fill="F0F0F0" w:val="clear"/>
        <w:spacing w:after="14" w:before="14"/>
        <w:ind w:left="360"/>
      </w:pPr>
      <w:r>
        <w:rPr>
          <w:rFonts w:ascii="Courier New" w:cs="Courier New" w:eastAsia="Courier New" w:hAnsi="Courier New"/>
          <w:color w:val="1B2A4A"/>
          <w:sz w:val="16"/>
          <w:szCs w:val="16"/>
        </w:rPr>
        <w:t xml:space="preserve">    "stat3l": "Southeast Asia gaming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regulatory mapping and player demand research delivers Southeast Asia gaming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"india-higher-education",</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"higher-education",</w:t>
      </w:r>
    </w:p>
    <w:p>
      <w:pPr>
        <w:shd w:fill="F0F0F0" w:val="clear"/>
        <w:spacing w:after="14" w:before="14"/>
        <w:ind w:left="360"/>
      </w:pPr>
      <w:r>
        <w:rPr>
          <w:rFonts w:ascii="Courier New" w:cs="Courier New" w:eastAsia="Courier New" w:hAnsi="Courier New"/>
          <w:color w:val="1B2A4A"/>
          <w:sz w:val="16"/>
          <w:szCs w:val="16"/>
        </w:rPr>
        <w:t xml:space="preserve">    "title": "India Higher Education Market Entry Strategy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international higher education institutions enter India with UGC regulatory mapping, Indian student demand research, partnership university identification, and GTM strategy.",</w:t>
      </w:r>
    </w:p>
    <w:p>
      <w:pPr>
        <w:shd w:fill="F0F0F0" w:val="clear"/>
        <w:spacing w:after="14" w:before="14"/>
        <w:ind w:left="360"/>
      </w:pPr>
      <w:r>
        <w:rPr>
          <w:rFonts w:ascii="Courier New" w:cs="Courier New" w:eastAsia="Courier New" w:hAnsi="Courier New"/>
          <w:color w:val="1B2A4A"/>
          <w:sz w:val="16"/>
          <w:szCs w:val="16"/>
        </w:rPr>
        <w:t xml:space="preserve">    "h1": "India higher education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international university to Indian student — strategy for higher education institutions entering India.",</w:t>
      </w:r>
    </w:p>
    <w:p>
      <w:pPr>
        <w:shd w:fill="F0F0F0" w:val="clear"/>
        <w:spacing w:after="14" w:before="14"/>
        <w:ind w:left="360"/>
      </w:pPr>
      <w:r>
        <w:rPr>
          <w:rFonts w:ascii="Courier New" w:cs="Courier New" w:eastAsia="Courier New" w:hAnsi="Courier New"/>
          <w:color w:val="1B2A4A"/>
          <w:sz w:val="16"/>
          <w:szCs w:val="16"/>
        </w:rPr>
        <w:t xml:space="preserve">    "hero": "India's higher education market is the world's second-largest by student enrolment — with 40 million higher education students, NEP 2020 creating foreign university campus entry rights for the first time, India's growing aspiration for international education quality driving student demand, and a rapidly expanding middle class able to pay for premium higher education. International universities, business schools, and professional education institutions are all evaluating India as a priority higher education market. GreyRadius helps higher education institutions validate Indian student demand, navigate UGC and NEP 2020 foreign campus regulatory requirements, identify Indian university partnership candidates, and execute market entry.",</w:t>
      </w:r>
    </w:p>
    <w:p>
      <w:pPr>
        <w:shd w:fill="F0F0F0" w:val="clear"/>
        <w:spacing w:after="14" w:before="14"/>
        <w:ind w:left="360"/>
      </w:pPr>
      <w:r>
        <w:rPr>
          <w:rFonts w:ascii="Courier New" w:cs="Courier New" w:eastAsia="Courier New" w:hAnsi="Courier New"/>
          <w:color w:val="1B2A4A"/>
          <w:sz w:val="16"/>
          <w:szCs w:val="16"/>
        </w:rPr>
        <w:t xml:space="preserve">    "market_timing": "NEP 2020 Foreign University Campus Regulations operationalised in 2023 allow international universities to establish wholly-owned campuses in India for the first time — without a mandatory Indian partner. The first foreign universities to establish India campuses under NEP 2020 will benefit from early-mover brand positioning among Indian students and families who will pay significant premiums for internationally-branded education delivered in India.",</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"India's higher education market is projected to reach $35B by 2027 — growing at 12% annually as student enrolment, premium education demand, and international institution participation all scale.",</w:t>
      </w:r>
    </w:p>
    <w:p>
      <w:pPr>
        <w:shd w:fill="F0F0F0" w:val="clear"/>
        <w:spacing w:after="14" w:before="14"/>
        <w:ind w:left="360"/>
      </w:pPr>
      <w:r>
        <w:rPr>
          <w:rFonts w:ascii="Courier New" w:cs="Courier New" w:eastAsia="Courier New" w:hAnsi="Courier New"/>
          <w:color w:val="1B2A4A"/>
          <w:sz w:val="16"/>
          <w:szCs w:val="16"/>
        </w:rPr>
        <w:t xml:space="preserve">      "NEP 2020 foreign campus regulations represent a historic opening — for the first time, international universities can establish 100%-owned India campuses, hire Indian and international faculty, and offer degrees without Indian government approval of individual programmes.",</w:t>
      </w:r>
    </w:p>
    <w:p>
      <w:pPr>
        <w:shd w:fill="F0F0F0" w:val="clear"/>
        <w:spacing w:after="14" w:before="14"/>
        <w:ind w:left="360"/>
      </w:pPr>
      <w:r>
        <w:rPr>
          <w:rFonts w:ascii="Courier New" w:cs="Courier New" w:eastAsia="Courier New" w:hAnsi="Courier New"/>
          <w:color w:val="1B2A4A"/>
          <w:sz w:val="16"/>
          <w:szCs w:val="16"/>
        </w:rPr>
        <w:t xml:space="preserve">      "India's overseas education spend is $28B+ annually — Indian families spending abroad for international higher education creating the largest addressable market for international universities establishing India campuses.",</w:t>
      </w:r>
    </w:p>
    <w:p>
      <w:pPr>
        <w:shd w:fill="F0F0F0" w:val="clear"/>
        <w:spacing w:after="14" w:before="14"/>
        <w:ind w:left="360"/>
      </w:pPr>
      <w:r>
        <w:rPr>
          <w:rFonts w:ascii="Courier New" w:cs="Courier New" w:eastAsia="Courier New" w:hAnsi="Courier New"/>
          <w:color w:val="1B2A4A"/>
          <w:sz w:val="16"/>
          <w:szCs w:val="16"/>
        </w:rPr>
        <w:t xml:space="preserve">      "Professional education is India's fastest-growing higher education segment — MBA, engineering, medical, and law professional degrees growing faster than liberal arts as Indian students prioritise career-linked qualifications."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"UGC and NEP 2020 compliance requirements are detailed — foreign university campus registration, faculty qualification requirements, and fee structure disclosures all require careful regulatory compliance planning.",</w:t>
      </w:r>
    </w:p>
    <w:p>
      <w:pPr>
        <w:shd w:fill="F0F0F0" w:val="clear"/>
        <w:spacing w:after="14" w:before="14"/>
        <w:ind w:left="360"/>
      </w:pPr>
      <w:r>
        <w:rPr>
          <w:rFonts w:ascii="Courier New" w:cs="Courier New" w:eastAsia="Courier New" w:hAnsi="Courier New"/>
          <w:color w:val="1B2A4A"/>
          <w:sz w:val="16"/>
          <w:szCs w:val="16"/>
        </w:rPr>
        <w:t xml:space="preserve">      "Indian student fee sensitivity varies significantly by institution tier — top-10 international universities can command premium fees; second-tier institutions face intense competition from India's established IITs and IIMs on quality-to-price ratio.",</w:t>
      </w:r>
    </w:p>
    <w:p>
      <w:pPr>
        <w:shd w:fill="F0F0F0" w:val="clear"/>
        <w:spacing w:after="14" w:before="14"/>
        <w:ind w:left="360"/>
      </w:pPr>
      <w:r>
        <w:rPr>
          <w:rFonts w:ascii="Courier New" w:cs="Courier New" w:eastAsia="Courier New" w:hAnsi="Courier New"/>
          <w:color w:val="1B2A4A"/>
          <w:sz w:val="16"/>
          <w:szCs w:val="16"/>
        </w:rPr>
        <w:t xml:space="preserve">      "Faculty recruitment for India campuses requires India-specific academic hiring — UGC-qualified faculty, academic visa requirements, and competitive compensation relative to established Indian institutions.",</w:t>
      </w:r>
    </w:p>
    <w:p>
      <w:pPr>
        <w:shd w:fill="F0F0F0" w:val="clear"/>
        <w:spacing w:after="14" w:before="14"/>
        <w:ind w:left="360"/>
      </w:pPr>
      <w:r>
        <w:rPr>
          <w:rFonts w:ascii="Courier New" w:cs="Courier New" w:eastAsia="Courier New" w:hAnsi="Courier New"/>
          <w:color w:val="1B2A4A"/>
          <w:sz w:val="16"/>
          <w:szCs w:val="16"/>
        </w:rPr>
        <w:t xml:space="preserve">      "Competition from India's premium domestic institutions — IITs, IIMs, XLRI, and other established brands — with established employer relationships and lower fees is intense for international institutions entering below brand prestige threshold."</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"India higher education demand validation|You need to validate Indian student and family demand for your institution and understand NEP 2020 foreign campus regulatory requirements.",</w:t>
      </w:r>
    </w:p>
    <w:p>
      <w:pPr>
        <w:shd w:fill="F0F0F0" w:val="clear"/>
        <w:spacing w:after="14" w:before="14"/>
        <w:ind w:left="360"/>
      </w:pPr>
      <w:r>
        <w:rPr>
          <w:rFonts w:ascii="Courier New" w:cs="Courier New" w:eastAsia="Courier New" w:hAnsi="Courier New"/>
          <w:color w:val="1B2A4A"/>
          <w:sz w:val="16"/>
          <w:szCs w:val="16"/>
        </w:rPr>
        <w:t xml:space="preserve">      "UGC and NEP 2020 regulatory pathway|You need to understand foreign university campus registration requirements, UGC notification compliance, and state-level regulatory considerations.",</w:t>
      </w:r>
    </w:p>
    <w:p>
      <w:pPr>
        <w:shd w:fill="F0F0F0" w:val="clear"/>
        <w:spacing w:after="14" w:before="14"/>
        <w:ind w:left="360"/>
      </w:pPr>
      <w:r>
        <w:rPr>
          <w:rFonts w:ascii="Courier New" w:cs="Courier New" w:eastAsia="Courier New" w:hAnsi="Courier New"/>
          <w:color w:val="1B2A4A"/>
          <w:sz w:val="16"/>
          <w:szCs w:val="16"/>
        </w:rPr>
        <w:t xml:space="preserve">      "India higher education partnership identification|You need Indian university partnership candidates, academic incubator locations, and Indian faculty recruitment channels.",</w:t>
      </w:r>
    </w:p>
    <w:p>
      <w:pPr>
        <w:shd w:fill="F0F0F0" w:val="clear"/>
        <w:spacing w:after="14" w:before="14"/>
        <w:ind w:left="360"/>
      </w:pPr>
      <w:r>
        <w:rPr>
          <w:rFonts w:ascii="Courier New" w:cs="Courier New" w:eastAsia="Courier New" w:hAnsi="Courier New"/>
          <w:color w:val="1B2A4A"/>
          <w:sz w:val="16"/>
          <w:szCs w:val="16"/>
        </w:rPr>
        <w:t xml:space="preserve">      "India higher education GTM strategy|You need a go-to-market plan covering student recruitment, employer relationship development, and campus location strategy.",</w:t>
      </w:r>
    </w:p>
    <w:p>
      <w:pPr>
        <w:shd w:fill="F0F0F0" w:val="clear"/>
        <w:spacing w:after="14" w:before="14"/>
        <w:ind w:left="360"/>
      </w:pPr>
      <w:r>
        <w:rPr>
          <w:rFonts w:ascii="Courier New" w:cs="Courier New" w:eastAsia="Courier New" w:hAnsi="Courier New"/>
          <w:color w:val="1B2A4A"/>
          <w:sz w:val="16"/>
          <w:szCs w:val="16"/>
        </w:rPr>
        <w:t xml:space="preserve">      "Raising capital for India higher education investment|You need a pitch book grounded in India higher education market data and NEP 2020 opportunity analysis.",</w:t>
      </w:r>
    </w:p>
    <w:p>
      <w:pPr>
        <w:shd w:fill="F0F0F0" w:val="clear"/>
        <w:spacing w:after="14" w:before="14"/>
        <w:ind w:left="360"/>
      </w:pPr>
      <w:r>
        <w:rPr>
          <w:rFonts w:ascii="Courier New" w:cs="Courier New" w:eastAsia="Courier New" w:hAnsi="Courier New"/>
          <w:color w:val="1B2A4A"/>
          <w:sz w:val="16"/>
          <w:szCs w:val="16"/>
        </w:rPr>
        <w:t xml:space="preserve">      "Fee and financial model strategy|You need an India-calibrated fee structure that is commercially viable while accessible to the Indian student market segment you are targeting."</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Indian student demand for your institution with student and family interviews and NEP 2020 regulatory mapping.",</w:t>
      </w:r>
    </w:p>
    <w:p>
      <w:pPr>
        <w:shd w:fill="F0F0F0" w:val="clear"/>
        <w:spacing w:after="14" w:before="14"/>
        <w:ind w:left="360"/>
      </w:pPr>
      <w:r>
        <w:rPr>
          <w:rFonts w:ascii="Courier New" w:cs="Courier New" w:eastAsia="Courier New" w:hAnsi="Courier New"/>
          <w:color w:val="1B2A4A"/>
          <w:sz w:val="16"/>
          <w:szCs w:val="16"/>
        </w:rPr>
        <w:t xml:space="preserve">      "Full financial feasibility for India higher education investment covering campus establishment cost and India-specific fee model.",</w:t>
      </w:r>
    </w:p>
    <w:p>
      <w:pPr>
        <w:shd w:fill="F0F0F0" w:val="clear"/>
        <w:spacing w:after="14" w:before="14"/>
        <w:ind w:left="360"/>
      </w:pPr>
      <w:r>
        <w:rPr>
          <w:rFonts w:ascii="Courier New" w:cs="Courier New" w:eastAsia="Courier New" w:hAnsi="Courier New"/>
          <w:color w:val="1B2A4A"/>
          <w:sz w:val="16"/>
          <w:szCs w:val="16"/>
        </w:rPr>
        <w:t xml:space="preserve">      "End-to-end India higher education market entry including UGC pathway, Indian partnership identification, and first-student-cohort milestone.",</w:t>
      </w:r>
    </w:p>
    <w:p>
      <w:pPr>
        <w:shd w:fill="F0F0F0" w:val="clear"/>
        <w:spacing w:after="14" w:before="14"/>
        <w:ind w:left="360"/>
      </w:pPr>
      <w:r>
        <w:rPr>
          <w:rFonts w:ascii="Courier New" w:cs="Courier New" w:eastAsia="Courier New" w:hAnsi="Courier New"/>
          <w:color w:val="1B2A4A"/>
          <w:sz w:val="16"/>
          <w:szCs w:val="16"/>
        </w:rPr>
        <w:t xml:space="preserve">      "Embedded India higher education GTM team covering student recruitment and employer relationship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India higher education investment with NEP 2020 opportunity and overseas education demand narrative.",</w:t>
      </w:r>
    </w:p>
    <w:p>
      <w:pPr>
        <w:shd w:fill="F0F0F0" w:val="clear"/>
        <w:spacing w:after="14" w:before="14"/>
        <w:ind w:left="360"/>
      </w:pPr>
      <w:r>
        <w:rPr>
          <w:rFonts w:ascii="Courier New" w:cs="Courier New" w:eastAsia="Courier New" w:hAnsi="Courier New"/>
          <w:color w:val="1B2A4A"/>
          <w:sz w:val="16"/>
          <w:szCs w:val="16"/>
        </w:rPr>
        <w:t xml:space="preserve">      "AI use-case identification — from AI-powered India student admissions to Hindi language educational content development."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universities or also with business schools, professional certification bodies, and online education companies entering India?|All higher education categories.",</w:t>
      </w:r>
    </w:p>
    <w:p>
      <w:pPr>
        <w:shd w:fill="F0F0F0" w:val="clear"/>
        <w:spacing w:after="14" w:before="14"/>
        <w:ind w:left="360"/>
      </w:pPr>
      <w:r>
        <w:rPr>
          <w:rFonts w:ascii="Courier New" w:cs="Courier New" w:eastAsia="Courier New" w:hAnsi="Courier New"/>
          <w:color w:val="1B2A4A"/>
          <w:sz w:val="16"/>
          <w:szCs w:val="16"/>
        </w:rPr>
        <w:t xml:space="preserve">      "How long does an India higher education engagement take?|Typically 10-14 weeks for student demand research, NEP 2020 regulatory mapping, and partnership identification.",</w:t>
      </w:r>
    </w:p>
    <w:p>
      <w:pPr>
        <w:shd w:fill="F0F0F0" w:val="clear"/>
        <w:spacing w:after="14" w:before="14"/>
        <w:ind w:left="360"/>
      </w:pPr>
      <w:r>
        <w:rPr>
          <w:rFonts w:ascii="Courier New" w:cs="Courier New" w:eastAsia="Courier New" w:hAnsi="Courier New"/>
          <w:color w:val="1B2A4A"/>
          <w:sz w:val="16"/>
          <w:szCs w:val="16"/>
        </w:rPr>
        <w:t xml:space="preserve">      "Can GreyRadius identify Indian university partnership candidates for joint degree programmes?|Yes.",</w:t>
      </w:r>
    </w:p>
    <w:p>
      <w:pPr>
        <w:shd w:fill="F0F0F0" w:val="clear"/>
        <w:spacing w:after="14" w:before="14"/>
        <w:ind w:left="360"/>
      </w:pPr>
      <w:r>
        <w:rPr>
          <w:rFonts w:ascii="Courier New" w:cs="Courier New" w:eastAsia="Courier New" w:hAnsi="Courier New"/>
          <w:color w:val="1B2A4A"/>
          <w:sz w:val="16"/>
          <w:szCs w:val="16"/>
        </w:rPr>
        <w:t xml:space="preserve">      "What does NEP 2020 allow foreign universities to do in India?|Establish wholly-owned campuses, offer full degrees, hire faculty, and set fees — we map the complete NEP 2020 foreign campus framework in every engagement."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"India higher education market entry, NEP 2020 foreign university campus consulting, India university GTM strategy, UGC regulatory advisory, India higher education market entry strategy",</w:t>
      </w:r>
    </w:p>
    <w:p>
      <w:pPr>
        <w:shd w:fill="F0F0F0" w:val="clear"/>
        <w:spacing w:after="14" w:before="14"/>
        <w:ind w:left="360"/>
      </w:pPr>
      <w:r>
        <w:rPr>
          <w:rFonts w:ascii="Courier New" w:cs="Courier New" w:eastAsia="Courier New" w:hAnsi="Courier New"/>
          <w:color w:val="1B2A4A"/>
          <w:sz w:val="16"/>
          <w:szCs w:val="16"/>
        </w:rPr>
        <w:t xml:space="preserve">    "regions": "India — Bengaluru, Hyderabad, Pune, Delhi NCR premium higher education student concentration; GIFT City Gujarat first NEP 2020 foreign campus zone",</w:t>
      </w:r>
    </w:p>
    <w:p>
      <w:pPr>
        <w:shd w:fill="F0F0F0" w:val="clear"/>
        <w:spacing w:after="14" w:before="14"/>
        <w:ind w:left="360"/>
      </w:pPr>
      <w:r>
        <w:rPr>
          <w:rFonts w:ascii="Courier New" w:cs="Courier New" w:eastAsia="Courier New" w:hAnsi="Courier New"/>
          <w:color w:val="1B2A4A"/>
          <w:sz w:val="16"/>
          <w:szCs w:val="16"/>
        </w:rPr>
        <w:t xml:space="preserve">    "stat1n": "$35B",</w:t>
      </w:r>
    </w:p>
    <w:p>
      <w:pPr>
        <w:shd w:fill="F0F0F0" w:val="clear"/>
        <w:spacing w:after="14" w:before="14"/>
        <w:ind w:left="360"/>
      </w:pPr>
      <w:r>
        <w:rPr>
          <w:rFonts w:ascii="Courier New" w:cs="Courier New" w:eastAsia="Courier New" w:hAnsi="Courier New"/>
          <w:color w:val="1B2A4A"/>
          <w:sz w:val="16"/>
          <w:szCs w:val="16"/>
        </w:rPr>
        <w:t xml:space="preserve">    "stat1l": "India higher education market by 2027",</w:t>
      </w:r>
    </w:p>
    <w:p>
      <w:pPr>
        <w:shd w:fill="F0F0F0" w:val="clear"/>
        <w:spacing w:after="14" w:before="14"/>
        <w:ind w:left="360"/>
      </w:pPr>
      <w:r>
        <w:rPr>
          <w:rFonts w:ascii="Courier New" w:cs="Courier New" w:eastAsia="Courier New" w:hAnsi="Courier New"/>
          <w:color w:val="1B2A4A"/>
          <w:sz w:val="16"/>
          <w:szCs w:val="16"/>
        </w:rPr>
        <w:t xml:space="preserve">    "stat1b": "Student enrolment growth, NEP 2020 foreign campus regulations, and overseas education demand driving 12% annual higher education market growth.",</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India higher education mandate",</w:t>
      </w:r>
    </w:p>
    <w:p>
      <w:pPr>
        <w:shd w:fill="F0F0F0" w:val="clear"/>
        <w:spacing w:after="14" w:before="14"/>
        <w:ind w:left="360"/>
      </w:pPr>
      <w:r>
        <w:rPr>
          <w:rFonts w:ascii="Courier New" w:cs="Courier New" w:eastAsia="Courier New" w:hAnsi="Courier New"/>
          <w:color w:val="1B2A4A"/>
          <w:sz w:val="16"/>
          <w:szCs w:val="16"/>
        </w:rPr>
        <w:t xml:space="preserve">    "stat2b": "Indian students, families, and UGC regulatory contacts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"10 weeks",</w:t>
      </w:r>
    </w:p>
    <w:p>
      <w:pPr>
        <w:shd w:fill="F0F0F0" w:val="clear"/>
        <w:spacing w:after="14" w:before="14"/>
        <w:ind w:left="360"/>
      </w:pPr>
      <w:r>
        <w:rPr>
          <w:rFonts w:ascii="Courier New" w:cs="Courier New" w:eastAsia="Courier New" w:hAnsi="Courier New"/>
          <w:color w:val="1B2A4A"/>
          <w:sz w:val="16"/>
          <w:szCs w:val="16"/>
        </w:rPr>
        <w:t xml:space="preserve">    "stat3l": "India higher education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NEP 2020 regulatory mapping and student demand research delivers India higher education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"gulf-higher-education",</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"higher-education",</w:t>
      </w:r>
    </w:p>
    <w:p>
      <w:pPr>
        <w:shd w:fill="F0F0F0" w:val="clear"/>
        <w:spacing w:after="14" w:before="14"/>
        <w:ind w:left="360"/>
      </w:pPr>
      <w:r>
        <w:rPr>
          <w:rFonts w:ascii="Courier New" w:cs="Courier New" w:eastAsia="Courier New" w:hAnsi="Courier New"/>
          <w:color w:val="1B2A4A"/>
          <w:sz w:val="16"/>
          <w:szCs w:val="16"/>
        </w:rPr>
        <w:t xml:space="preserve">    "title": "Gulf Higher Education Market Entry Strategy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international higher education institutions enter Gulf markets with MOHESR and CAA regulatory mapping, student demand research, and partnership university identification.",</w:t>
      </w:r>
    </w:p>
    <w:p>
      <w:pPr>
        <w:shd w:fill="F0F0F0" w:val="clear"/>
        <w:spacing w:after="14" w:before="14"/>
        <w:ind w:left="360"/>
      </w:pPr>
      <w:r>
        <w:rPr>
          <w:rFonts w:ascii="Courier New" w:cs="Courier New" w:eastAsia="Courier New" w:hAnsi="Courier New"/>
          <w:color w:val="1B2A4A"/>
          <w:sz w:val="16"/>
          <w:szCs w:val="16"/>
        </w:rPr>
        <w:t xml:space="preserve">    "h1": "Gulf higher education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international university to Gulf student — strategy for higher education institutions entering the GCC.",</w:t>
      </w:r>
    </w:p>
    <w:p>
      <w:pPr>
        <w:shd w:fill="F0F0F0" w:val="clear"/>
        <w:spacing w:after="14" w:before="14"/>
        <w:ind w:left="360"/>
      </w:pPr>
      <w:r>
        <w:rPr>
          <w:rFonts w:ascii="Courier New" w:cs="Courier New" w:eastAsia="Courier New" w:hAnsi="Courier New"/>
          <w:color w:val="1B2A4A"/>
          <w:sz w:val="16"/>
          <w:szCs w:val="16"/>
        </w:rPr>
        <w:t xml:space="preserve">    "hero": "The Gulf's higher education market is one of the world's most commercially attractive for international institutions — with government investment in quality higher education as a Vision 2030 priority, high per-capita household income enabling premium education fee payment, international university branch campuses already established in DIFC, ADNEC Education City, and Qatar Foundation's Education City, and Gulf governments actively seeking to reduce student outflow abroad. International universities, business schools, and professional education institutions are all evaluating Gulf market entry. GreyRadius helps higher education institutions validate Gulf student demand, navigate MOHESR and CAA regulatory requirements, identify partnership and location opportunities, and execute market entry.",</w:t>
      </w:r>
    </w:p>
    <w:p>
      <w:pPr>
        <w:shd w:fill="F0F0F0" w:val="clear"/>
        <w:spacing w:after="14" w:before="14"/>
        <w:ind w:left="360"/>
      </w:pPr>
      <w:r>
        <w:rPr>
          <w:rFonts w:ascii="Courier New" w:cs="Courier New" w:eastAsia="Courier New" w:hAnsi="Courier New"/>
          <w:color w:val="1B2A4A"/>
          <w:sz w:val="16"/>
          <w:szCs w:val="16"/>
        </w:rPr>
        <w:t xml:space="preserve">    "market_timing": "Gulf governments are incentivising international university branch campuses — UAE's free zone education zones (DIFC, Dubai Knowledge Park, Abu Dhabi Global Market), Qatar's Education City, and Saudi Arabia's King Abdullah Economic City all offer subsidised campus space, tax exemptions, and student visa facilitation for international universities. The institutions establishing Gulf branch campuses in 2024-2027 will benefit from government support that is part of structural national education strategy.",</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"Gulf higher education market is projected to reach $10B by 2028 — growing at 10% annually as government education investment, student enrolment growth, and international institution participation all scale.",</w:t>
      </w:r>
    </w:p>
    <w:p>
      <w:pPr>
        <w:shd w:fill="F0F0F0" w:val="clear"/>
        <w:spacing w:after="14" w:before="14"/>
        <w:ind w:left="360"/>
      </w:pPr>
      <w:r>
        <w:rPr>
          <w:rFonts w:ascii="Courier New" w:cs="Courier New" w:eastAsia="Courier New" w:hAnsi="Courier New"/>
          <w:color w:val="1B2A4A"/>
          <w:sz w:val="16"/>
          <w:szCs w:val="16"/>
        </w:rPr>
        <w:t xml:space="preserve">      "UAE's Dubai Knowledge Park and Abu Dhabi free zones host 60+ international university branch campuses — creating the world's most concentrated international higher education zone that validates the Gulf branch campus model.",</w:t>
      </w:r>
    </w:p>
    <w:p>
      <w:pPr>
        <w:shd w:fill="F0F0F0" w:val="clear"/>
        <w:spacing w:after="14" w:before="14"/>
        <w:ind w:left="360"/>
      </w:pPr>
      <w:r>
        <w:rPr>
          <w:rFonts w:ascii="Courier New" w:cs="Courier New" w:eastAsia="Courier New" w:hAnsi="Courier New"/>
          <w:color w:val="1B2A4A"/>
          <w:sz w:val="16"/>
          <w:szCs w:val="16"/>
        </w:rPr>
        <w:t xml:space="preserve">      "Saudi Arabia's Vision 2030 is investing $25B+ in higher education quality — creating unprecedented government demand for international university partnerships, joint degrees, and faculty development programmes.",</w:t>
      </w:r>
    </w:p>
    <w:p>
      <w:pPr>
        <w:shd w:fill="F0F0F0" w:val="clear"/>
        <w:spacing w:after="14" w:before="14"/>
        <w:ind w:left="360"/>
      </w:pPr>
      <w:r>
        <w:rPr>
          <w:rFonts w:ascii="Courier New" w:cs="Courier New" w:eastAsia="Courier New" w:hAnsi="Courier New"/>
          <w:color w:val="1B2A4A"/>
          <w:sz w:val="16"/>
          <w:szCs w:val="16"/>
        </w:rPr>
        <w:t xml:space="preserve">      "Gulf student demand for internationally-recognised degrees has never been higher — Gulf families increasingly requiring degrees from internationally-ranked institutions for employment in government and multinational employers."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"MOHESR (Ministry of Higher Education) and CAA (Commission for Academic Accreditation) approval processes in UAE are detailed — branch campus licence, programme accreditation, and faculty qualification verification all require careful regulatory navigation.",</w:t>
      </w:r>
    </w:p>
    <w:p>
      <w:pPr>
        <w:shd w:fill="F0F0F0" w:val="clear"/>
        <w:spacing w:after="14" w:before="14"/>
        <w:ind w:left="360"/>
      </w:pPr>
      <w:r>
        <w:rPr>
          <w:rFonts w:ascii="Courier New" w:cs="Courier New" w:eastAsia="Courier New" w:hAnsi="Courier New"/>
          <w:color w:val="1B2A4A"/>
          <w:sz w:val="16"/>
          <w:szCs w:val="16"/>
        </w:rPr>
        <w:t xml:space="preserve">      "Gulf campus establishment cost is significant — free zone campus rent, faculty housing, and campus build-out costs all require careful financial modelling against Gulf tuition fee revenue.",</w:t>
      </w:r>
    </w:p>
    <w:p>
      <w:pPr>
        <w:shd w:fill="F0F0F0" w:val="clear"/>
        <w:spacing w:after="14" w:before="14"/>
        <w:ind w:left="360"/>
      </w:pPr>
      <w:r>
        <w:rPr>
          <w:rFonts w:ascii="Courier New" w:cs="Courier New" w:eastAsia="Courier New" w:hAnsi="Courier New"/>
          <w:color w:val="1B2A4A"/>
          <w:sz w:val="16"/>
          <w:szCs w:val="16"/>
        </w:rPr>
        <w:t xml:space="preserve">      "Competition from established Gulf branch campuses — NYU Abu Dhabi, Sorbonne Abu Dhabi, and Heriot-Watt Dubai — with existing student relationships and employer recognition is intense.",</w:t>
      </w:r>
    </w:p>
    <w:p>
      <w:pPr>
        <w:shd w:fill="F0F0F0" w:val="clear"/>
        <w:spacing w:after="14" w:before="14"/>
        <w:ind w:left="360"/>
      </w:pPr>
      <w:r>
        <w:rPr>
          <w:rFonts w:ascii="Courier New" w:cs="Courier New" w:eastAsia="Courier New" w:hAnsi="Courier New"/>
          <w:color w:val="1B2A4A"/>
          <w:sz w:val="16"/>
          <w:szCs w:val="16"/>
        </w:rPr>
        <w:t xml:space="preserve">      "Saudi Arabia's NCAAA accreditation requirements are strict — Saudi branch campuses require NCAAA programme accreditation with Saudi national faculty percentage requirements."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"Gulf higher education demand validation|You need to validate Gulf student and government demand for your institution and understand MOHESR and CAA regulatory requirements.",</w:t>
      </w:r>
    </w:p>
    <w:p>
      <w:pPr>
        <w:shd w:fill="F0F0F0" w:val="clear"/>
        <w:spacing w:after="14" w:before="14"/>
        <w:ind w:left="360"/>
      </w:pPr>
      <w:r>
        <w:rPr>
          <w:rFonts w:ascii="Courier New" w:cs="Courier New" w:eastAsia="Courier New" w:hAnsi="Courier New"/>
          <w:color w:val="1B2A4A"/>
          <w:sz w:val="16"/>
          <w:szCs w:val="16"/>
        </w:rPr>
        <w:t xml:space="preserve">      "MOHESR and CAA regulatory pathway|You need to understand branch campus licence requirements, CAA programme accreditation process, and free zone higher education zone application.",</w:t>
      </w:r>
    </w:p>
    <w:p>
      <w:pPr>
        <w:shd w:fill="F0F0F0" w:val="clear"/>
        <w:spacing w:after="14" w:before="14"/>
        <w:ind w:left="360"/>
      </w:pPr>
      <w:r>
        <w:rPr>
          <w:rFonts w:ascii="Courier New" w:cs="Courier New" w:eastAsia="Courier New" w:hAnsi="Courier New"/>
          <w:color w:val="1B2A4A"/>
          <w:sz w:val="16"/>
          <w:szCs w:val="16"/>
        </w:rPr>
        <w:t xml:space="preserve">      "Gulf higher education location and partner identification|You need Dubai Knowledge Park, ADNEC, or Qatar Education City location options and Gulf university partnership candidates.",</w:t>
      </w:r>
    </w:p>
    <w:p>
      <w:pPr>
        <w:shd w:fill="F0F0F0" w:val="clear"/>
        <w:spacing w:after="14" w:before="14"/>
        <w:ind w:left="360"/>
      </w:pPr>
      <w:r>
        <w:rPr>
          <w:rFonts w:ascii="Courier New" w:cs="Courier New" w:eastAsia="Courier New" w:hAnsi="Courier New"/>
          <w:color w:val="1B2A4A"/>
          <w:sz w:val="16"/>
          <w:szCs w:val="16"/>
        </w:rPr>
        <w:t xml:space="preserve">      "Gulf higher education GTM strategy|You need a go-to-market plan covering student recruitment, government education partnership, and employer relationship development.",</w:t>
      </w:r>
    </w:p>
    <w:p>
      <w:pPr>
        <w:shd w:fill="F0F0F0" w:val="clear"/>
        <w:spacing w:after="14" w:before="14"/>
        <w:ind w:left="360"/>
      </w:pPr>
      <w:r>
        <w:rPr>
          <w:rFonts w:ascii="Courier New" w:cs="Courier New" w:eastAsia="Courier New" w:hAnsi="Courier New"/>
          <w:color w:val="1B2A4A"/>
          <w:sz w:val="16"/>
          <w:szCs w:val="16"/>
        </w:rPr>
        <w:t xml:space="preserve">      "Raising capital for Gulf higher education investment|You need a pitch book grounded in Gulf higher education market data and Vision 2030 education investment analysis.",</w:t>
      </w:r>
    </w:p>
    <w:p>
      <w:pPr>
        <w:shd w:fill="F0F0F0" w:val="clear"/>
        <w:spacing w:after="14" w:before="14"/>
        <w:ind w:left="360"/>
      </w:pPr>
      <w:r>
        <w:rPr>
          <w:rFonts w:ascii="Courier New" w:cs="Courier New" w:eastAsia="Courier New" w:hAnsi="Courier New"/>
          <w:color w:val="1B2A4A"/>
          <w:sz w:val="16"/>
          <w:szCs w:val="16"/>
        </w:rPr>
        <w:t xml:space="preserve">      "Free zone incentive strategy|You need a structured comparison of Dubai Knowledge Park, ADGM, and Abu Dhabi free zone higher education incentives for your campus investment."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Gulf student demand for your institution with student interviews and MOHESR regulatory mapping.",</w:t>
      </w:r>
    </w:p>
    <w:p>
      <w:pPr>
        <w:shd w:fill="F0F0F0" w:val="clear"/>
        <w:spacing w:after="14" w:before="14"/>
        <w:ind w:left="360"/>
      </w:pPr>
      <w:r>
        <w:rPr>
          <w:rFonts w:ascii="Courier New" w:cs="Courier New" w:eastAsia="Courier New" w:hAnsi="Courier New"/>
          <w:color w:val="1B2A4A"/>
          <w:sz w:val="16"/>
          <w:szCs w:val="16"/>
        </w:rPr>
        <w:t xml:space="preserve">      "Full financial feasibility for Gulf higher education investment covering free zone campus cost and Gulf tuition fee economics.",</w:t>
      </w:r>
    </w:p>
    <w:p>
      <w:pPr>
        <w:shd w:fill="F0F0F0" w:val="clear"/>
        <w:spacing w:after="14" w:before="14"/>
        <w:ind w:left="360"/>
      </w:pPr>
      <w:r>
        <w:rPr>
          <w:rFonts w:ascii="Courier New" w:cs="Courier New" w:eastAsia="Courier New" w:hAnsi="Courier New"/>
          <w:color w:val="1B2A4A"/>
          <w:sz w:val="16"/>
          <w:szCs w:val="16"/>
        </w:rPr>
        <w:t xml:space="preserve">      "End-to-end Gulf higher education market entry including CAA accreditation pathway, campus location identification, and first-student-cohort milestone.",</w:t>
      </w:r>
    </w:p>
    <w:p>
      <w:pPr>
        <w:shd w:fill="F0F0F0" w:val="clear"/>
        <w:spacing w:after="14" w:before="14"/>
        <w:ind w:left="360"/>
      </w:pPr>
      <w:r>
        <w:rPr>
          <w:rFonts w:ascii="Courier New" w:cs="Courier New" w:eastAsia="Courier New" w:hAnsi="Courier New"/>
          <w:color w:val="1B2A4A"/>
          <w:sz w:val="16"/>
          <w:szCs w:val="16"/>
        </w:rPr>
        <w:t xml:space="preserve">      "Embedded Gulf higher education GTM team covering student recruitment and government education partnership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Gulf higher education investment with Vision 2030 education investment narrative.",</w:t>
      </w:r>
    </w:p>
    <w:p>
      <w:pPr>
        <w:shd w:fill="F0F0F0" w:val="clear"/>
        <w:spacing w:after="14" w:before="14"/>
        <w:ind w:left="360"/>
      </w:pPr>
      <w:r>
        <w:rPr>
          <w:rFonts w:ascii="Courier New" w:cs="Courier New" w:eastAsia="Courier New" w:hAnsi="Courier New"/>
          <w:color w:val="1B2A4A"/>
          <w:sz w:val="16"/>
          <w:szCs w:val="16"/>
        </w:rPr>
        <w:t xml:space="preserve">      "AI use-case identification — from Arabic language AI educational content to Gulf student career outcomes analytics."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universities or also with business schools, professional certification bodies, and online education companies entering the Gulf?|All higher education categories.",</w:t>
      </w:r>
    </w:p>
    <w:p>
      <w:pPr>
        <w:shd w:fill="F0F0F0" w:val="clear"/>
        <w:spacing w:after="14" w:before="14"/>
        <w:ind w:left="360"/>
      </w:pPr>
      <w:r>
        <w:rPr>
          <w:rFonts w:ascii="Courier New" w:cs="Courier New" w:eastAsia="Courier New" w:hAnsi="Courier New"/>
          <w:color w:val="1B2A4A"/>
          <w:sz w:val="16"/>
          <w:szCs w:val="16"/>
        </w:rPr>
        <w:t xml:space="preserve">      "Which Gulf higher education market should international institutions enter first?|UAE for established branch campus ecosystem and CAA regulatory clarity; Qatar for Education City government partnership model.",</w:t>
      </w:r>
    </w:p>
    <w:p>
      <w:pPr>
        <w:shd w:fill="F0F0F0" w:val="clear"/>
        <w:spacing w:after="14" w:before="14"/>
        <w:ind w:left="360"/>
      </w:pPr>
      <w:r>
        <w:rPr>
          <w:rFonts w:ascii="Courier New" w:cs="Courier New" w:eastAsia="Courier New" w:hAnsi="Courier New"/>
          <w:color w:val="1B2A4A"/>
          <w:sz w:val="16"/>
          <w:szCs w:val="16"/>
        </w:rPr>
        <w:t xml:space="preserve">      "How long does a Gulf higher education engagement take?|Typically 10-14 weeks for student demand research, MOHESR regulatory mapping, and campus location identification.",</w:t>
      </w:r>
    </w:p>
    <w:p>
      <w:pPr>
        <w:shd w:fill="F0F0F0" w:val="clear"/>
        <w:spacing w:after="14" w:before="14"/>
        <w:ind w:left="360"/>
      </w:pPr>
      <w:r>
        <w:rPr>
          <w:rFonts w:ascii="Courier New" w:cs="Courier New" w:eastAsia="Courier New" w:hAnsi="Courier New"/>
          <w:color w:val="1B2A4A"/>
          <w:sz w:val="16"/>
          <w:szCs w:val="16"/>
        </w:rPr>
        <w:t xml:space="preserve">      "Can GreyRadius identify Dubai Knowledge Park and Abu Dhabi free zone contacts for international universities?|Yes."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"Gulf higher education market entry, UAE branch campus consulting, MOHESR CAA accreditation advisory, Qatar Education City GTM strategy, Gulf university market entry",</w:t>
      </w:r>
    </w:p>
    <w:p>
      <w:pPr>
        <w:shd w:fill="F0F0F0" w:val="clear"/>
        <w:spacing w:after="14" w:before="14"/>
        <w:ind w:left="360"/>
      </w:pPr>
      <w:r>
        <w:rPr>
          <w:rFonts w:ascii="Courier New" w:cs="Courier New" w:eastAsia="Courier New" w:hAnsi="Courier New"/>
          <w:color w:val="1B2A4A"/>
          <w:sz w:val="16"/>
          <w:szCs w:val="16"/>
        </w:rPr>
        <w:t xml:space="preserve">    "regions": "UAE — Dubai Knowledge Park and ADNEC Abu Dhabi campus zones; Qatar — Education City Doha; Saudi Arabia — King Abdullah Economic City and Vision 2030 education zones",</w:t>
      </w:r>
    </w:p>
    <w:p>
      <w:pPr>
        <w:shd w:fill="F0F0F0" w:val="clear"/>
        <w:spacing w:after="14" w:before="14"/>
        <w:ind w:left="360"/>
      </w:pPr>
      <w:r>
        <w:rPr>
          <w:rFonts w:ascii="Courier New" w:cs="Courier New" w:eastAsia="Courier New" w:hAnsi="Courier New"/>
          <w:color w:val="1B2A4A"/>
          <w:sz w:val="16"/>
          <w:szCs w:val="16"/>
        </w:rPr>
        <w:t xml:space="preserve">    "stat1n": "$10B",</w:t>
      </w:r>
    </w:p>
    <w:p>
      <w:pPr>
        <w:shd w:fill="F0F0F0" w:val="clear"/>
        <w:spacing w:after="14" w:before="14"/>
        <w:ind w:left="360"/>
      </w:pPr>
      <w:r>
        <w:rPr>
          <w:rFonts w:ascii="Courier New" w:cs="Courier New" w:eastAsia="Courier New" w:hAnsi="Courier New"/>
          <w:color w:val="1B2A4A"/>
          <w:sz w:val="16"/>
          <w:szCs w:val="16"/>
        </w:rPr>
        <w:t xml:space="preserve">    "stat1l": "Gulf higher education market by 2028",</w:t>
      </w:r>
    </w:p>
    <w:p>
      <w:pPr>
        <w:shd w:fill="F0F0F0" w:val="clear"/>
        <w:spacing w:after="14" w:before="14"/>
        <w:ind w:left="360"/>
      </w:pPr>
      <w:r>
        <w:rPr>
          <w:rFonts w:ascii="Courier New" w:cs="Courier New" w:eastAsia="Courier New" w:hAnsi="Courier New"/>
          <w:color w:val="1B2A4A"/>
          <w:sz w:val="16"/>
          <w:szCs w:val="16"/>
        </w:rPr>
        <w:t xml:space="preserve">    "stat1b": "Government education investment, Vision 2030 human capital priorities, and student demand driving 10% annual higher education market growth.",</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Gulf higher education mandate",</w:t>
      </w:r>
    </w:p>
    <w:p>
      <w:pPr>
        <w:shd w:fill="F0F0F0" w:val="clear"/>
        <w:spacing w:after="14" w:before="14"/>
        <w:ind w:left="360"/>
      </w:pPr>
      <w:r>
        <w:rPr>
          <w:rFonts w:ascii="Courier New" w:cs="Courier New" w:eastAsia="Courier New" w:hAnsi="Courier New"/>
          <w:color w:val="1B2A4A"/>
          <w:sz w:val="16"/>
          <w:szCs w:val="16"/>
        </w:rPr>
        <w:t xml:space="preserve">    "stat2b": "Gulf students, MOHESR officials, and free zone education contacts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"10 weeks",</w:t>
      </w:r>
    </w:p>
    <w:p>
      <w:pPr>
        <w:shd w:fill="F0F0F0" w:val="clear"/>
        <w:spacing w:after="14" w:before="14"/>
        <w:ind w:left="360"/>
      </w:pPr>
      <w:r>
        <w:rPr>
          <w:rFonts w:ascii="Courier New" w:cs="Courier New" w:eastAsia="Courier New" w:hAnsi="Courier New"/>
          <w:color w:val="1B2A4A"/>
          <w:sz w:val="16"/>
          <w:szCs w:val="16"/>
        </w:rPr>
        <w:t xml:space="preserve">    "stat3l": "Gulf higher education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MOHESR regulatory mapping and student demand research delivers Gulf higher education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"africa-rare-earth",</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"rare-earth-metals",</w:t>
      </w:r>
    </w:p>
    <w:p>
      <w:pPr>
        <w:shd w:fill="F0F0F0" w:val="clear"/>
        <w:spacing w:after="14" w:before="14"/>
        <w:ind w:left="360"/>
      </w:pPr>
      <w:r>
        <w:rPr>
          <w:rFonts w:ascii="Courier New" w:cs="Courier New" w:eastAsia="Courier New" w:hAnsi="Courier New"/>
          <w:color w:val="1B2A4A"/>
          <w:sz w:val="16"/>
          <w:szCs w:val="16"/>
        </w:rPr>
        <w:t xml:space="preserve">    "title": "Africa Critical Minerals &amp; Rare Earth Market Entry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critical mineral and rare earth companies enter Africa with market entry strategy, DRC, Zambia, and South Africa regulatory mapping, offtake partner identification, and investment strategy.",</w:t>
      </w:r>
    </w:p>
    <w:p>
      <w:pPr>
        <w:shd w:fill="F0F0F0" w:val="clear"/>
        <w:spacing w:after="14" w:before="14"/>
        <w:ind w:left="360"/>
      </w:pPr>
      <w:r>
        <w:rPr>
          <w:rFonts w:ascii="Courier New" w:cs="Courier New" w:eastAsia="Courier New" w:hAnsi="Courier New"/>
          <w:color w:val="1B2A4A"/>
          <w:sz w:val="16"/>
          <w:szCs w:val="16"/>
        </w:rPr>
        <w:t xml:space="preserve">    "h1": "Africa critical minerals and rare earth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critical mineral demand to African resource access — strategy for companies entering Africa's rare earth and critical mineral markets.",</w:t>
      </w:r>
    </w:p>
    <w:p>
      <w:pPr>
        <w:shd w:fill="F0F0F0" w:val="clear"/>
        <w:spacing w:after="14" w:before="14"/>
        <w:ind w:left="360"/>
      </w:pPr>
      <w:r>
        <w:rPr>
          <w:rFonts w:ascii="Courier New" w:cs="Courier New" w:eastAsia="Courier New" w:hAnsi="Courier New"/>
          <w:color w:val="1B2A4A"/>
          <w:sz w:val="16"/>
          <w:szCs w:val="16"/>
        </w:rPr>
        <w:t xml:space="preserve">    "hero": "Africa holds the world's most significant critical mineral deposits — with the DRC holding 70% of global cobalt reserves, Zambia as a major copper and cobalt producer, South Africa holding 75%+ of global platinum group metals, Zimbabwe with significant lithium, and West Africa with substantial bauxite and iron ore — creating extraordinary opportunity for companies seeking to access critical mineral supply chains for battery technology, electronics, and green energy transition. International mining companies, battery materials processors, and EV supply chain companies are all evaluating Africa critical mineral investment. GreyRadius helps companies validate African critical mineral opportunity, navigate DRC, Zambia, and South Africa mining regulatory requirements, identify offtake and processing partners, and raise capital.",</w:t>
      </w:r>
    </w:p>
    <w:p>
      <w:pPr>
        <w:shd w:fill="F0F0F0" w:val="clear"/>
        <w:spacing w:after="14" w:before="14"/>
        <w:ind w:left="360"/>
      </w:pPr>
      <w:r>
        <w:rPr>
          <w:rFonts w:ascii="Courier New" w:cs="Courier New" w:eastAsia="Courier New" w:hAnsi="Courier New"/>
          <w:color w:val="1B2A4A"/>
          <w:sz w:val="16"/>
          <w:szCs w:val="16"/>
        </w:rPr>
        <w:t xml:space="preserve">    "market_timing": "Critical mineral supply chain diversification from China is the most significant mining investment theme of the 2020s — international companies across EV, battery technology, defence, and semiconductor sectors are all evaluating African critical mineral supply as alternative to Chinese-controlled supply chains. The companies securing African critical mineral offtake agreements and investment partnerships in 2024-2027 will control supply chain positions that competitors entering later cannot access.",</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"Africa holds reserves of 30+ of the 50 critical minerals designated by the US, EU, and UK — making Africa the most critical geography for global critical mineral supply chain diversification from China.",</w:t>
      </w:r>
    </w:p>
    <w:p>
      <w:pPr>
        <w:shd w:fill="F0F0F0" w:val="clear"/>
        <w:spacing w:after="14" w:before="14"/>
        <w:ind w:left="360"/>
      </w:pPr>
      <w:r>
        <w:rPr>
          <w:rFonts w:ascii="Courier New" w:cs="Courier New" w:eastAsia="Courier New" w:hAnsi="Courier New"/>
          <w:color w:val="1B2A4A"/>
          <w:sz w:val="16"/>
          <w:szCs w:val="16"/>
        </w:rPr>
        <w:t xml:space="preserve">      "DRC Cobalt is the world's most important battery supply chain asset — 70% of global cobalt production in a single country creating both concentration risk and extraordinary opportunity for companies with DRC cobalt access.",</w:t>
      </w:r>
    </w:p>
    <w:p>
      <w:pPr>
        <w:shd w:fill="F0F0F0" w:val="clear"/>
        <w:spacing w:after="14" w:before="14"/>
        <w:ind w:left="360"/>
      </w:pPr>
      <w:r>
        <w:rPr>
          <w:rFonts w:ascii="Courier New" w:cs="Courier New" w:eastAsia="Courier New" w:hAnsi="Courier New"/>
          <w:color w:val="1B2A4A"/>
          <w:sz w:val="16"/>
          <w:szCs w:val="16"/>
        </w:rPr>
        <w:t xml:space="preserve">      "African critical mineral processing is the emerging policy priority — DRC, Zambia, and Zimbabwe all introducing value-added processing requirements that create in-country processing partnership demand for international battery material companies.",</w:t>
      </w:r>
    </w:p>
    <w:p>
      <w:pPr>
        <w:shd w:fill="F0F0F0" w:val="clear"/>
        <w:spacing w:after="14" w:before="14"/>
        <w:ind w:left="360"/>
      </w:pPr>
      <w:r>
        <w:rPr>
          <w:rFonts w:ascii="Courier New" w:cs="Courier New" w:eastAsia="Courier New" w:hAnsi="Courier New"/>
          <w:color w:val="1B2A4A"/>
          <w:sz w:val="16"/>
          <w:szCs w:val="16"/>
        </w:rPr>
        <w:t xml:space="preserve">      "Critical mineral royalty and taxation frameworks are evolving across Africa — DRC, Zambia, and Zimbabwe all revising mining fiscal regimes in ways that affect project economics and investment structure decisions."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"DRC mining regulation and political environment require specialist navigation — artisanal and small-scale mining overlap, provincial versus federal jurisdiction conflicts, and currency controls all affect DRC critical mineral investment.",</w:t>
      </w:r>
    </w:p>
    <w:p>
      <w:pPr>
        <w:shd w:fill="F0F0F0" w:val="clear"/>
        <w:spacing w:after="14" w:before="14"/>
        <w:ind w:left="360"/>
      </w:pPr>
      <w:r>
        <w:rPr>
          <w:rFonts w:ascii="Courier New" w:cs="Courier New" w:eastAsia="Courier New" w:hAnsi="Courier New"/>
          <w:color w:val="1B2A4A"/>
          <w:sz w:val="16"/>
          <w:szCs w:val="16"/>
        </w:rPr>
        <w:t xml:space="preserve">      "Responsible sourcing requirements are non-negotiable — OECD due diligence guidance on conflict minerals, RMAP certification, and EU Battery Regulation responsible sourcing requirements all apply to African critical mineral supply chains.",</w:t>
      </w:r>
    </w:p>
    <w:p>
      <w:pPr>
        <w:shd w:fill="F0F0F0" w:val="clear"/>
        <w:spacing w:after="14" w:before="14"/>
        <w:ind w:left="360"/>
      </w:pPr>
      <w:r>
        <w:rPr>
          <w:rFonts w:ascii="Courier New" w:cs="Courier New" w:eastAsia="Courier New" w:hAnsi="Courier New"/>
          <w:color w:val="1B2A4A"/>
          <w:sz w:val="16"/>
          <w:szCs w:val="16"/>
        </w:rPr>
        <w:t xml:space="preserve">      "Critical mineral export restrictions are emerging — DRC and Zimbabwe have both introduced export restrictions on unprocessed critical minerals requiring in-country processing partnership or royalty structure adjustment.",</w:t>
      </w:r>
    </w:p>
    <w:p>
      <w:pPr>
        <w:shd w:fill="F0F0F0" w:val="clear"/>
        <w:spacing w:after="14" w:before="14"/>
        <w:ind w:left="360"/>
      </w:pPr>
      <w:r>
        <w:rPr>
          <w:rFonts w:ascii="Courier New" w:cs="Courier New" w:eastAsia="Courier New" w:hAnsi="Courier New"/>
          <w:color w:val="1B2A4A"/>
          <w:sz w:val="16"/>
          <w:szCs w:val="16"/>
        </w:rPr>
        <w:t xml:space="preserve">      "Infrastructure gaps increase project cost significantly — remote mine-to-port transport, power generation, and community infrastructure all add substantial capital cost to African critical mineral projects."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"Africa critical mineral opportunity validation|You need to validate DRC, Zambia, and South Africa critical mineral project viability, royalty terms, and responsible sourcing compliance requirements.",</w:t>
      </w:r>
    </w:p>
    <w:p>
      <w:pPr>
        <w:shd w:fill="F0F0F0" w:val="clear"/>
        <w:spacing w:after="14" w:before="14"/>
        <w:ind w:left="360"/>
      </w:pPr>
      <w:r>
        <w:rPr>
          <w:rFonts w:ascii="Courier New" w:cs="Courier New" w:eastAsia="Courier New" w:hAnsi="Courier New"/>
          <w:color w:val="1B2A4A"/>
          <w:sz w:val="16"/>
          <w:szCs w:val="16"/>
        </w:rPr>
        <w:t xml:space="preserve">      "Mining regulatory and fiscal pathway|You need to understand DRC mining code, Zambia mining fiscal regime, Zimbabwe lithium regulations, and South Africa MPRDA requirements for your specific mineral and project type.",</w:t>
      </w:r>
    </w:p>
    <w:p>
      <w:pPr>
        <w:shd w:fill="F0F0F0" w:val="clear"/>
        <w:spacing w:after="14" w:before="14"/>
        <w:ind w:left="360"/>
      </w:pPr>
      <w:r>
        <w:rPr>
          <w:rFonts w:ascii="Courier New" w:cs="Courier New" w:eastAsia="Courier New" w:hAnsi="Courier New"/>
          <w:color w:val="1B2A4A"/>
          <w:sz w:val="16"/>
          <w:szCs w:val="16"/>
        </w:rPr>
        <w:t xml:space="preserve">      "Africa critical mineral offtake and processing partner identification|You need African mining companies, government-owned processors, and DFI (development finance institution) co-investment partners.",</w:t>
      </w:r>
    </w:p>
    <w:p>
      <w:pPr>
        <w:shd w:fill="F0F0F0" w:val="clear"/>
        <w:spacing w:after="14" w:before="14"/>
        <w:ind w:left="360"/>
      </w:pPr>
      <w:r>
        <w:rPr>
          <w:rFonts w:ascii="Courier New" w:cs="Courier New" w:eastAsia="Courier New" w:hAnsi="Courier New"/>
          <w:color w:val="1B2A4A"/>
          <w:sz w:val="16"/>
          <w:szCs w:val="16"/>
        </w:rPr>
        <w:t xml:space="preserve">      "Africa critical mineral investment strategy|You need a project feasibility and investment structure recommendation covering royalties, export restrictions, and responsible sourcing compliance.",</w:t>
      </w:r>
    </w:p>
    <w:p>
      <w:pPr>
        <w:shd w:fill="F0F0F0" w:val="clear"/>
        <w:spacing w:after="14" w:before="14"/>
        <w:ind w:left="360"/>
      </w:pPr>
      <w:r>
        <w:rPr>
          <w:rFonts w:ascii="Courier New" w:cs="Courier New" w:eastAsia="Courier New" w:hAnsi="Courier New"/>
          <w:color w:val="1B2A4A"/>
          <w:sz w:val="16"/>
          <w:szCs w:val="16"/>
        </w:rPr>
        <w:t xml:space="preserve">      "Raising capital for Africa critical mineral investment|You need a pitch book grounded in Africa critical mineral market data, project economics, and responsible sourcing compliance framework.",</w:t>
      </w:r>
    </w:p>
    <w:p>
      <w:pPr>
        <w:shd w:fill="F0F0F0" w:val="clear"/>
        <w:spacing w:after="14" w:before="14"/>
        <w:ind w:left="360"/>
      </w:pPr>
      <w:r>
        <w:rPr>
          <w:rFonts w:ascii="Courier New" w:cs="Courier New" w:eastAsia="Courier New" w:hAnsi="Courier New"/>
          <w:color w:val="1B2A4A"/>
          <w:sz w:val="16"/>
          <w:szCs w:val="16"/>
        </w:rPr>
        <w:t xml:space="preserve">      "Responsible sourcing compliance strategy|You need an OECD due diligence, RMAP certification, and EU Battery Regulation responsible sourcing compliance architecture."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African critical mineral project viability with regulatory mapping and offtake partner research.",</w:t>
      </w:r>
    </w:p>
    <w:p>
      <w:pPr>
        <w:shd w:fill="F0F0F0" w:val="clear"/>
        <w:spacing w:after="14" w:before="14"/>
        <w:ind w:left="360"/>
      </w:pPr>
      <w:r>
        <w:rPr>
          <w:rFonts w:ascii="Courier New" w:cs="Courier New" w:eastAsia="Courier New" w:hAnsi="Courier New"/>
          <w:color w:val="1B2A4A"/>
          <w:sz w:val="16"/>
          <w:szCs w:val="16"/>
        </w:rPr>
        <w:t xml:space="preserve">      "Full financial feasibility for Africa critical mineral investment covering royalty structure, processing requirements, and responsible sourcing compliance cost.",</w:t>
      </w:r>
    </w:p>
    <w:p>
      <w:pPr>
        <w:shd w:fill="F0F0F0" w:val="clear"/>
        <w:spacing w:after="14" w:before="14"/>
        <w:ind w:left="360"/>
      </w:pPr>
      <w:r>
        <w:rPr>
          <w:rFonts w:ascii="Courier New" w:cs="Courier New" w:eastAsia="Courier New" w:hAnsi="Courier New"/>
          <w:color w:val="1B2A4A"/>
          <w:sz w:val="16"/>
          <w:szCs w:val="16"/>
        </w:rPr>
        <w:t xml:space="preserve">      "End-to-end Africa critical mineral market entry including mining regulatory pathway, DFI partner identification, and first-offtake-agreement milestone.",</w:t>
      </w:r>
    </w:p>
    <w:p>
      <w:pPr>
        <w:shd w:fill="F0F0F0" w:val="clear"/>
        <w:spacing w:after="14" w:before="14"/>
        <w:ind w:left="360"/>
      </w:pPr>
      <w:r>
        <w:rPr>
          <w:rFonts w:ascii="Courier New" w:cs="Courier New" w:eastAsia="Courier New" w:hAnsi="Courier New"/>
          <w:color w:val="1B2A4A"/>
          <w:sz w:val="16"/>
          <w:szCs w:val="16"/>
        </w:rPr>
        <w:t xml:space="preserve">      "Embedded Africa critical mineral GTM team covering mining company, government, and DFI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Africa critical mineral investment with supply chain diversification and responsible sourcing narrative.",</w:t>
      </w:r>
    </w:p>
    <w:p>
      <w:pPr>
        <w:shd w:fill="F0F0F0" w:val="clear"/>
        <w:spacing w:after="14" w:before="14"/>
        <w:ind w:left="360"/>
      </w:pPr>
      <w:r>
        <w:rPr>
          <w:rFonts w:ascii="Courier New" w:cs="Courier New" w:eastAsia="Courier New" w:hAnsi="Courier New"/>
          <w:color w:val="1B2A4A"/>
          <w:sz w:val="16"/>
          <w:szCs w:val="16"/>
        </w:rPr>
        <w:t xml:space="preserve">      "Responsible sourcing compliance strategy — from OECD due diligence to EU Battery Regulation traceability architecture."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cobalt companies or also with lithium, platinum group metals, copper, and bauxite companies in Africa?|All critical mineral categories.",</w:t>
      </w:r>
    </w:p>
    <w:p>
      <w:pPr>
        <w:shd w:fill="F0F0F0" w:val="clear"/>
        <w:spacing w:after="14" w:before="14"/>
        <w:ind w:left="360"/>
      </w:pPr>
      <w:r>
        <w:rPr>
          <w:rFonts w:ascii="Courier New" w:cs="Courier New" w:eastAsia="Courier New" w:hAnsi="Courier New"/>
          <w:color w:val="1B2A4A"/>
          <w:sz w:val="16"/>
          <w:szCs w:val="16"/>
        </w:rPr>
        <w:t xml:space="preserve">      "Which African critical mineral markets does GreyRadius prioritise?|DRC for cobalt and coltan; Zambia for copper and cobalt; Zimbabwe for lithium; South Africa for platinum group metals.",</w:t>
      </w:r>
    </w:p>
    <w:p>
      <w:pPr>
        <w:shd w:fill="F0F0F0" w:val="clear"/>
        <w:spacing w:after="14" w:before="14"/>
        <w:ind w:left="360"/>
      </w:pPr>
      <w:r>
        <w:rPr>
          <w:rFonts w:ascii="Courier New" w:cs="Courier New" w:eastAsia="Courier New" w:hAnsi="Courier New"/>
          <w:color w:val="1B2A4A"/>
          <w:sz w:val="16"/>
          <w:szCs w:val="16"/>
        </w:rPr>
        <w:t xml:space="preserve">      "How long does an Africa critical mineral engagement take?|Typically 10-14 weeks for project validation, regulatory mapping, and offtake partner identification.",</w:t>
      </w:r>
    </w:p>
    <w:p>
      <w:pPr>
        <w:shd w:fill="F0F0F0" w:val="clear"/>
        <w:spacing w:after="14" w:before="14"/>
        <w:ind w:left="360"/>
      </w:pPr>
      <w:r>
        <w:rPr>
          <w:rFonts w:ascii="Courier New" w:cs="Courier New" w:eastAsia="Courier New" w:hAnsi="Courier New"/>
          <w:color w:val="1B2A4A"/>
          <w:sz w:val="16"/>
          <w:szCs w:val="16"/>
        </w:rPr>
        <w:t xml:space="preserve">      "What responsible sourcing standards apply to African critical minerals?|OECD Due Diligence Guidance for Responsible Supply Chains, RMAP, and EU Battery Regulation responsible sourcing requirements — we map compliance requirements in every engagement."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"Africa critical minerals market entry, DRC cobalt mining consulting, Zambia copper investment advisory, Africa rare earth GTM strategy, Africa battery materials market entry",</w:t>
      </w:r>
    </w:p>
    <w:p>
      <w:pPr>
        <w:shd w:fill="F0F0F0" w:val="clear"/>
        <w:spacing w:after="14" w:before="14"/>
        <w:ind w:left="360"/>
      </w:pPr>
      <w:r>
        <w:rPr>
          <w:rFonts w:ascii="Courier New" w:cs="Courier New" w:eastAsia="Courier New" w:hAnsi="Courier New"/>
          <w:color w:val="1B2A4A"/>
          <w:sz w:val="16"/>
          <w:szCs w:val="16"/>
        </w:rPr>
        <w:t xml:space="preserve">    "regions": "DRC — Katanga and Lualaba cobalt and copper provinces; Zambia — Copperbelt copper and cobalt; Zimbabwe — Manicaland lithium; South Africa — Bushveld PGM complex",</w:t>
      </w:r>
    </w:p>
    <w:p>
      <w:pPr>
        <w:shd w:fill="F0F0F0" w:val="clear"/>
        <w:spacing w:after="14" w:before="14"/>
        <w:ind w:left="360"/>
      </w:pPr>
      <w:r>
        <w:rPr>
          <w:rFonts w:ascii="Courier New" w:cs="Courier New" w:eastAsia="Courier New" w:hAnsi="Courier New"/>
          <w:color w:val="1B2A4A"/>
          <w:sz w:val="16"/>
          <w:szCs w:val="16"/>
        </w:rPr>
        <w:t xml:space="preserve">    "stat1n": "30+",</w:t>
      </w:r>
    </w:p>
    <w:p>
      <w:pPr>
        <w:shd w:fill="F0F0F0" w:val="clear"/>
        <w:spacing w:after="14" w:before="14"/>
        <w:ind w:left="360"/>
      </w:pPr>
      <w:r>
        <w:rPr>
          <w:rFonts w:ascii="Courier New" w:cs="Courier New" w:eastAsia="Courier New" w:hAnsi="Courier New"/>
          <w:color w:val="1B2A4A"/>
          <w:sz w:val="16"/>
          <w:szCs w:val="16"/>
        </w:rPr>
        <w:t xml:space="preserve">    "stat1l": "Critical minerals in African deposits",</w:t>
      </w:r>
    </w:p>
    <w:p>
      <w:pPr>
        <w:shd w:fill="F0F0F0" w:val="clear"/>
        <w:spacing w:after="14" w:before="14"/>
        <w:ind w:left="360"/>
      </w:pPr>
      <w:r>
        <w:rPr>
          <w:rFonts w:ascii="Courier New" w:cs="Courier New" w:eastAsia="Courier New" w:hAnsi="Courier New"/>
          <w:color w:val="1B2A4A"/>
          <w:sz w:val="16"/>
          <w:szCs w:val="16"/>
        </w:rPr>
        <w:t xml:space="preserve">    "stat1b": "Africa holds reserves of 30+ of the 50 US, EU, and UK designated critical minerals — the most important critical mineral geography for supply chain diversification.",</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Africa critical mineral mandate",</w:t>
      </w:r>
    </w:p>
    <w:p>
      <w:pPr>
        <w:shd w:fill="F0F0F0" w:val="clear"/>
        <w:spacing w:after="14" w:before="14"/>
        <w:ind w:left="360"/>
      </w:pPr>
      <w:r>
        <w:rPr>
          <w:rFonts w:ascii="Courier New" w:cs="Courier New" w:eastAsia="Courier New" w:hAnsi="Courier New"/>
          <w:color w:val="1B2A4A"/>
          <w:sz w:val="16"/>
          <w:szCs w:val="16"/>
        </w:rPr>
        <w:t xml:space="preserve">    "stat2b": "African mining officials, DFI investment contacts, and responsible sourcing compliance specialists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"10 weeks",</w:t>
      </w:r>
    </w:p>
    <w:p>
      <w:pPr>
        <w:shd w:fill="F0F0F0" w:val="clear"/>
        <w:spacing w:after="14" w:before="14"/>
        <w:ind w:left="360"/>
      </w:pPr>
      <w:r>
        <w:rPr>
          <w:rFonts w:ascii="Courier New" w:cs="Courier New" w:eastAsia="Courier New" w:hAnsi="Courier New"/>
          <w:color w:val="1B2A4A"/>
          <w:sz w:val="16"/>
          <w:szCs w:val="16"/>
        </w:rPr>
        <w:t xml:space="preserve">    "stat3l": "Africa critical mineral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regulatory mapping and offtake partner research delivers Africa critical mineral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"india-rare-earth",</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"rare-earth-metals",</w:t>
      </w:r>
    </w:p>
    <w:p>
      <w:pPr>
        <w:shd w:fill="F0F0F0" w:val="clear"/>
        <w:spacing w:after="14" w:before="14"/>
        <w:ind w:left="360"/>
      </w:pPr>
      <w:r>
        <w:rPr>
          <w:rFonts w:ascii="Courier New" w:cs="Courier New" w:eastAsia="Courier New" w:hAnsi="Courier New"/>
          <w:color w:val="1B2A4A"/>
          <w:sz w:val="16"/>
          <w:szCs w:val="16"/>
        </w:rPr>
        <w:t xml:space="preserve">    "title": "India Critical Minerals &amp; Rare Earth Market Entry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critical mineral and rare earth companies enter India with market entry strategy, MMDR Act regulatory mapping, IREL partnership access, and investment strategy.",</w:t>
      </w:r>
    </w:p>
    <w:p>
      <w:pPr>
        <w:shd w:fill="F0F0F0" w:val="clear"/>
        <w:spacing w:after="14" w:before="14"/>
        <w:ind w:left="360"/>
      </w:pPr>
      <w:r>
        <w:rPr>
          <w:rFonts w:ascii="Courier New" w:cs="Courier New" w:eastAsia="Courier New" w:hAnsi="Courier New"/>
          <w:color w:val="1B2A4A"/>
          <w:sz w:val="16"/>
          <w:szCs w:val="16"/>
        </w:rPr>
        <w:t xml:space="preserve">    "h1": "India critical minerals and rare earth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critical mineral technology to India's rare earth ecosystem — strategy for companies entering India's critical mineral market.",</w:t>
      </w:r>
    </w:p>
    <w:p>
      <w:pPr>
        <w:shd w:fill="F0F0F0" w:val="clear"/>
        <w:spacing w:after="14" w:before="14"/>
        <w:ind w:left="360"/>
      </w:pPr>
      <w:r>
        <w:rPr>
          <w:rFonts w:ascii="Courier New" w:cs="Courier New" w:eastAsia="Courier New" w:hAnsi="Courier New"/>
          <w:color w:val="1B2A4A"/>
          <w:sz w:val="16"/>
          <w:szCs w:val="16"/>
        </w:rPr>
        <w:t xml:space="preserve">    "hero": "India's critical minerals market is at a historic inflection point — with India holding significant deposits of lithium, graphite, and titanium, the Critical Minerals Mission committing government investment to critical mineral supply chain development, India's battery manufacturing PLI creating downstream demand for domestic critical mineral supply, and India's strategic ambition to reduce dependence on China for critical minerals creating government priority for international partnership. International critical mineral companies across mining, processing, and battery materials are all evaluating India as a strategic critical mineral destination. GreyRadius helps companies validate Indian critical mineral opportunity, navigate MMDR Act and mining regulatory requirements, access IREL and government programme partnerships, and raise capital.",</w:t>
      </w:r>
    </w:p>
    <w:p>
      <w:pPr>
        <w:shd w:fill="F0F0F0" w:val="clear"/>
        <w:spacing w:after="14" w:before="14"/>
        <w:ind w:left="360"/>
      </w:pPr>
      <w:r>
        <w:rPr>
          <w:rFonts w:ascii="Courier New" w:cs="Courier New" w:eastAsia="Courier New" w:hAnsi="Courier New"/>
          <w:color w:val="1B2A4A"/>
          <w:sz w:val="16"/>
          <w:szCs w:val="16"/>
        </w:rPr>
        <w:t xml:space="preserve">    "market_timing": "India's Critical Minerals Mission announced in 2023 is actively seeking international mining company partnerships for lithium, cobalt, nickel, and graphite — the mission includes government equity participation, expedited regulatory clearances, and diplomatic-level mineral access agreements with resource-rich countries. Companies engaging with India's Critical Minerals Mission in 2024-2026 will access government co-investment and facilitation that standalone commercial entry cannot secure.",</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"India's critical mineral import dependency is $25B+ annually — creating strategic motivation for India's government to develop domestic critical mineral supply chains and international partnerships at an extraordinary level.",</w:t>
      </w:r>
    </w:p>
    <w:p>
      <w:pPr>
        <w:shd w:fill="F0F0F0" w:val="clear"/>
        <w:spacing w:after="14" w:before="14"/>
        <w:ind w:left="360"/>
      </w:pPr>
      <w:r>
        <w:rPr>
          <w:rFonts w:ascii="Courier New" w:cs="Courier New" w:eastAsia="Courier New" w:hAnsi="Courier New"/>
          <w:color w:val="1B2A4A"/>
          <w:sz w:val="16"/>
          <w:szCs w:val="16"/>
        </w:rPr>
        <w:t xml:space="preserve">      "India's battery manufacturing PLI is creating captive critical mineral demand — PLI-receiving battery manufacturers are incentivised to source domestically creating assured offtake for India-based critical mineral processing.",</w:t>
      </w:r>
    </w:p>
    <w:p>
      <w:pPr>
        <w:shd w:fill="F0F0F0" w:val="clear"/>
        <w:spacing w:after="14" w:before="14"/>
        <w:ind w:left="360"/>
      </w:pPr>
      <w:r>
        <w:rPr>
          <w:rFonts w:ascii="Courier New" w:cs="Courier New" w:eastAsia="Courier New" w:hAnsi="Courier New"/>
          <w:color w:val="1B2A4A"/>
          <w:sz w:val="16"/>
          <w:szCs w:val="16"/>
        </w:rPr>
        <w:t xml:space="preserve">      "India's lithium deposits in Rajasthan and Jammu are the most significant recent geological discovery — estimated 5.9 million tonne lithium deposit creating India's first significant domestic lithium resource.",</w:t>
      </w:r>
    </w:p>
    <w:p>
      <w:pPr>
        <w:shd w:fill="F0F0F0" w:val="clear"/>
        <w:spacing w:after="14" w:before="14"/>
        <w:ind w:left="360"/>
      </w:pPr>
      <w:r>
        <w:rPr>
          <w:rFonts w:ascii="Courier New" w:cs="Courier New" w:eastAsia="Courier New" w:hAnsi="Courier New"/>
          <w:color w:val="1B2A4A"/>
          <w:sz w:val="16"/>
          <w:szCs w:val="16"/>
        </w:rPr>
        <w:t xml:space="preserve">      "KABIL (Khanij Bidesh India Ltd) is actively acquiring critical mineral assets internationally — India's government mining company creating a partnership pathway for international critical mineral companies seeking India engagement."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"MMDR Act mining clearance process is multi-stage — mining lease, environmental clearance, forest clearance, and tribal land rights all require sequential regulatory navigation that can take 24-48 months.",</w:t>
      </w:r>
    </w:p>
    <w:p>
      <w:pPr>
        <w:shd w:fill="F0F0F0" w:val="clear"/>
        <w:spacing w:after="14" w:before="14"/>
        <w:ind w:left="360"/>
      </w:pPr>
      <w:r>
        <w:rPr>
          <w:rFonts w:ascii="Courier New" w:cs="Courier New" w:eastAsia="Courier New" w:hAnsi="Courier New"/>
          <w:color w:val="1B2A4A"/>
          <w:sz w:val="16"/>
          <w:szCs w:val="16"/>
        </w:rPr>
        <w:t xml:space="preserve">      "Artisanal and small-scale mining regulation creates overlap complexity — informal mining operations in critical mineral zones create legal clarity issues that formal mining companies must navigate.",</w:t>
      </w:r>
    </w:p>
    <w:p>
      <w:pPr>
        <w:shd w:fill="F0F0F0" w:val="clear"/>
        <w:spacing w:after="14" w:before="14"/>
        <w:ind w:left="360"/>
      </w:pPr>
      <w:r>
        <w:rPr>
          <w:rFonts w:ascii="Courier New" w:cs="Courier New" w:eastAsia="Courier New" w:hAnsi="Courier New"/>
          <w:color w:val="1B2A4A"/>
          <w:sz w:val="16"/>
          <w:szCs w:val="16"/>
        </w:rPr>
        <w:t xml:space="preserve">      "IREL (India Rare Earths Ltd) government monopoly in specific categories — IREL's statutory monopoly in certain rare earth minerals requires partnership or licensing structure rather than independent mining.",</w:t>
      </w:r>
    </w:p>
    <w:p>
      <w:pPr>
        <w:shd w:fill="F0F0F0" w:val="clear"/>
        <w:spacing w:after="14" w:before="14"/>
        <w:ind w:left="360"/>
      </w:pPr>
      <w:r>
        <w:rPr>
          <w:rFonts w:ascii="Courier New" w:cs="Courier New" w:eastAsia="Courier New" w:hAnsi="Courier New"/>
          <w:color w:val="1B2A4A"/>
          <w:sz w:val="16"/>
          <w:szCs w:val="16"/>
        </w:rPr>
        <w:t xml:space="preserve">      "Critical mineral processing technology transfer sensitivity — India's government scrutinises technology transfer terms carefully for strategic critical mineral categories requiring careful intellectual property structuring."</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"India critical mineral opportunity validation|You need to validate India's critical mineral project viability, MMDR Act clearance pathway, and government partnership programme access.",</w:t>
      </w:r>
    </w:p>
    <w:p>
      <w:pPr>
        <w:shd w:fill="F0F0F0" w:val="clear"/>
        <w:spacing w:after="14" w:before="14"/>
        <w:ind w:left="360"/>
      </w:pPr>
      <w:r>
        <w:rPr>
          <w:rFonts w:ascii="Courier New" w:cs="Courier New" w:eastAsia="Courier New" w:hAnsi="Courier New"/>
          <w:color w:val="1B2A4A"/>
          <w:sz w:val="16"/>
          <w:szCs w:val="16"/>
        </w:rPr>
        <w:t xml:space="preserve">      "MMDR Act regulatory pathway|You need to understand mining lease, environmental clearance, and CRZ notification requirements for your specific critical mineral and project location in India.",</w:t>
      </w:r>
    </w:p>
    <w:p>
      <w:pPr>
        <w:shd w:fill="F0F0F0" w:val="clear"/>
        <w:spacing w:after="14" w:before="14"/>
        <w:ind w:left="360"/>
      </w:pPr>
      <w:r>
        <w:rPr>
          <w:rFonts w:ascii="Courier New" w:cs="Courier New" w:eastAsia="Courier New" w:hAnsi="Courier New"/>
          <w:color w:val="1B2A4A"/>
          <w:sz w:val="16"/>
          <w:szCs w:val="16"/>
        </w:rPr>
        <w:t xml:space="preserve">      "IREL and government programme partnership identification|You need KABIL co-investment contacts, IREL partnership structure options, and Critical Minerals Mission engagement pathway.",</w:t>
      </w:r>
    </w:p>
    <w:p>
      <w:pPr>
        <w:shd w:fill="F0F0F0" w:val="clear"/>
        <w:spacing w:after="14" w:before="14"/>
        <w:ind w:left="360"/>
      </w:pPr>
      <w:r>
        <w:rPr>
          <w:rFonts w:ascii="Courier New" w:cs="Courier New" w:eastAsia="Courier New" w:hAnsi="Courier New"/>
          <w:color w:val="1B2A4A"/>
          <w:sz w:val="16"/>
          <w:szCs w:val="16"/>
        </w:rPr>
        <w:t xml:space="preserve">      "India critical mineral investment strategy|You need a project feasibility and investment structure recommendation covering MMDR Act, government equity participation, and PLI integration.",</w:t>
      </w:r>
    </w:p>
    <w:p>
      <w:pPr>
        <w:shd w:fill="F0F0F0" w:val="clear"/>
        <w:spacing w:after="14" w:before="14"/>
        <w:ind w:left="360"/>
      </w:pPr>
      <w:r>
        <w:rPr>
          <w:rFonts w:ascii="Courier New" w:cs="Courier New" w:eastAsia="Courier New" w:hAnsi="Courier New"/>
          <w:color w:val="1B2A4A"/>
          <w:sz w:val="16"/>
          <w:szCs w:val="16"/>
        </w:rPr>
        <w:t xml:space="preserve">      "Raising capital for India critical mineral investment|You need a pitch book grounded in India critical mineral market data, MMDR Act regulatory framework, and PLI offtake demand analysis.",</w:t>
      </w:r>
    </w:p>
    <w:p>
      <w:pPr>
        <w:shd w:fill="F0F0F0" w:val="clear"/>
        <w:spacing w:after="14" w:before="14"/>
        <w:ind w:left="360"/>
      </w:pPr>
      <w:r>
        <w:rPr>
          <w:rFonts w:ascii="Courier New" w:cs="Courier New" w:eastAsia="Courier New" w:hAnsi="Courier New"/>
          <w:color w:val="1B2A4A"/>
          <w:sz w:val="16"/>
          <w:szCs w:val="16"/>
        </w:rPr>
        <w:t xml:space="preserve">      "Technology transfer and IP strategy|You need a critical mineral processing technology transfer structure that satisfies Indian government requirements while protecting intellectual property."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India critical mineral project viability with MMDR Act regulatory mapping and government programme research.",</w:t>
      </w:r>
    </w:p>
    <w:p>
      <w:pPr>
        <w:shd w:fill="F0F0F0" w:val="clear"/>
        <w:spacing w:after="14" w:before="14"/>
        <w:ind w:left="360"/>
      </w:pPr>
      <w:r>
        <w:rPr>
          <w:rFonts w:ascii="Courier New" w:cs="Courier New" w:eastAsia="Courier New" w:hAnsi="Courier New"/>
          <w:color w:val="1B2A4A"/>
          <w:sz w:val="16"/>
          <w:szCs w:val="16"/>
        </w:rPr>
        <w:t xml:space="preserve">      "Full financial feasibility for India critical mineral investment covering MMDR clearance timeline and PLI offtake economics.",</w:t>
      </w:r>
    </w:p>
    <w:p>
      <w:pPr>
        <w:shd w:fill="F0F0F0" w:val="clear"/>
        <w:spacing w:after="14" w:before="14"/>
        <w:ind w:left="360"/>
      </w:pPr>
      <w:r>
        <w:rPr>
          <w:rFonts w:ascii="Courier New" w:cs="Courier New" w:eastAsia="Courier New" w:hAnsi="Courier New"/>
          <w:color w:val="1B2A4A"/>
          <w:sz w:val="16"/>
          <w:szCs w:val="16"/>
        </w:rPr>
        <w:t xml:space="preserve">      "End-to-end India critical mineral market entry including MMDR pathway, KABIL partnership identification, and first-offtake-agreement milestone.",</w:t>
      </w:r>
    </w:p>
    <w:p>
      <w:pPr>
        <w:shd w:fill="F0F0F0" w:val="clear"/>
        <w:spacing w:after="14" w:before="14"/>
        <w:ind w:left="360"/>
      </w:pPr>
      <w:r>
        <w:rPr>
          <w:rFonts w:ascii="Courier New" w:cs="Courier New" w:eastAsia="Courier New" w:hAnsi="Courier New"/>
          <w:color w:val="1B2A4A"/>
          <w:sz w:val="16"/>
          <w:szCs w:val="16"/>
        </w:rPr>
        <w:t xml:space="preserve">      "Embedded India critical mineral GTM team covering KABIL, IREL, and Critical Minerals Mission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India critical mineral investment with Critical Minerals Mission and PLI battery demand narrative.",</w:t>
      </w:r>
    </w:p>
    <w:p>
      <w:pPr>
        <w:shd w:fill="F0F0F0" w:val="clear"/>
        <w:spacing w:after="14" w:before="14"/>
        <w:ind w:left="360"/>
      </w:pPr>
      <w:r>
        <w:rPr>
          <w:rFonts w:ascii="Courier New" w:cs="Courier New" w:eastAsia="Courier New" w:hAnsi="Courier New"/>
          <w:color w:val="1B2A4A"/>
          <w:sz w:val="16"/>
          <w:szCs w:val="16"/>
        </w:rPr>
        <w:t xml:space="preserve">      "Technology transfer structure — from MMDR Act compliance to IP-protected critical mineral processing technology licensing."</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lithium companies or also with cobalt, nickel, graphite, and rare earth companies in India?|All critical mineral categories.",</w:t>
      </w:r>
    </w:p>
    <w:p>
      <w:pPr>
        <w:shd w:fill="F0F0F0" w:val="clear"/>
        <w:spacing w:after="14" w:before="14"/>
        <w:ind w:left="360"/>
      </w:pPr>
      <w:r>
        <w:rPr>
          <w:rFonts w:ascii="Courier New" w:cs="Courier New" w:eastAsia="Courier New" w:hAnsi="Courier New"/>
          <w:color w:val="1B2A4A"/>
          <w:sz w:val="16"/>
          <w:szCs w:val="16"/>
        </w:rPr>
        <w:t xml:space="preserve">      "How long does an India critical mineral engagement take?|Typically 10-14 weeks for project validation, MMDR Act regulatory mapping, and government programme partner identification.",</w:t>
      </w:r>
    </w:p>
    <w:p>
      <w:pPr>
        <w:shd w:fill="F0F0F0" w:val="clear"/>
        <w:spacing w:after="14" w:before="14"/>
        <w:ind w:left="360"/>
      </w:pPr>
      <w:r>
        <w:rPr>
          <w:rFonts w:ascii="Courier New" w:cs="Courier New" w:eastAsia="Courier New" w:hAnsi="Courier New"/>
          <w:color w:val="1B2A4A"/>
          <w:sz w:val="16"/>
          <w:szCs w:val="16"/>
        </w:rPr>
        <w:t xml:space="preserve">      "Can GreyRadius identify KABIL and Critical Minerals Mission partnership contacts?|Yes.",</w:t>
      </w:r>
    </w:p>
    <w:p>
      <w:pPr>
        <w:shd w:fill="F0F0F0" w:val="clear"/>
        <w:spacing w:after="14" w:before="14"/>
        <w:ind w:left="360"/>
      </w:pPr>
      <w:r>
        <w:rPr>
          <w:rFonts w:ascii="Courier New" w:cs="Courier New" w:eastAsia="Courier New" w:hAnsi="Courier New"/>
          <w:color w:val="1B2A4A"/>
          <w:sz w:val="16"/>
          <w:szCs w:val="16"/>
        </w:rPr>
        <w:t xml:space="preserve">      "What is IREL's role in India's rare earth market?|IREL has statutory monopoly in specific rare earth categories — we map IREL partnership requirements versus competitive categories in every engagement."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"India critical minerals market entry, MMDR Act mining consulting, India rare earth GTM strategy, KABIL partnership advisory, India battery materials market entry",</w:t>
      </w:r>
    </w:p>
    <w:p>
      <w:pPr>
        <w:shd w:fill="F0F0F0" w:val="clear"/>
        <w:spacing w:after="14" w:before="14"/>
        <w:ind w:left="360"/>
      </w:pPr>
      <w:r>
        <w:rPr>
          <w:rFonts w:ascii="Courier New" w:cs="Courier New" w:eastAsia="Courier New" w:hAnsi="Courier New"/>
          <w:color w:val="1B2A4A"/>
          <w:sz w:val="16"/>
          <w:szCs w:val="16"/>
        </w:rPr>
        <w:t xml:space="preserve">    "regions": "India — Rajasthan and Jammu lithium deposits; Odisha chromite and manganese; Kerala beach sand minerals; MMDR-regulated mining zones nationwide",</w:t>
      </w:r>
    </w:p>
    <w:p>
      <w:pPr>
        <w:shd w:fill="F0F0F0" w:val="clear"/>
        <w:spacing w:after="14" w:before="14"/>
        <w:ind w:left="360"/>
      </w:pPr>
      <w:r>
        <w:rPr>
          <w:rFonts w:ascii="Courier New" w:cs="Courier New" w:eastAsia="Courier New" w:hAnsi="Courier New"/>
          <w:color w:val="1B2A4A"/>
          <w:sz w:val="16"/>
          <w:szCs w:val="16"/>
        </w:rPr>
        <w:t xml:space="preserve">    "stat1n": "$25B+",</w:t>
      </w:r>
    </w:p>
    <w:p>
      <w:pPr>
        <w:shd w:fill="F0F0F0" w:val="clear"/>
        <w:spacing w:after="14" w:before="14"/>
        <w:ind w:left="360"/>
      </w:pPr>
      <w:r>
        <w:rPr>
          <w:rFonts w:ascii="Courier New" w:cs="Courier New" w:eastAsia="Courier New" w:hAnsi="Courier New"/>
          <w:color w:val="1B2A4A"/>
          <w:sz w:val="16"/>
          <w:szCs w:val="16"/>
        </w:rPr>
        <w:t xml:space="preserve">    "stat1l": "India critical mineral import annually",</w:t>
      </w:r>
    </w:p>
    <w:p>
      <w:pPr>
        <w:shd w:fill="F0F0F0" w:val="clear"/>
        <w:spacing w:after="14" w:before="14"/>
        <w:ind w:left="360"/>
      </w:pPr>
      <w:r>
        <w:rPr>
          <w:rFonts w:ascii="Courier New" w:cs="Courier New" w:eastAsia="Courier New" w:hAnsi="Courier New"/>
          <w:color w:val="1B2A4A"/>
          <w:sz w:val="16"/>
          <w:szCs w:val="16"/>
        </w:rPr>
        <w:t xml:space="preserve">    "stat1b": "Strategic motivation for India government partnership with international critical mineral companies to develop domestic supply chains.",</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India critical mineral mandate",</w:t>
      </w:r>
    </w:p>
    <w:p>
      <w:pPr>
        <w:shd w:fill="F0F0F0" w:val="clear"/>
        <w:spacing w:after="14" w:before="14"/>
        <w:ind w:left="360"/>
      </w:pPr>
      <w:r>
        <w:rPr>
          <w:rFonts w:ascii="Courier New" w:cs="Courier New" w:eastAsia="Courier New" w:hAnsi="Courier New"/>
          <w:color w:val="1B2A4A"/>
          <w:sz w:val="16"/>
          <w:szCs w:val="16"/>
        </w:rPr>
        <w:t xml:space="preserve">    "stat2b": "MMDR officials, KABIL contacts, and critical mineral processing specialists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"10 weeks",</w:t>
      </w:r>
    </w:p>
    <w:p>
      <w:pPr>
        <w:shd w:fill="F0F0F0" w:val="clear"/>
        <w:spacing w:after="14" w:before="14"/>
        <w:ind w:left="360"/>
      </w:pPr>
      <w:r>
        <w:rPr>
          <w:rFonts w:ascii="Courier New" w:cs="Courier New" w:eastAsia="Courier New" w:hAnsi="Courier New"/>
          <w:color w:val="1B2A4A"/>
          <w:sz w:val="16"/>
          <w:szCs w:val="16"/>
        </w:rPr>
        <w:t xml:space="preserve">    "stat3l": "India critical mineral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MMDR regulatory mapping and government programme research delivers India critical mineral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"southeast-asia-rare-earth",</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"rare-earth-metals",</w:t>
      </w:r>
    </w:p>
    <w:p>
      <w:pPr>
        <w:shd w:fill="F0F0F0" w:val="clear"/>
        <w:spacing w:after="14" w:before="14"/>
        <w:ind w:left="360"/>
      </w:pPr>
      <w:r>
        <w:rPr>
          <w:rFonts w:ascii="Courier New" w:cs="Courier New" w:eastAsia="Courier New" w:hAnsi="Courier New"/>
          <w:color w:val="1B2A4A"/>
          <w:sz w:val="16"/>
          <w:szCs w:val="16"/>
        </w:rPr>
        <w:t xml:space="preserve">    "title": "Southeast Asia Critical Minerals &amp; Rare Earth Market Entry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critical mineral and rare earth companies enter Southeast Asia with Indonesia nickel regulatory mapping, Vietnam rare earth access, and regional supply chain strategy.",</w:t>
      </w:r>
    </w:p>
    <w:p>
      <w:pPr>
        <w:shd w:fill="F0F0F0" w:val="clear"/>
        <w:spacing w:after="14" w:before="14"/>
        <w:ind w:left="360"/>
      </w:pPr>
      <w:r>
        <w:rPr>
          <w:rFonts w:ascii="Courier New" w:cs="Courier New" w:eastAsia="Courier New" w:hAnsi="Courier New"/>
          <w:color w:val="1B2A4A"/>
          <w:sz w:val="16"/>
          <w:szCs w:val="16"/>
        </w:rPr>
        <w:t xml:space="preserve">    "h1": "Southeast Asia critical minerals and rare earth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critical mineral supply chain to Southeast Asian resource access — strategy for companies entering ASEAN critical mineral markets.",</w:t>
      </w:r>
    </w:p>
    <w:p>
      <w:pPr>
        <w:shd w:fill="F0F0F0" w:val="clear"/>
        <w:spacing w:after="14" w:before="14"/>
        <w:ind w:left="360"/>
      </w:pPr>
      <w:r>
        <w:rPr>
          <w:rFonts w:ascii="Courier New" w:cs="Courier New" w:eastAsia="Courier New" w:hAnsi="Courier New"/>
          <w:color w:val="1B2A4A"/>
          <w:sz w:val="16"/>
          <w:szCs w:val="16"/>
        </w:rPr>
        <w:t xml:space="preserve">    "hero": "Southeast Asia is one of the world's most significant critical mineral geographies — with Indonesia holding the world's largest nickel reserves, Malaysia hosting significant rare earth processing through Lynas, Vietnam with substantial rare earth deposits second only to China globally, and Philippines with significant nickel and chromite. International mining companies, battery material processors, and EV supply chain companies are all evaluating Southeast Asia critical mineral investment for supply chain diversification. GreyRadius helps companies validate ASEAN critical mineral opportunity, navigate Indonesia's MINERBA and Vietnam's mining law, identify processing and offtake partners, and raise capital.",</w:t>
      </w:r>
    </w:p>
    <w:p>
      <w:pPr>
        <w:shd w:fill="F0F0F0" w:val="clear"/>
        <w:spacing w:after="14" w:before="14"/>
        <w:ind w:left="360"/>
      </w:pPr>
      <w:r>
        <w:rPr>
          <w:rFonts w:ascii="Courier New" w:cs="Courier New" w:eastAsia="Courier New" w:hAnsi="Courier New"/>
          <w:color w:val="1B2A4A"/>
          <w:sz w:val="16"/>
          <w:szCs w:val="16"/>
        </w:rPr>
        <w:t xml:space="preserve">    "market_timing": "Indonesia's nickel export ban has fundamentally restructured global EV battery supply chains — Indonesia's 2023 ban on unprocessed nickel ore exports is forcing battery companies and EV manufacturers to invest in Indonesia nickel processing rather than importing raw ore. Companies establishing Indonesia nickel downstream processing partnerships in 2024-2027 are positioning in the world's most strategically important critical mineral supply chain.",</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"Southeast Asia critical mineral assets are worth over $1 trillion — Indonesia nickel alone represents the largest single strategic mineral asset for EV battery supply chains globally.",</w:t>
      </w:r>
    </w:p>
    <w:p>
      <w:pPr>
        <w:shd w:fill="F0F0F0" w:val="clear"/>
        <w:spacing w:after="14" w:before="14"/>
        <w:ind w:left="360"/>
      </w:pPr>
      <w:r>
        <w:rPr>
          <w:rFonts w:ascii="Courier New" w:cs="Courier New" w:eastAsia="Courier New" w:hAnsi="Courier New"/>
          <w:color w:val="1B2A4A"/>
          <w:sz w:val="16"/>
          <w:szCs w:val="16"/>
        </w:rPr>
        <w:t xml:space="preserve">      "Indonesia's nickel downstream processing investment is the largest single critical mineral investment programme in the world — $30B+ in committed HPAL (High Pressure Acid Leach) and nickel smelting investment creating battery-grade nickel supply.",</w:t>
      </w:r>
    </w:p>
    <w:p>
      <w:pPr>
        <w:shd w:fill="F0F0F0" w:val="clear"/>
        <w:spacing w:after="14" w:before="14"/>
        <w:ind w:left="360"/>
      </w:pPr>
      <w:r>
        <w:rPr>
          <w:rFonts w:ascii="Courier New" w:cs="Courier New" w:eastAsia="Courier New" w:hAnsi="Courier New"/>
          <w:color w:val="1B2A4A"/>
          <w:sz w:val="16"/>
          <w:szCs w:val="16"/>
        </w:rPr>
        <w:t xml:space="preserve">      "Vietnam's rare earth deposits are the world's second-largest — estimated 22 million tonne rare earth reserve with Vietnam government actively seeking international partnership for rare earth processing development.",</w:t>
      </w:r>
    </w:p>
    <w:p>
      <w:pPr>
        <w:shd w:fill="F0F0F0" w:val="clear"/>
        <w:spacing w:after="14" w:before="14"/>
        <w:ind w:left="360"/>
      </w:pPr>
      <w:r>
        <w:rPr>
          <w:rFonts w:ascii="Courier New" w:cs="Courier New" w:eastAsia="Courier New" w:hAnsi="Courier New"/>
          <w:color w:val="1B2A4A"/>
          <w:sz w:val="16"/>
          <w:szCs w:val="16"/>
        </w:rPr>
        <w:t xml:space="preserve">      "Philippines nickel and chromite are critical for stainless steel and battery supply chains — Philippines is the world's third-largest nickel producer creating significant supply chain opportunity."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"Indonesia MINERBA nickel regulation requires in-country processing — Indonesia's export ban on unprocessed nickel ore requires all nickel investment to include downstream processing commitment.",</w:t>
      </w:r>
    </w:p>
    <w:p>
      <w:pPr>
        <w:shd w:fill="F0F0F0" w:val="clear"/>
        <w:spacing w:after="14" w:before="14"/>
        <w:ind w:left="360"/>
      </w:pPr>
      <w:r>
        <w:rPr>
          <w:rFonts w:ascii="Courier New" w:cs="Courier New" w:eastAsia="Courier New" w:hAnsi="Courier New"/>
          <w:color w:val="1B2A4A"/>
          <w:sz w:val="16"/>
          <w:szCs w:val="16"/>
        </w:rPr>
        <w:t xml:space="preserve">      "Environmental standards for nickel processing in Indonesia are increasingly stringent — Walhi and civil society pressure on HPAL tailings management affecting project permitting and social licence.",</w:t>
      </w:r>
    </w:p>
    <w:p>
      <w:pPr>
        <w:shd w:fill="F0F0F0" w:val="clear"/>
        <w:spacing w:after="14" w:before="14"/>
        <w:ind w:left="360"/>
      </w:pPr>
      <w:r>
        <w:rPr>
          <w:rFonts w:ascii="Courier New" w:cs="Courier New" w:eastAsia="Courier New" w:hAnsi="Courier New"/>
          <w:color w:val="1B2A4A"/>
          <w:sz w:val="16"/>
          <w:szCs w:val="16"/>
        </w:rPr>
        <w:t xml:space="preserve">      "Vietnam rare earth regulation requires state enterprise partnership — VINACOMIN (Vietnam National Coal and Mineral Industries Group) state enterprise involvement is required for rare earth development.",</w:t>
      </w:r>
    </w:p>
    <w:p>
      <w:pPr>
        <w:shd w:fill="F0F0F0" w:val="clear"/>
        <w:spacing w:after="14" w:before="14"/>
        <w:ind w:left="360"/>
      </w:pPr>
      <w:r>
        <w:rPr>
          <w:rFonts w:ascii="Courier New" w:cs="Courier New" w:eastAsia="Courier New" w:hAnsi="Courier New"/>
          <w:color w:val="1B2A4A"/>
          <w:sz w:val="16"/>
          <w:szCs w:val="16"/>
        </w:rPr>
        <w:t xml:space="preserve">      "Philippines nickel investment requires DENR environmental compliance — Environmental Impact Assessment and Certificate of Non-Coverage requirements add significant timeline to Philippines mining investment."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"Southeast Asia critical mineral opportunity validation|You need to validate Indonesia nickel, Vietnam rare earth, and Philippines mineral project viability and regulatory pathway.",</w:t>
      </w:r>
    </w:p>
    <w:p>
      <w:pPr>
        <w:shd w:fill="F0F0F0" w:val="clear"/>
        <w:spacing w:after="14" w:before="14"/>
        <w:ind w:left="360"/>
      </w:pPr>
      <w:r>
        <w:rPr>
          <w:rFonts w:ascii="Courier New" w:cs="Courier New" w:eastAsia="Courier New" w:hAnsi="Courier New"/>
          <w:color w:val="1B2A4A"/>
          <w:sz w:val="16"/>
          <w:szCs w:val="16"/>
        </w:rPr>
        <w:t xml:space="preserve">      "MINERBA and Vietnam mining law regulatory pathway|You need to understand Indonesia nickel downstream requirements, Vietnam rare earth partnership structure, and Philippines DENR mining compliance.",</w:t>
      </w:r>
    </w:p>
    <w:p>
      <w:pPr>
        <w:shd w:fill="F0F0F0" w:val="clear"/>
        <w:spacing w:after="14" w:before="14"/>
        <w:ind w:left="360"/>
      </w:pPr>
      <w:r>
        <w:rPr>
          <w:rFonts w:ascii="Courier New" w:cs="Courier New" w:eastAsia="Courier New" w:hAnsi="Courier New"/>
          <w:color w:val="1B2A4A"/>
          <w:sz w:val="16"/>
          <w:szCs w:val="16"/>
        </w:rPr>
        <w:t xml:space="preserve">      "Southeast Asia critical mineral processing partner identification|You need Indonesia HPAL operators, Vietnam VINACOMIN partnership contacts, and Philippines nickel mine operator relationships.",</w:t>
      </w:r>
    </w:p>
    <w:p>
      <w:pPr>
        <w:shd w:fill="F0F0F0" w:val="clear"/>
        <w:spacing w:after="14" w:before="14"/>
        <w:ind w:left="360"/>
      </w:pPr>
      <w:r>
        <w:rPr>
          <w:rFonts w:ascii="Courier New" w:cs="Courier New" w:eastAsia="Courier New" w:hAnsi="Courier New"/>
          <w:color w:val="1B2A4A"/>
          <w:sz w:val="16"/>
          <w:szCs w:val="16"/>
        </w:rPr>
        <w:t xml:space="preserve">      "Southeast Asia critical mineral investment strategy|You need a project feasibility and investment structure covering Indonesia's downstream processing mandate and Vietnam's state enterprise requirements.",</w:t>
      </w:r>
    </w:p>
    <w:p>
      <w:pPr>
        <w:shd w:fill="F0F0F0" w:val="clear"/>
        <w:spacing w:after="14" w:before="14"/>
        <w:ind w:left="360"/>
      </w:pPr>
      <w:r>
        <w:rPr>
          <w:rFonts w:ascii="Courier New" w:cs="Courier New" w:eastAsia="Courier New" w:hAnsi="Courier New"/>
          <w:color w:val="1B2A4A"/>
          <w:sz w:val="16"/>
          <w:szCs w:val="16"/>
        </w:rPr>
        <w:t xml:space="preserve">      "Raising capital for Southeast Asia critical mineral investment|You need a pitch book grounded in ASEAN critical mineral market data and EV supply chain diversification narrative.",</w:t>
      </w:r>
    </w:p>
    <w:p>
      <w:pPr>
        <w:shd w:fill="F0F0F0" w:val="clear"/>
        <w:spacing w:after="14" w:before="14"/>
        <w:ind w:left="360"/>
      </w:pPr>
      <w:r>
        <w:rPr>
          <w:rFonts w:ascii="Courier New" w:cs="Courier New" w:eastAsia="Courier New" w:hAnsi="Courier New"/>
          <w:color w:val="1B2A4A"/>
          <w:sz w:val="16"/>
          <w:szCs w:val="16"/>
        </w:rPr>
        <w:t xml:space="preserve">      "Environmental and social compliance strategy|You need an ESG compliance architecture for HPAL tailings management and community development requirements."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Southeast Asian critical mineral project viability with MINERBA regulatory mapping and processing partner research.",</w:t>
      </w:r>
    </w:p>
    <w:p>
      <w:pPr>
        <w:shd w:fill="F0F0F0" w:val="clear"/>
        <w:spacing w:after="14" w:before="14"/>
        <w:ind w:left="360"/>
      </w:pPr>
      <w:r>
        <w:rPr>
          <w:rFonts w:ascii="Courier New" w:cs="Courier New" w:eastAsia="Courier New" w:hAnsi="Courier New"/>
          <w:color w:val="1B2A4A"/>
          <w:sz w:val="16"/>
          <w:szCs w:val="16"/>
        </w:rPr>
        <w:t xml:space="preserve">      "Full financial feasibility for Southeast Asia critical mineral investment covering downstream processing cost and EV offtake economics.",</w:t>
      </w:r>
    </w:p>
    <w:p>
      <w:pPr>
        <w:shd w:fill="F0F0F0" w:val="clear"/>
        <w:spacing w:after="14" w:before="14"/>
        <w:ind w:left="360"/>
      </w:pPr>
      <w:r>
        <w:rPr>
          <w:rFonts w:ascii="Courier New" w:cs="Courier New" w:eastAsia="Courier New" w:hAnsi="Courier New"/>
          <w:color w:val="1B2A4A"/>
          <w:sz w:val="16"/>
          <w:szCs w:val="16"/>
        </w:rPr>
        <w:t xml:space="preserve">      "End-to-end Southeast Asia critical mineral market entry including regulatory pathway, processing partner identification, and first-offtake-agreement milestone.",</w:t>
      </w:r>
    </w:p>
    <w:p>
      <w:pPr>
        <w:shd w:fill="F0F0F0" w:val="clear"/>
        <w:spacing w:after="14" w:before="14"/>
        <w:ind w:left="360"/>
      </w:pPr>
      <w:r>
        <w:rPr>
          <w:rFonts w:ascii="Courier New" w:cs="Courier New" w:eastAsia="Courier New" w:hAnsi="Courier New"/>
          <w:color w:val="1B2A4A"/>
          <w:sz w:val="16"/>
          <w:szCs w:val="16"/>
        </w:rPr>
        <w:t xml:space="preserve">      "Embedded Southeast Asia critical mineral GTM team covering government mining agency and DFI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Southeast Asia critical mineral investment with EV supply chain diversification and Indonesia nickel narrative.",</w:t>
      </w:r>
    </w:p>
    <w:p>
      <w:pPr>
        <w:shd w:fill="F0F0F0" w:val="clear"/>
        <w:spacing w:after="14" w:before="14"/>
        <w:ind w:left="360"/>
      </w:pPr>
      <w:r>
        <w:rPr>
          <w:rFonts w:ascii="Courier New" w:cs="Courier New" w:eastAsia="Courier New" w:hAnsi="Courier New"/>
          <w:color w:val="1B2A4A"/>
          <w:sz w:val="16"/>
          <w:szCs w:val="16"/>
        </w:rPr>
        <w:t xml:space="preserve">      "Environmental and social compliance strategy — from HPAL tailings management to Indonesia community development requirements."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nickel companies or also with rare earth, chromite, and bauxite companies in Southeast Asia?|All critical mineral categories.",</w:t>
      </w:r>
    </w:p>
    <w:p>
      <w:pPr>
        <w:shd w:fill="F0F0F0" w:val="clear"/>
        <w:spacing w:after="14" w:before="14"/>
        <w:ind w:left="360"/>
      </w:pPr>
      <w:r>
        <w:rPr>
          <w:rFonts w:ascii="Courier New" w:cs="Courier New" w:eastAsia="Courier New" w:hAnsi="Courier New"/>
          <w:color w:val="1B2A4A"/>
          <w:sz w:val="16"/>
          <w:szCs w:val="16"/>
        </w:rPr>
        <w:t xml:space="preserve">      "Which Southeast Asian critical mineral markets does GreyRadius prioritise?|Indonesia for nickel; Vietnam for rare earths; Philippines for nickel and chromite.",</w:t>
      </w:r>
    </w:p>
    <w:p>
      <w:pPr>
        <w:shd w:fill="F0F0F0" w:val="clear"/>
        <w:spacing w:after="14" w:before="14"/>
        <w:ind w:left="360"/>
      </w:pPr>
      <w:r>
        <w:rPr>
          <w:rFonts w:ascii="Courier New" w:cs="Courier New" w:eastAsia="Courier New" w:hAnsi="Courier New"/>
          <w:color w:val="1B2A4A"/>
          <w:sz w:val="16"/>
          <w:szCs w:val="16"/>
        </w:rPr>
        <w:t xml:space="preserve">      "How long does a Southeast Asia critical mineral engagement take?|Typically 10-14 weeks for project validation, regulatory mapping, and processing partner identification.",</w:t>
      </w:r>
    </w:p>
    <w:p>
      <w:pPr>
        <w:shd w:fill="F0F0F0" w:val="clear"/>
        <w:spacing w:after="14" w:before="14"/>
        <w:ind w:left="360"/>
      </w:pPr>
      <w:r>
        <w:rPr>
          <w:rFonts w:ascii="Courier New" w:cs="Courier New" w:eastAsia="Courier New" w:hAnsi="Courier New"/>
          <w:color w:val="1B2A4A"/>
          <w:sz w:val="16"/>
          <w:szCs w:val="16"/>
        </w:rPr>
        <w:t xml:space="preserve">      "What does Indonesia's nickel export ban mean for investment strategy?|All Indonesia nickel investment must include downstream processing — we develop compliant downstream processing partnership structures in every engagement."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"Southeast Asia critical minerals market entry, Indonesia nickel GTM strategy, Vietnam rare earth consulting, Philippines nickel advisory, ASEAN critical mineral market entry",</w:t>
      </w:r>
    </w:p>
    <w:p>
      <w:pPr>
        <w:shd w:fill="F0F0F0" w:val="clear"/>
        <w:spacing w:after="14" w:before="14"/>
        <w:ind w:left="360"/>
      </w:pPr>
      <w:r>
        <w:rPr>
          <w:rFonts w:ascii="Courier New" w:cs="Courier New" w:eastAsia="Courier New" w:hAnsi="Courier New"/>
          <w:color w:val="1B2A4A"/>
          <w:sz w:val="16"/>
          <w:szCs w:val="16"/>
        </w:rPr>
        <w:t xml:space="preserve">    "regions": "Indonesia — Sulawesi and Maluku nickel processing zones; Vietnam — Lai Chau and Lao Cai rare earth deposits; Philippines — Palawan and Surigao nickel",</w:t>
      </w:r>
    </w:p>
    <w:p>
      <w:pPr>
        <w:shd w:fill="F0F0F0" w:val="clear"/>
        <w:spacing w:after="14" w:before="14"/>
        <w:ind w:left="360"/>
      </w:pPr>
      <w:r>
        <w:rPr>
          <w:rFonts w:ascii="Courier New" w:cs="Courier New" w:eastAsia="Courier New" w:hAnsi="Courier New"/>
          <w:color w:val="1B2A4A"/>
          <w:sz w:val="16"/>
          <w:szCs w:val="16"/>
        </w:rPr>
        <w:t xml:space="preserve">    "stat1n": "22M",</w:t>
      </w:r>
    </w:p>
    <w:p>
      <w:pPr>
        <w:shd w:fill="F0F0F0" w:val="clear"/>
        <w:spacing w:after="14" w:before="14"/>
        <w:ind w:left="360"/>
      </w:pPr>
      <w:r>
        <w:rPr>
          <w:rFonts w:ascii="Courier New" w:cs="Courier New" w:eastAsia="Courier New" w:hAnsi="Courier New"/>
          <w:color w:val="1B2A4A"/>
          <w:sz w:val="16"/>
          <w:szCs w:val="16"/>
        </w:rPr>
        <w:t xml:space="preserve">    "stat1l": "Tonne Vietnam rare earth reserve",</w:t>
      </w:r>
    </w:p>
    <w:p>
      <w:pPr>
        <w:shd w:fill="F0F0F0" w:val="clear"/>
        <w:spacing w:after="14" w:before="14"/>
        <w:ind w:left="360"/>
      </w:pPr>
      <w:r>
        <w:rPr>
          <w:rFonts w:ascii="Courier New" w:cs="Courier New" w:eastAsia="Courier New" w:hAnsi="Courier New"/>
          <w:color w:val="1B2A4A"/>
          <w:sz w:val="16"/>
          <w:szCs w:val="16"/>
        </w:rPr>
        <w:t xml:space="preserve">    "stat1b": "Vietnam's second-largest global rare earth deposit creating extraordinary partnership opportunity for international rare earth processing companies.",</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Southeast Asia critical mineral mandate",</w:t>
      </w:r>
    </w:p>
    <w:p>
      <w:pPr>
        <w:shd w:fill="F0F0F0" w:val="clear"/>
        <w:spacing w:after="14" w:before="14"/>
        <w:ind w:left="360"/>
      </w:pPr>
      <w:r>
        <w:rPr>
          <w:rFonts w:ascii="Courier New" w:cs="Courier New" w:eastAsia="Courier New" w:hAnsi="Courier New"/>
          <w:color w:val="1B2A4A"/>
          <w:sz w:val="16"/>
          <w:szCs w:val="16"/>
        </w:rPr>
        <w:t xml:space="preserve">    "stat2b": "MINERBA officials, VINACOMIN contacts, and mining company executives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"10 weeks",</w:t>
      </w:r>
    </w:p>
    <w:p>
      <w:pPr>
        <w:shd w:fill="F0F0F0" w:val="clear"/>
        <w:spacing w:after="14" w:before="14"/>
        <w:ind w:left="360"/>
      </w:pPr>
      <w:r>
        <w:rPr>
          <w:rFonts w:ascii="Courier New" w:cs="Courier New" w:eastAsia="Courier New" w:hAnsi="Courier New"/>
          <w:color w:val="1B2A4A"/>
          <w:sz w:val="16"/>
          <w:szCs w:val="16"/>
        </w:rPr>
        <w:t xml:space="preserve">    "stat3l": "Southeast Asia critical mineral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MINERBA regulatory mapping and processing partner research delivers Southeast Asia critical mineral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"india-residential-development",</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"residential-development",</w:t>
      </w:r>
    </w:p>
    <w:p>
      <w:pPr>
        <w:shd w:fill="F0F0F0" w:val="clear"/>
        <w:spacing w:after="14" w:before="14"/>
        <w:ind w:left="360"/>
      </w:pPr>
      <w:r>
        <w:rPr>
          <w:rFonts w:ascii="Courier New" w:cs="Courier New" w:eastAsia="Courier New" w:hAnsi="Courier New"/>
          <w:color w:val="1B2A4A"/>
          <w:sz w:val="16"/>
          <w:szCs w:val="16"/>
        </w:rPr>
        <w:t xml:space="preserve">    "title": "India Residential Real Estate Market Entry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international residential developers enter India with market entry strategy, RERA regulatory mapping, land partner identification, and demand validation across India's fastest-growing urban markets.",</w:t>
      </w:r>
    </w:p>
    <w:p>
      <w:pPr>
        <w:shd w:fill="F0F0F0" w:val="clear"/>
        <w:spacing w:after="14" w:before="14"/>
        <w:ind w:left="360"/>
      </w:pPr>
      <w:r>
        <w:rPr>
          <w:rFonts w:ascii="Courier New" w:cs="Courier New" w:eastAsia="Courier New" w:hAnsi="Courier New"/>
          <w:color w:val="1B2A4A"/>
          <w:sz w:val="16"/>
          <w:szCs w:val="16"/>
        </w:rPr>
        <w:t xml:space="preserve">    "h1": "India residential development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international real estate developer to Indian housing market — strategy for residential developers entering India.",</w:t>
      </w:r>
    </w:p>
    <w:p>
      <w:pPr>
        <w:shd w:fill="F0F0F0" w:val="clear"/>
        <w:spacing w:after="14" w:before="14"/>
        <w:ind w:left="360"/>
      </w:pPr>
      <w:r>
        <w:rPr>
          <w:rFonts w:ascii="Courier New" w:cs="Courier New" w:eastAsia="Courier New" w:hAnsi="Courier New"/>
          <w:color w:val="1B2A4A"/>
          <w:sz w:val="16"/>
          <w:szCs w:val="16"/>
        </w:rPr>
        <w:t xml:space="preserve">    "hero": "India's residential real estate market is the world's most active — with 4 million+ units delivered annually, Pradhan Mantri Awas Yojana creating affordable housing demand at historic scale, India's rapid urbanisation creating sustained housing demand across metro and Tier 2 cities, and premium residential demand growing as India's upper-middle class expands. International residential developers, real estate funds, and proptech companies are all evaluating India as a residential real estate market. GreyRadius helps developers validate Indian housing demand, navigate RERA and regulatory requirements, identify land and development partners, and execute market entry.",</w:t>
      </w:r>
    </w:p>
    <w:p>
      <w:pPr>
        <w:shd w:fill="F0F0F0" w:val="clear"/>
        <w:spacing w:after="14" w:before="14"/>
        <w:ind w:left="360"/>
      </w:pPr>
      <w:r>
        <w:rPr>
          <w:rFonts w:ascii="Courier New" w:cs="Courier New" w:eastAsia="Courier New" w:hAnsi="Courier New"/>
          <w:color w:val="1B2A4A"/>
          <w:sz w:val="16"/>
          <w:szCs w:val="16"/>
        </w:rPr>
        <w:t xml:space="preserve">    "market_timing": "India's RERA (Real Estate Regulation and Development Act) has transformed the residential market's investor confidence — mandatory project registration, escrow accounts, and delivery timeline disclosure have dramatically reduced the project delivery risk that previously deterred international developer investment. RERA-compliant developments now command premium pricing and buyer preference creating entry conditions that were not present before 2017.",</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"India's residential real estate market is projected to reach $650B by 2030 — growing at 15% annually as urbanisation, income growth, and mortgage market development all drive housing demand.",</w:t>
      </w:r>
    </w:p>
    <w:p>
      <w:pPr>
        <w:shd w:fill="F0F0F0" w:val="clear"/>
        <w:spacing w:after="14" w:before="14"/>
        <w:ind w:left="360"/>
      </w:pPr>
      <w:r>
        <w:rPr>
          <w:rFonts w:ascii="Courier New" w:cs="Courier New" w:eastAsia="Courier New" w:hAnsi="Courier New"/>
          <w:color w:val="1B2A4A"/>
          <w:sz w:val="16"/>
          <w:szCs w:val="16"/>
        </w:rPr>
        <w:t xml:space="preserve">      "India's affordable housing segment has 10 million unit shortage — PMAY subsidy programme creating government-supported demand for affordable housing that international developers can access through PMAY-linked project structures.",</w:t>
      </w:r>
    </w:p>
    <w:p>
      <w:pPr>
        <w:shd w:fill="F0F0F0" w:val="clear"/>
        <w:spacing w:after="14" w:before="14"/>
        <w:ind w:left="360"/>
      </w:pPr>
      <w:r>
        <w:rPr>
          <w:rFonts w:ascii="Courier New" w:cs="Courier New" w:eastAsia="Courier New" w:hAnsi="Courier New"/>
          <w:color w:val="1B2A4A"/>
          <w:sz w:val="16"/>
          <w:szCs w:val="16"/>
        </w:rPr>
        <w:t xml:space="preserve">      "Premium and luxury residential in India is growing at 25% annually — India's growing upper-middle class and HNI population creating sustained demand for premium residential projects in metro and Tier 1 cities.",</w:t>
      </w:r>
    </w:p>
    <w:p>
      <w:pPr>
        <w:shd w:fill="F0F0F0" w:val="clear"/>
        <w:spacing w:after="14" w:before="14"/>
        <w:ind w:left="360"/>
      </w:pPr>
      <w:r>
        <w:rPr>
          <w:rFonts w:ascii="Courier New" w:cs="Courier New" w:eastAsia="Courier New" w:hAnsi="Courier New"/>
          <w:color w:val="1B2A4A"/>
          <w:sz w:val="16"/>
          <w:szCs w:val="16"/>
        </w:rPr>
        <w:t xml:space="preserve">      "India's co-living and managed residential sector is growing rapidly — working professional demand for managed accommodation creating new residential asset class opportunity across Bengaluru, Hyderabad, and Pune."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"RERA registration is mandatory and state-specific — each Indian state has its own RERA authority with different registration processes and compliance requirements creating multi-state regulatory complexity.",</w:t>
      </w:r>
    </w:p>
    <w:p>
      <w:pPr>
        <w:shd w:fill="F0F0F0" w:val="clear"/>
        <w:spacing w:after="14" w:before="14"/>
        <w:ind w:left="360"/>
      </w:pPr>
      <w:r>
        <w:rPr>
          <w:rFonts w:ascii="Courier New" w:cs="Courier New" w:eastAsia="Courier New" w:hAnsi="Courier New"/>
          <w:color w:val="1B2A4A"/>
          <w:sz w:val="16"/>
          <w:szCs w:val="16"/>
        </w:rPr>
        <w:t xml:space="preserve">      "Land acquisition in India requires extensive due diligence — title ambiguity, agricultural land conversion requirements, and development control regulation all require specialist legal and regulatory navigation.",</w:t>
      </w:r>
    </w:p>
    <w:p>
      <w:pPr>
        <w:shd w:fill="F0F0F0" w:val="clear"/>
        <w:spacing w:after="14" w:before="14"/>
        <w:ind w:left="360"/>
      </w:pPr>
      <w:r>
        <w:rPr>
          <w:rFonts w:ascii="Courier New" w:cs="Courier New" w:eastAsia="Courier New" w:hAnsi="Courier New"/>
          <w:color w:val="1B2A4A"/>
          <w:sz w:val="16"/>
          <w:szCs w:val="16"/>
        </w:rPr>
        <w:t xml:space="preserve">      "Local developer partnership is often required — land ownership, regulatory relationships, and local government approvals all benefit from experienced Indian developer co-developer partnership.",</w:t>
      </w:r>
    </w:p>
    <w:p>
      <w:pPr>
        <w:shd w:fill="F0F0F0" w:val="clear"/>
        <w:spacing w:after="14" w:before="14"/>
        <w:ind w:left="360"/>
      </w:pPr>
      <w:r>
        <w:rPr>
          <w:rFonts w:ascii="Courier New" w:cs="Courier New" w:eastAsia="Courier New" w:hAnsi="Courier New"/>
          <w:color w:val="1B2A4A"/>
          <w:sz w:val="16"/>
          <w:szCs w:val="16"/>
        </w:rPr>
        <w:t xml:space="preserve">      "Construction cost management requires India-specific expertise — material costs, contractor management, and timeline discipline in Indian construction markets require on-ground project management capability."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"India residential demand validation|You need to validate residential buyer demand in your target Indian cities including segment, price point, and product specification preference.",</w:t>
      </w:r>
    </w:p>
    <w:p>
      <w:pPr>
        <w:shd w:fill="F0F0F0" w:val="clear"/>
        <w:spacing w:after="14" w:before="14"/>
        <w:ind w:left="360"/>
      </w:pPr>
      <w:r>
        <w:rPr>
          <w:rFonts w:ascii="Courier New" w:cs="Courier New" w:eastAsia="Courier New" w:hAnsi="Courier New"/>
          <w:color w:val="1B2A4A"/>
          <w:sz w:val="16"/>
          <w:szCs w:val="16"/>
        </w:rPr>
        <w:t xml:space="preserve">      "RERA and regulatory pathway|You need to understand state RERA registration, master plan compliance, environmental clearance, and development control regulation requirements.",</w:t>
      </w:r>
    </w:p>
    <w:p>
      <w:pPr>
        <w:shd w:fill="F0F0F0" w:val="clear"/>
        <w:spacing w:after="14" w:before="14"/>
        <w:ind w:left="360"/>
      </w:pPr>
      <w:r>
        <w:rPr>
          <w:rFonts w:ascii="Courier New" w:cs="Courier New" w:eastAsia="Courier New" w:hAnsi="Courier New"/>
          <w:color w:val="1B2A4A"/>
          <w:sz w:val="16"/>
          <w:szCs w:val="16"/>
        </w:rPr>
        <w:t xml:space="preserve">      "India residential land and developer partner identification|You need Indian land banking companies, established developers for co-development partnerships, and RERA-compliant project structures.",</w:t>
      </w:r>
    </w:p>
    <w:p>
      <w:pPr>
        <w:shd w:fill="F0F0F0" w:val="clear"/>
        <w:spacing w:after="14" w:before="14"/>
        <w:ind w:left="360"/>
      </w:pPr>
      <w:r>
        <w:rPr>
          <w:rFonts w:ascii="Courier New" w:cs="Courier New" w:eastAsia="Courier New" w:hAnsi="Courier New"/>
          <w:color w:val="1B2A4A"/>
          <w:sz w:val="16"/>
          <w:szCs w:val="16"/>
        </w:rPr>
        <w:t xml:space="preserve">      "India residential GTM strategy|You need a city-selection, segment-targeting, and project positioning strategy for India residential market entry.",</w:t>
      </w:r>
    </w:p>
    <w:p>
      <w:pPr>
        <w:shd w:fill="F0F0F0" w:val="clear"/>
        <w:spacing w:after="14" w:before="14"/>
        <w:ind w:left="360"/>
      </w:pPr>
      <w:r>
        <w:rPr>
          <w:rFonts w:ascii="Courier New" w:cs="Courier New" w:eastAsia="Courier New" w:hAnsi="Courier New"/>
          <w:color w:val="1B2A4A"/>
          <w:sz w:val="16"/>
          <w:szCs w:val="16"/>
        </w:rPr>
        <w:t xml:space="preserve">      "Raising capital for India residential investment|You need a pitch book grounded in India residential market data, RERA regulatory framework, and investor return analysis.",</w:t>
      </w:r>
    </w:p>
    <w:p>
      <w:pPr>
        <w:shd w:fill="F0F0F0" w:val="clear"/>
        <w:spacing w:after="14" w:before="14"/>
        <w:ind w:left="360"/>
      </w:pPr>
      <w:r>
        <w:rPr>
          <w:rFonts w:ascii="Courier New" w:cs="Courier New" w:eastAsia="Courier New" w:hAnsi="Courier New"/>
          <w:color w:val="1B2A4A"/>
          <w:sz w:val="16"/>
          <w:szCs w:val="16"/>
        </w:rPr>
        <w:t xml:space="preserve">      "Project feasibility and financial model|You need a city-specific project feasibility covering land cost, construction cost, RERA compliance, and residential sales absorption."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Indian residential buyer demand with homebuyer interviews and RERA regulatory mapping.",</w:t>
      </w:r>
    </w:p>
    <w:p>
      <w:pPr>
        <w:shd w:fill="F0F0F0" w:val="clear"/>
        <w:spacing w:after="14" w:before="14"/>
        <w:ind w:left="360"/>
      </w:pPr>
      <w:r>
        <w:rPr>
          <w:rFonts w:ascii="Courier New" w:cs="Courier New" w:eastAsia="Courier New" w:hAnsi="Courier New"/>
          <w:color w:val="1B2A4A"/>
          <w:sz w:val="16"/>
          <w:szCs w:val="16"/>
        </w:rPr>
        <w:t xml:space="preserve">      "Full financial feasibility for India residential investment covering land cost, RERA compliance, and sales absorption economics.",</w:t>
      </w:r>
    </w:p>
    <w:p>
      <w:pPr>
        <w:shd w:fill="F0F0F0" w:val="clear"/>
        <w:spacing w:after="14" w:before="14"/>
        <w:ind w:left="360"/>
      </w:pPr>
      <w:r>
        <w:rPr>
          <w:rFonts w:ascii="Courier New" w:cs="Courier New" w:eastAsia="Courier New" w:hAnsi="Courier New"/>
          <w:color w:val="1B2A4A"/>
          <w:sz w:val="16"/>
          <w:szCs w:val="16"/>
        </w:rPr>
        <w:t xml:space="preserve">      "End-to-end India residential market entry including RERA pathway, land partner identification, and first-project-launch milestone.",</w:t>
      </w:r>
    </w:p>
    <w:p>
      <w:pPr>
        <w:shd w:fill="F0F0F0" w:val="clear"/>
        <w:spacing w:after="14" w:before="14"/>
        <w:ind w:left="360"/>
      </w:pPr>
      <w:r>
        <w:rPr>
          <w:rFonts w:ascii="Courier New" w:cs="Courier New" w:eastAsia="Courier New" w:hAnsi="Courier New"/>
          <w:color w:val="1B2A4A"/>
          <w:sz w:val="16"/>
          <w:szCs w:val="16"/>
        </w:rPr>
        <w:t xml:space="preserve">      "Embedded India residential GTM team covering homebuyer acquisition and developer partner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India residential investment with urbanisation and RERA regulatory improvement narrative.",</w:t>
      </w:r>
    </w:p>
    <w:p>
      <w:pPr>
        <w:shd w:fill="F0F0F0" w:val="clear"/>
        <w:spacing w:after="14" w:before="14"/>
        <w:ind w:left="360"/>
      </w:pPr>
      <w:r>
        <w:rPr>
          <w:rFonts w:ascii="Courier New" w:cs="Courier New" w:eastAsia="Courier New" w:hAnsi="Courier New"/>
          <w:color w:val="1B2A4A"/>
          <w:sz w:val="16"/>
          <w:szCs w:val="16"/>
        </w:rPr>
        <w:t xml:space="preserve">      "AI use-case identification — from AI-powered India residential buyer preference prediction to RERA compliance documentation automation."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residential developers or also with real estate funds, affordable housing companies, and co-living operators entering India?|All residential real estate categories.",</w:t>
      </w:r>
    </w:p>
    <w:p>
      <w:pPr>
        <w:shd w:fill="F0F0F0" w:val="clear"/>
        <w:spacing w:after="14" w:before="14"/>
        <w:ind w:left="360"/>
      </w:pPr>
      <w:r>
        <w:rPr>
          <w:rFonts w:ascii="Courier New" w:cs="Courier New" w:eastAsia="Courier New" w:hAnsi="Courier New"/>
          <w:color w:val="1B2A4A"/>
          <w:sz w:val="16"/>
          <w:szCs w:val="16"/>
        </w:rPr>
        <w:t xml:space="preserve">      "Which Indian residential markets does GreyRadius prioritise?|Bengaluru, Hyderabad, and Pune for premium residential demand growth; Mumbai and Delhi NCR for established premium residential; Tier 2 cities for PMAY affordable housing.",</w:t>
      </w:r>
    </w:p>
    <w:p>
      <w:pPr>
        <w:shd w:fill="F0F0F0" w:val="clear"/>
        <w:spacing w:after="14" w:before="14"/>
        <w:ind w:left="360"/>
      </w:pPr>
      <w:r>
        <w:rPr>
          <w:rFonts w:ascii="Courier New" w:cs="Courier New" w:eastAsia="Courier New" w:hAnsi="Courier New"/>
          <w:color w:val="1B2A4A"/>
          <w:sz w:val="16"/>
          <w:szCs w:val="16"/>
        </w:rPr>
        <w:t xml:space="preserve">      "How long does an India residential development engagement take?|Typically 10-14 weeks for buyer demand research, RERA regulatory mapping, and land partner identification.",</w:t>
      </w:r>
    </w:p>
    <w:p>
      <w:pPr>
        <w:shd w:fill="F0F0F0" w:val="clear"/>
        <w:spacing w:after="14" w:before="14"/>
        <w:ind w:left="360"/>
      </w:pPr>
      <w:r>
        <w:rPr>
          <w:rFonts w:ascii="Courier New" w:cs="Courier New" w:eastAsia="Courier New" w:hAnsi="Courier New"/>
          <w:color w:val="1B2A4A"/>
          <w:sz w:val="16"/>
          <w:szCs w:val="16"/>
        </w:rPr>
        <w:t xml:space="preserve">      "What is the role of RERA in India residential market entry strategy?|RERA compliance is now a competitive advantage — buyers prefer RERA-registered projects and RERA escrow creates investor confidence."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"India residential development market entry, RERA regulatory consulting, India housing market GTM strategy, India real estate advisory, India residential property market entry",</w:t>
      </w:r>
    </w:p>
    <w:p>
      <w:pPr>
        <w:shd w:fill="F0F0F0" w:val="clear"/>
        <w:spacing w:after="14" w:before="14"/>
        <w:ind w:left="360"/>
      </w:pPr>
      <w:r>
        <w:rPr>
          <w:rFonts w:ascii="Courier New" w:cs="Courier New" w:eastAsia="Courier New" w:hAnsi="Courier New"/>
          <w:color w:val="1B2A4A"/>
          <w:sz w:val="16"/>
          <w:szCs w:val="16"/>
        </w:rPr>
        <w:t xml:space="preserve">    "regions": "India — Bengaluru, Hyderabad, Pune premium residential; Mumbai and Delhi NCR established metro; Ahmedabad, Surat, Kochi fast-growing Tier 2 residential markets",</w:t>
      </w:r>
    </w:p>
    <w:p>
      <w:pPr>
        <w:shd w:fill="F0F0F0" w:val="clear"/>
        <w:spacing w:after="14" w:before="14"/>
        <w:ind w:left="360"/>
      </w:pPr>
      <w:r>
        <w:rPr>
          <w:rFonts w:ascii="Courier New" w:cs="Courier New" w:eastAsia="Courier New" w:hAnsi="Courier New"/>
          <w:color w:val="1B2A4A"/>
          <w:sz w:val="16"/>
          <w:szCs w:val="16"/>
        </w:rPr>
        <w:t xml:space="preserve">    "stat1n": "$650B",</w:t>
      </w:r>
    </w:p>
    <w:p>
      <w:pPr>
        <w:shd w:fill="F0F0F0" w:val="clear"/>
        <w:spacing w:after="14" w:before="14"/>
        <w:ind w:left="360"/>
      </w:pPr>
      <w:r>
        <w:rPr>
          <w:rFonts w:ascii="Courier New" w:cs="Courier New" w:eastAsia="Courier New" w:hAnsi="Courier New"/>
          <w:color w:val="1B2A4A"/>
          <w:sz w:val="16"/>
          <w:szCs w:val="16"/>
        </w:rPr>
        <w:t xml:space="preserve">    "stat1l": "India residential real estate market by 2030",</w:t>
      </w:r>
    </w:p>
    <w:p>
      <w:pPr>
        <w:shd w:fill="F0F0F0" w:val="clear"/>
        <w:spacing w:after="14" w:before="14"/>
        <w:ind w:left="360"/>
      </w:pPr>
      <w:r>
        <w:rPr>
          <w:rFonts w:ascii="Courier New" w:cs="Courier New" w:eastAsia="Courier New" w:hAnsi="Courier New"/>
          <w:color w:val="1B2A4A"/>
          <w:sz w:val="16"/>
          <w:szCs w:val="16"/>
        </w:rPr>
        <w:t xml:space="preserve">    "stat1b": "Urbanisation, income growth, and mortgage market development driving 15% annual residential market growth.",</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India residential mandate",</w:t>
      </w:r>
    </w:p>
    <w:p>
      <w:pPr>
        <w:shd w:fill="F0F0F0" w:val="clear"/>
        <w:spacing w:after="14" w:before="14"/>
        <w:ind w:left="360"/>
      </w:pPr>
      <w:r>
        <w:rPr>
          <w:rFonts w:ascii="Courier New" w:cs="Courier New" w:eastAsia="Courier New" w:hAnsi="Courier New"/>
          <w:color w:val="1B2A4A"/>
          <w:sz w:val="16"/>
          <w:szCs w:val="16"/>
        </w:rPr>
        <w:t xml:space="preserve">    "stat2b": "Indian homebuyers, developers, and RERA officials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"10 weeks",</w:t>
      </w:r>
    </w:p>
    <w:p>
      <w:pPr>
        <w:shd w:fill="F0F0F0" w:val="clear"/>
        <w:spacing w:after="14" w:before="14"/>
        <w:ind w:left="360"/>
      </w:pPr>
      <w:r>
        <w:rPr>
          <w:rFonts w:ascii="Courier New" w:cs="Courier New" w:eastAsia="Courier New" w:hAnsi="Courier New"/>
          <w:color w:val="1B2A4A"/>
          <w:sz w:val="16"/>
          <w:szCs w:val="16"/>
        </w:rPr>
        <w:t xml:space="preserve">    "stat3l": "India residential development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RERA regulatory mapping and buyer demand research delivers India residential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"gulf-residential-development",</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"residential-development",</w:t>
      </w:r>
    </w:p>
    <w:p>
      <w:pPr>
        <w:shd w:fill="F0F0F0" w:val="clear"/>
        <w:spacing w:after="14" w:before="14"/>
        <w:ind w:left="360"/>
      </w:pPr>
      <w:r>
        <w:rPr>
          <w:rFonts w:ascii="Courier New" w:cs="Courier New" w:eastAsia="Courier New" w:hAnsi="Courier New"/>
          <w:color w:val="1B2A4A"/>
          <w:sz w:val="16"/>
          <w:szCs w:val="16"/>
        </w:rPr>
        <w:t xml:space="preserve">    "title": "Gulf Residential Real Estate Market Entry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international residential developers enter Gulf markets with RERA Dubai and Abu Dhabi regulatory mapping, investor demand research, and development partner identification.",</w:t>
      </w:r>
    </w:p>
    <w:p>
      <w:pPr>
        <w:shd w:fill="F0F0F0" w:val="clear"/>
        <w:spacing w:after="14" w:before="14"/>
        <w:ind w:left="360"/>
      </w:pPr>
      <w:r>
        <w:rPr>
          <w:rFonts w:ascii="Courier New" w:cs="Courier New" w:eastAsia="Courier New" w:hAnsi="Courier New"/>
          <w:color w:val="1B2A4A"/>
          <w:sz w:val="16"/>
          <w:szCs w:val="16"/>
        </w:rPr>
        <w:t xml:space="preserve">    "h1": "Gulf residential development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international real estate developer to Gulf residential market — strategy for residential developers entering the GCC.",</w:t>
      </w:r>
    </w:p>
    <w:p>
      <w:pPr>
        <w:shd w:fill="F0F0F0" w:val="clear"/>
        <w:spacing w:after="14" w:before="14"/>
        <w:ind w:left="360"/>
      </w:pPr>
      <w:r>
        <w:rPr>
          <w:rFonts w:ascii="Courier New" w:cs="Courier New" w:eastAsia="Courier New" w:hAnsi="Courier New"/>
          <w:color w:val="1B2A4A"/>
          <w:sz w:val="16"/>
          <w:szCs w:val="16"/>
        </w:rPr>
        <w:t xml:space="preserve">    "hero": "The Gulf's residential real estate market is at a historic investment peak — with Dubai delivering 70,000+ residential units annually, Abu Dhabi's residential market growing rapidly, Saudi Arabia's Vision 2030 housing programme creating 1.5 million unit demand over ten years, and Gulf residential prices continuing to attract international buyers and investors. International residential developers, real estate funds, and branded residential operators are all evaluating Gulf market entry. GreyRadius helps developers validate Gulf buyer demand, navigate RERA Dubai, Abu Dhabi ADRE, and Saudi REGA regulatory requirements, identify joint venture partners, and execute market entry.",</w:t>
      </w:r>
    </w:p>
    <w:p>
      <w:pPr>
        <w:shd w:fill="F0F0F0" w:val="clear"/>
        <w:spacing w:after="14" w:before="14"/>
        <w:ind w:left="360"/>
      </w:pPr>
      <w:r>
        <w:rPr>
          <w:rFonts w:ascii="Courier New" w:cs="Courier New" w:eastAsia="Courier New" w:hAnsi="Courier New"/>
          <w:color w:val="1B2A4A"/>
          <w:sz w:val="16"/>
          <w:szCs w:val="16"/>
        </w:rPr>
        <w:t xml:space="preserve">    "market_timing": "Saudi Arabia's NHC (National Housing Company) is the world's most active government residential developer — creating joint venture and co-development opportunities for international developers at a scale that no other market offers. The international developers establishing NHC joint venture relationships in 2024-2027 will participate in the largest residential development programme in Gulf history.",</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"Gulf residential market is projected to reach $200B by 2030 — Dubai alone delivering 70,000+ units annually with sustained international buyer demand from Russia, India, China, and Europe.",</w:t>
      </w:r>
    </w:p>
    <w:p>
      <w:pPr>
        <w:shd w:fill="F0F0F0" w:val="clear"/>
        <w:spacing w:after="14" w:before="14"/>
        <w:ind w:left="360"/>
      </w:pPr>
      <w:r>
        <w:rPr>
          <w:rFonts w:ascii="Courier New" w:cs="Courier New" w:eastAsia="Courier New" w:hAnsi="Courier New"/>
          <w:color w:val="1B2A4A"/>
          <w:sz w:val="16"/>
          <w:szCs w:val="16"/>
        </w:rPr>
        <w:t xml:space="preserve">      "Saudi Arabia's Vision 2030 housing programme is the world's most ambitious residential delivery commitment — 1.5 million units targeting 70% homeownership rate creating NHC joint venture demand for international developers.",</w:t>
      </w:r>
    </w:p>
    <w:p>
      <w:pPr>
        <w:shd w:fill="F0F0F0" w:val="clear"/>
        <w:spacing w:after="14" w:before="14"/>
        <w:ind w:left="360"/>
      </w:pPr>
      <w:r>
        <w:rPr>
          <w:rFonts w:ascii="Courier New" w:cs="Courier New" w:eastAsia="Courier New" w:hAnsi="Courier New"/>
          <w:color w:val="1B2A4A"/>
          <w:sz w:val="16"/>
          <w:szCs w:val="16"/>
        </w:rPr>
        <w:t xml:space="preserve">      "Dubai's golden visa and 100% foreign ownership laws have created structural international buyer demand — international residential investors creating sustained premium residential absorption that makes Dubai unlike any other emerging market.",</w:t>
      </w:r>
    </w:p>
    <w:p>
      <w:pPr>
        <w:shd w:fill="F0F0F0" w:val="clear"/>
        <w:spacing w:after="14" w:before="14"/>
        <w:ind w:left="360"/>
      </w:pPr>
      <w:r>
        <w:rPr>
          <w:rFonts w:ascii="Courier New" w:cs="Courier New" w:eastAsia="Courier New" w:hAnsi="Courier New"/>
          <w:color w:val="1B2A4A"/>
          <w:sz w:val="16"/>
          <w:szCs w:val="16"/>
        </w:rPr>
        <w:t xml:space="preserve">      "Off-plan residential in Gulf is the primary investment instrument — Gulf residential investors prefer off-plan purchase with developer payment plans creating specific product and sales process requirements."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"RERA Dubai registration and escrow compliance is mandatory — developer registration, project registration, and escrow account requirements all require careful compliance planning.",</w:t>
      </w:r>
    </w:p>
    <w:p>
      <w:pPr>
        <w:shd w:fill="F0F0F0" w:val="clear"/>
        <w:spacing w:after="14" w:before="14"/>
        <w:ind w:left="360"/>
      </w:pPr>
      <w:r>
        <w:rPr>
          <w:rFonts w:ascii="Courier New" w:cs="Courier New" w:eastAsia="Courier New" w:hAnsi="Courier New"/>
          <w:color w:val="1B2A4A"/>
          <w:sz w:val="16"/>
          <w:szCs w:val="16"/>
        </w:rPr>
        <w:t xml:space="preserve">      "Saudi REGA regulations are evolving — Saudi Real Estate General Authority requirements for foreign developer participation in Saudi residential market are active but still developing.",</w:t>
      </w:r>
    </w:p>
    <w:p>
      <w:pPr>
        <w:shd w:fill="F0F0F0" w:val="clear"/>
        <w:spacing w:after="14" w:before="14"/>
        <w:ind w:left="360"/>
      </w:pPr>
      <w:r>
        <w:rPr>
          <w:rFonts w:ascii="Courier New" w:cs="Courier New" w:eastAsia="Courier New" w:hAnsi="Courier New"/>
          <w:color w:val="1B2A4A"/>
          <w:sz w:val="16"/>
          <w:szCs w:val="16"/>
        </w:rPr>
        <w:t xml:space="preserve">      "Competition from established Gulf developers — Emaar, Aldar, and NEOM — with established buyer relationships, brand recognition, and government partnerships is intense.",</w:t>
      </w:r>
    </w:p>
    <w:p>
      <w:pPr>
        <w:shd w:fill="F0F0F0" w:val="clear"/>
        <w:spacing w:after="14" w:before="14"/>
        <w:ind w:left="360"/>
      </w:pPr>
      <w:r>
        <w:rPr>
          <w:rFonts w:ascii="Courier New" w:cs="Courier New" w:eastAsia="Courier New" w:hAnsi="Courier New"/>
          <w:color w:val="1B2A4A"/>
          <w:sz w:val="16"/>
          <w:szCs w:val="16"/>
        </w:rPr>
        <w:t xml:space="preserve">      "Gulf residential pricing and product specification competition is significant — international developers must differentiate on design quality, branded amenities, or specific location positioning."</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"Gulf residential buyer demand validation|You need to validate Gulf and international buyer demand for your residential product and understand RERA Dubai and Abu Dhabi ADRE regulatory requirements.",</w:t>
      </w:r>
    </w:p>
    <w:p>
      <w:pPr>
        <w:shd w:fill="F0F0F0" w:val="clear"/>
        <w:spacing w:after="14" w:before="14"/>
        <w:ind w:left="360"/>
      </w:pPr>
      <w:r>
        <w:rPr>
          <w:rFonts w:ascii="Courier New" w:cs="Courier New" w:eastAsia="Courier New" w:hAnsi="Courier New"/>
          <w:color w:val="1B2A4A"/>
          <w:sz w:val="16"/>
          <w:szCs w:val="16"/>
        </w:rPr>
        <w:t xml:space="preserve">      "RERA Dubai and Abu Dhabi ADRE regulatory pathway|You need to understand developer registration, project escrow, and sales process regulatory requirements.",</w:t>
      </w:r>
    </w:p>
    <w:p>
      <w:pPr>
        <w:shd w:fill="F0F0F0" w:val="clear"/>
        <w:spacing w:after="14" w:before="14"/>
        <w:ind w:left="360"/>
      </w:pPr>
      <w:r>
        <w:rPr>
          <w:rFonts w:ascii="Courier New" w:cs="Courier New" w:eastAsia="Courier New" w:hAnsi="Courier New"/>
          <w:color w:val="1B2A4A"/>
          <w:sz w:val="16"/>
          <w:szCs w:val="16"/>
        </w:rPr>
        <w:t xml:space="preserve">      "Gulf residential JV and land partner identification|You need Gulf land banking companies, NHC Saudi partnership contacts, and DIFC-structured real estate fund co-investment partners.",</w:t>
      </w:r>
    </w:p>
    <w:p>
      <w:pPr>
        <w:shd w:fill="F0F0F0" w:val="clear"/>
        <w:spacing w:after="14" w:before="14"/>
        <w:ind w:left="360"/>
      </w:pPr>
      <w:r>
        <w:rPr>
          <w:rFonts w:ascii="Courier New" w:cs="Courier New" w:eastAsia="Courier New" w:hAnsi="Courier New"/>
          <w:color w:val="1B2A4A"/>
          <w:sz w:val="16"/>
          <w:szCs w:val="16"/>
        </w:rPr>
        <w:t xml:space="preserve">      "Gulf residential GTM strategy|You need a city-selection, product-positioning, and buyer-acquisition strategy for Gulf residential market entry.",</w:t>
      </w:r>
    </w:p>
    <w:p>
      <w:pPr>
        <w:shd w:fill="F0F0F0" w:val="clear"/>
        <w:spacing w:after="14" w:before="14"/>
        <w:ind w:left="360"/>
      </w:pPr>
      <w:r>
        <w:rPr>
          <w:rFonts w:ascii="Courier New" w:cs="Courier New" w:eastAsia="Courier New" w:hAnsi="Courier New"/>
          <w:color w:val="1B2A4A"/>
          <w:sz w:val="16"/>
          <w:szCs w:val="16"/>
        </w:rPr>
        <w:t xml:space="preserve">      "Raising capital for Gulf residential investment|You need a pitch book grounded in Gulf residential market data, international buyer demand analysis, and developer return economics.",</w:t>
      </w:r>
    </w:p>
    <w:p>
      <w:pPr>
        <w:shd w:fill="F0F0F0" w:val="clear"/>
        <w:spacing w:after="14" w:before="14"/>
        <w:ind w:left="360"/>
      </w:pPr>
      <w:r>
        <w:rPr>
          <w:rFonts w:ascii="Courier New" w:cs="Courier New" w:eastAsia="Courier New" w:hAnsi="Courier New"/>
          <w:color w:val="1B2A4A"/>
          <w:sz w:val="16"/>
          <w:szCs w:val="16"/>
        </w:rPr>
        <w:t xml:space="preserve">      "Saudi NHC partnership strategy|You need a Saudi NHC joint venture approach, ICV commitment structure, and Saudi residential product specification aligned with NHC requirements."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Gulf and international residential buyer demand with buyer interviews and RERA regulatory mapping.",</w:t>
      </w:r>
    </w:p>
    <w:p>
      <w:pPr>
        <w:shd w:fill="F0F0F0" w:val="clear"/>
        <w:spacing w:after="14" w:before="14"/>
        <w:ind w:left="360"/>
      </w:pPr>
      <w:r>
        <w:rPr>
          <w:rFonts w:ascii="Courier New" w:cs="Courier New" w:eastAsia="Courier New" w:hAnsi="Courier New"/>
          <w:color w:val="1B2A4A"/>
          <w:sz w:val="16"/>
          <w:szCs w:val="16"/>
        </w:rPr>
        <w:t xml:space="preserve">      "Full financial feasibility for Gulf residential investment covering land cost, RERA compliance, and sales absorption economics.",</w:t>
      </w:r>
    </w:p>
    <w:p>
      <w:pPr>
        <w:shd w:fill="F0F0F0" w:val="clear"/>
        <w:spacing w:after="14" w:before="14"/>
        <w:ind w:left="360"/>
      </w:pPr>
      <w:r>
        <w:rPr>
          <w:rFonts w:ascii="Courier New" w:cs="Courier New" w:eastAsia="Courier New" w:hAnsi="Courier New"/>
          <w:color w:val="1B2A4A"/>
          <w:sz w:val="16"/>
          <w:szCs w:val="16"/>
        </w:rPr>
        <w:t xml:space="preserve">      "End-to-end Gulf residential market entry including RERA pathway, JV partner identification, and first-project-launch milestone.",</w:t>
      </w:r>
    </w:p>
    <w:p>
      <w:pPr>
        <w:shd w:fill="F0F0F0" w:val="clear"/>
        <w:spacing w:after="14" w:before="14"/>
        <w:ind w:left="360"/>
      </w:pPr>
      <w:r>
        <w:rPr>
          <w:rFonts w:ascii="Courier New" w:cs="Courier New" w:eastAsia="Courier New" w:hAnsi="Courier New"/>
          <w:color w:val="1B2A4A"/>
          <w:sz w:val="16"/>
          <w:szCs w:val="16"/>
        </w:rPr>
        <w:t xml:space="preserve">      "Embedded Gulf residential GTM team covering buyer acquisition and NHC partnership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Gulf residential investment with international buyer demand and Vision 2030 housing narrative.",</w:t>
      </w:r>
    </w:p>
    <w:p>
      <w:pPr>
        <w:shd w:fill="F0F0F0" w:val="clear"/>
        <w:spacing w:after="14" w:before="14"/>
        <w:ind w:left="360"/>
      </w:pPr>
      <w:r>
        <w:rPr>
          <w:rFonts w:ascii="Courier New" w:cs="Courier New" w:eastAsia="Courier New" w:hAnsi="Courier New"/>
          <w:color w:val="1B2A4A"/>
          <w:sz w:val="16"/>
          <w:szCs w:val="16"/>
        </w:rPr>
        <w:t xml:space="preserve">      "AI use-case identification — from AI-powered Gulf residential buyer matching to off-plan payment plan optimisation."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residential developers or also with real estate funds, branded residential operators, and affordable housing companies entering the Gulf?|All residential real estate categories.",</w:t>
      </w:r>
    </w:p>
    <w:p>
      <w:pPr>
        <w:shd w:fill="F0F0F0" w:val="clear"/>
        <w:spacing w:after="14" w:before="14"/>
        <w:ind w:left="360"/>
      </w:pPr>
      <w:r>
        <w:rPr>
          <w:rFonts w:ascii="Courier New" w:cs="Courier New" w:eastAsia="Courier New" w:hAnsi="Courier New"/>
          <w:color w:val="1B2A4A"/>
          <w:sz w:val="16"/>
          <w:szCs w:val="16"/>
        </w:rPr>
        <w:t xml:space="preserve">      "Which Gulf residential market should international developers enter first?|Dubai for established international buyer base and RERA regulatory clarity; Saudi Arabia for NHC partnership scale.",</w:t>
      </w:r>
    </w:p>
    <w:p>
      <w:pPr>
        <w:shd w:fill="F0F0F0" w:val="clear"/>
        <w:spacing w:after="14" w:before="14"/>
        <w:ind w:left="360"/>
      </w:pPr>
      <w:r>
        <w:rPr>
          <w:rFonts w:ascii="Courier New" w:cs="Courier New" w:eastAsia="Courier New" w:hAnsi="Courier New"/>
          <w:color w:val="1B2A4A"/>
          <w:sz w:val="16"/>
          <w:szCs w:val="16"/>
        </w:rPr>
        <w:t xml:space="preserve">      "How long does a Gulf residential development engagement take?|Typically 10-14 weeks for buyer demand research, RERA regulatory mapping, and JV partner identification.",</w:t>
      </w:r>
    </w:p>
    <w:p>
      <w:pPr>
        <w:shd w:fill="F0F0F0" w:val="clear"/>
        <w:spacing w:after="14" w:before="14"/>
        <w:ind w:left="360"/>
      </w:pPr>
      <w:r>
        <w:rPr>
          <w:rFonts w:ascii="Courier New" w:cs="Courier New" w:eastAsia="Courier New" w:hAnsi="Courier New"/>
          <w:color w:val="1B2A4A"/>
          <w:sz w:val="16"/>
          <w:szCs w:val="16"/>
        </w:rPr>
        <w:t xml:space="preserve">      "Can GreyRadius identify Saudi NHC joint venture contacts?|Yes."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"Gulf residential development market entry, RERA Dubai consulting, Saudi Arabia housing GTM strategy, Abu Dhabi residential advisory, Gulf real estate market entry strategy",</w:t>
      </w:r>
    </w:p>
    <w:p>
      <w:pPr>
        <w:shd w:fill="F0F0F0" w:val="clear"/>
        <w:spacing w:after="14" w:before="14"/>
        <w:ind w:left="360"/>
      </w:pPr>
      <w:r>
        <w:rPr>
          <w:rFonts w:ascii="Courier New" w:cs="Courier New" w:eastAsia="Courier New" w:hAnsi="Courier New"/>
          <w:color w:val="1B2A4A"/>
          <w:sz w:val="16"/>
          <w:szCs w:val="16"/>
        </w:rPr>
        <w:t xml:space="preserve">    "regions": "Dubai — RERA-registered residential across Downtown, JVC, Business Bay; Abu Dhabi — ADRE-regulated Yas Island and Saadiyat residential; Saudi Arabia — NHC joint venture programme nationwide",</w:t>
      </w:r>
    </w:p>
    <w:p>
      <w:pPr>
        <w:shd w:fill="F0F0F0" w:val="clear"/>
        <w:spacing w:after="14" w:before="14"/>
        <w:ind w:left="360"/>
      </w:pPr>
      <w:r>
        <w:rPr>
          <w:rFonts w:ascii="Courier New" w:cs="Courier New" w:eastAsia="Courier New" w:hAnsi="Courier New"/>
          <w:color w:val="1B2A4A"/>
          <w:sz w:val="16"/>
          <w:szCs w:val="16"/>
        </w:rPr>
        <w:t xml:space="preserve">    "stat1n": "$200B",</w:t>
      </w:r>
    </w:p>
    <w:p>
      <w:pPr>
        <w:shd w:fill="F0F0F0" w:val="clear"/>
        <w:spacing w:after="14" w:before="14"/>
        <w:ind w:left="360"/>
      </w:pPr>
      <w:r>
        <w:rPr>
          <w:rFonts w:ascii="Courier New" w:cs="Courier New" w:eastAsia="Courier New" w:hAnsi="Courier New"/>
          <w:color w:val="1B2A4A"/>
          <w:sz w:val="16"/>
          <w:szCs w:val="16"/>
        </w:rPr>
        <w:t xml:space="preserve">    "stat1l": "Gulf residential real estate market by 2030",</w:t>
      </w:r>
    </w:p>
    <w:p>
      <w:pPr>
        <w:shd w:fill="F0F0F0" w:val="clear"/>
        <w:spacing w:after="14" w:before="14"/>
        <w:ind w:left="360"/>
      </w:pPr>
      <w:r>
        <w:rPr>
          <w:rFonts w:ascii="Courier New" w:cs="Courier New" w:eastAsia="Courier New" w:hAnsi="Courier New"/>
          <w:color w:val="1B2A4A"/>
          <w:sz w:val="16"/>
          <w:szCs w:val="16"/>
        </w:rPr>
        <w:t xml:space="preserve">    "stat1b": "International buyer demand, Vision 2030 housing programme, and Gulf residential investment appetite driving market growth.",</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Gulf residential mandate",</w:t>
      </w:r>
    </w:p>
    <w:p>
      <w:pPr>
        <w:shd w:fill="F0F0F0" w:val="clear"/>
        <w:spacing w:after="14" w:before="14"/>
        <w:ind w:left="360"/>
      </w:pPr>
      <w:r>
        <w:rPr>
          <w:rFonts w:ascii="Courier New" w:cs="Courier New" w:eastAsia="Courier New" w:hAnsi="Courier New"/>
          <w:color w:val="1B2A4A"/>
          <w:sz w:val="16"/>
          <w:szCs w:val="16"/>
        </w:rPr>
        <w:t xml:space="preserve">    "stat2b": "Gulf and international buyers, RERA officials, and NHC contacts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"10 weeks",</w:t>
      </w:r>
    </w:p>
    <w:p>
      <w:pPr>
        <w:shd w:fill="F0F0F0" w:val="clear"/>
        <w:spacing w:after="14" w:before="14"/>
        <w:ind w:left="360"/>
      </w:pPr>
      <w:r>
        <w:rPr>
          <w:rFonts w:ascii="Courier New" w:cs="Courier New" w:eastAsia="Courier New" w:hAnsi="Courier New"/>
          <w:color w:val="1B2A4A"/>
          <w:sz w:val="16"/>
          <w:szCs w:val="16"/>
        </w:rPr>
        <w:t xml:space="preserve">    "stat3l": "Gulf residential development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RERA regulatory mapping and buyer demand research delivers Gulf residential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"africa-residential-development",</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"residential-development",</w:t>
      </w:r>
    </w:p>
    <w:p>
      <w:pPr>
        <w:shd w:fill="F0F0F0" w:val="clear"/>
        <w:spacing w:after="14" w:before="14"/>
        <w:ind w:left="360"/>
      </w:pPr>
      <w:r>
        <w:rPr>
          <w:rFonts w:ascii="Courier New" w:cs="Courier New" w:eastAsia="Courier New" w:hAnsi="Courier New"/>
          <w:color w:val="1B2A4A"/>
          <w:sz w:val="16"/>
          <w:szCs w:val="16"/>
        </w:rPr>
        <w:t xml:space="preserve">    "title": "Africa Residential Real Estate Market Entry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international residential developers enter Africa with market entry strategy, regulatory mapping across Nigeria, Kenya, Ghana, and South Africa, and affordable housing demand validation.",</w:t>
      </w:r>
    </w:p>
    <w:p>
      <w:pPr>
        <w:shd w:fill="F0F0F0" w:val="clear"/>
        <w:spacing w:after="14" w:before="14"/>
        <w:ind w:left="360"/>
      </w:pPr>
      <w:r>
        <w:rPr>
          <w:rFonts w:ascii="Courier New" w:cs="Courier New" w:eastAsia="Courier New" w:hAnsi="Courier New"/>
          <w:color w:val="1B2A4A"/>
          <w:sz w:val="16"/>
          <w:szCs w:val="16"/>
        </w:rPr>
        <w:t xml:space="preserve">    "h1": "Africa residential development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international developer to African housing market — strategy for residential developers entering Africa.",</w:t>
      </w:r>
    </w:p>
    <w:p>
      <w:pPr>
        <w:shd w:fill="F0F0F0" w:val="clear"/>
        <w:spacing w:after="14" w:before="14"/>
        <w:ind w:left="360"/>
      </w:pPr>
      <w:r>
        <w:rPr>
          <w:rFonts w:ascii="Courier New" w:cs="Courier New" w:eastAsia="Courier New" w:hAnsi="Courier New"/>
          <w:color w:val="1B2A4A"/>
          <w:sz w:val="16"/>
          <w:szCs w:val="16"/>
        </w:rPr>
        <w:t xml:space="preserve">    "hero": "Africa's residential real estate market is the world's most significant long-term housing opportunity — with Africa's urban population growing by 40,000 people every day creating an estimated 50 million unit housing shortage, government affordable housing programmes across Nigeria, Kenya, Ghana, and South Africa all creating structured housing demand, and a growing African middle class increasingly demanding quality residential product. International residential developers, real estate funds, and affordable housing specialists are all evaluating Africa as a residential real estate market. GreyRadius helps developers validate African housing demand, navigate country-specific regulatory requirements, identify land and partnership opportunities, and execute market entry.",</w:t>
      </w:r>
    </w:p>
    <w:p>
      <w:pPr>
        <w:shd w:fill="F0F0F0" w:val="clear"/>
        <w:spacing w:after="14" w:before="14"/>
        <w:ind w:left="360"/>
      </w:pPr>
      <w:r>
        <w:rPr>
          <w:rFonts w:ascii="Courier New" w:cs="Courier New" w:eastAsia="Courier New" w:hAnsi="Courier New"/>
          <w:color w:val="1B2A4A"/>
          <w:sz w:val="16"/>
          <w:szCs w:val="16"/>
        </w:rPr>
        <w:t xml:space="preserve">    "market_timing": "Africa's institutional affordable housing market is emerging — pan-African development finance institutions including IFC, AfDB, and Shelter Afrique are all actively seeking international developer partnerships for affordable housing investment. DFI co-investment reduces development risk and provides concessional financing that makes Africa affordable housing economics viable for international developers who would otherwise face prohibitive cost of capital.",</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"Africa's residential housing market is projected to reach $200B by 2030 — growing at 12% annually as urbanisation, middle class expansion, and government housing programmes all drive residential development.",</w:t>
      </w:r>
    </w:p>
    <w:p>
      <w:pPr>
        <w:shd w:fill="F0F0F0" w:val="clear"/>
        <w:spacing w:after="14" w:before="14"/>
        <w:ind w:left="360"/>
      </w:pPr>
      <w:r>
        <w:rPr>
          <w:rFonts w:ascii="Courier New" w:cs="Courier New" w:eastAsia="Courier New" w:hAnsi="Courier New"/>
          <w:color w:val="1B2A4A"/>
          <w:sz w:val="16"/>
          <w:szCs w:val="16"/>
        </w:rPr>
        <w:t xml:space="preserve">      "Nigeria's housing deficit is 20 million units — the world's largest absolute housing shortage creating extraordinary affordable and commercial residential development demand in Lagos, Abuja, and Port Harcourt.",</w:t>
      </w:r>
    </w:p>
    <w:p>
      <w:pPr>
        <w:shd w:fill="F0F0F0" w:val="clear"/>
        <w:spacing w:after="14" w:before="14"/>
        <w:ind w:left="360"/>
      </w:pPr>
      <w:r>
        <w:rPr>
          <w:rFonts w:ascii="Courier New" w:cs="Courier New" w:eastAsia="Courier New" w:hAnsi="Courier New"/>
          <w:color w:val="1B2A4A"/>
          <w:sz w:val="16"/>
          <w:szCs w:val="16"/>
        </w:rPr>
        <w:t xml:space="preserve">      "South Africa's FLISP (Finance Linked Individual Subsidy Programme) creates government-assisted homebuyer demand — affordable housing developers with FLISP-linked product access government subsidy that reduces effective buyer price without reducing developer margin.",</w:t>
      </w:r>
    </w:p>
    <w:p>
      <w:pPr>
        <w:shd w:fill="F0F0F0" w:val="clear"/>
        <w:spacing w:after="14" w:before="14"/>
        <w:ind w:left="360"/>
      </w:pPr>
      <w:r>
        <w:rPr>
          <w:rFonts w:ascii="Courier New" w:cs="Courier New" w:eastAsia="Courier New" w:hAnsi="Courier New"/>
          <w:color w:val="1B2A4A"/>
          <w:sz w:val="16"/>
          <w:szCs w:val="16"/>
        </w:rPr>
        <w:t xml:space="preserve">      "Kenya's Affordable Housing Programme is building political will for developer incentives — Kenya's 200,000 unit annual affordable housing commitment creating developer partnerships, preferential land access, and tax incentives."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"Title and land rights complexity affects most African markets — clear title is the exception rather than the rule across much of Sub-Saharan Africa requiring extensive legal due diligence before land acquisition.",</w:t>
      </w:r>
    </w:p>
    <w:p>
      <w:pPr>
        <w:shd w:fill="F0F0F0" w:val="clear"/>
        <w:spacing w:after="14" w:before="14"/>
        <w:ind w:left="360"/>
      </w:pPr>
      <w:r>
        <w:rPr>
          <w:rFonts w:ascii="Courier New" w:cs="Courier New" w:eastAsia="Courier New" w:hAnsi="Courier New"/>
          <w:color w:val="1B2A4A"/>
          <w:sz w:val="16"/>
          <w:szCs w:val="16"/>
        </w:rPr>
        <w:t xml:space="preserve">      "Construction cost and material availability vary significantly — access to quality construction materials, skilled contractors, and project management capability outside major cities is limited in most African markets.",</w:t>
      </w:r>
    </w:p>
    <w:p>
      <w:pPr>
        <w:shd w:fill="F0F0F0" w:val="clear"/>
        <w:spacing w:after="14" w:before="14"/>
        <w:ind w:left="360"/>
      </w:pPr>
      <w:r>
        <w:rPr>
          <w:rFonts w:ascii="Courier New" w:cs="Courier New" w:eastAsia="Courier New" w:hAnsi="Courier New"/>
          <w:color w:val="1B2A4A"/>
          <w:sz w:val="16"/>
          <w:szCs w:val="16"/>
        </w:rPr>
        <w:t xml:space="preserve">      "Mortgage market depth is shallow — African homebuyer mortgage availability is limited to formal sector employees with documented income in major cities, constraining effective buyer demand for market-rate residential.",</w:t>
      </w:r>
    </w:p>
    <w:p>
      <w:pPr>
        <w:shd w:fill="F0F0F0" w:val="clear"/>
        <w:spacing w:after="14" w:before="14"/>
        <w:ind w:left="360"/>
      </w:pPr>
      <w:r>
        <w:rPr>
          <w:rFonts w:ascii="Courier New" w:cs="Courier New" w:eastAsia="Courier New" w:hAnsi="Courier New"/>
          <w:color w:val="1B2A4A"/>
          <w:sz w:val="16"/>
          <w:szCs w:val="16"/>
        </w:rPr>
        <w:t xml:space="preserve">      "Currency risk affects development returns — residential sales in local currency while construction materials may be priced in USD creates currency mismatch risk that affects developer return economics."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"Africa residential demand validation|You need to validate housing buyer demand in your target African markets including segment, price point, and financing access.",</w:t>
      </w:r>
    </w:p>
    <w:p>
      <w:pPr>
        <w:shd w:fill="F0F0F0" w:val="clear"/>
        <w:spacing w:after="14" w:before="14"/>
        <w:ind w:left="360"/>
      </w:pPr>
      <w:r>
        <w:rPr>
          <w:rFonts w:ascii="Courier New" w:cs="Courier New" w:eastAsia="Courier New" w:hAnsi="Courier New"/>
          <w:color w:val="1B2A4A"/>
          <w:sz w:val="16"/>
          <w:szCs w:val="16"/>
        </w:rPr>
        <w:t xml:space="preserve">      "Country-specific residential regulatory pathway|You need to understand Nigeria LASG and FCT land administration, Kenya County land regulations, South Africa municipalities, and Ghana Lands Commission requirements.",</w:t>
      </w:r>
    </w:p>
    <w:p>
      <w:pPr>
        <w:shd w:fill="F0F0F0" w:val="clear"/>
        <w:spacing w:after="14" w:before="14"/>
        <w:ind w:left="360"/>
      </w:pPr>
      <w:r>
        <w:rPr>
          <w:rFonts w:ascii="Courier New" w:cs="Courier New" w:eastAsia="Courier New" w:hAnsi="Courier New"/>
          <w:color w:val="1B2A4A"/>
          <w:sz w:val="16"/>
          <w:szCs w:val="16"/>
        </w:rPr>
        <w:t xml:space="preserve">      "Africa residential land and development partner identification|You need African land banking companies, DFI co-investment contacts, and established local construction and development partners.",</w:t>
      </w:r>
    </w:p>
    <w:p>
      <w:pPr>
        <w:shd w:fill="F0F0F0" w:val="clear"/>
        <w:spacing w:after="14" w:before="14"/>
        <w:ind w:left="360"/>
      </w:pPr>
      <w:r>
        <w:rPr>
          <w:rFonts w:ascii="Courier New" w:cs="Courier New" w:eastAsia="Courier New" w:hAnsi="Courier New"/>
          <w:color w:val="1B2A4A"/>
          <w:sz w:val="16"/>
          <w:szCs w:val="16"/>
        </w:rPr>
        <w:t xml:space="preserve">      "Africa residential GTM strategy|You need a market-selection, segment-targeting, and DFI partnership strategy for Africa residential market entry.",</w:t>
      </w:r>
    </w:p>
    <w:p>
      <w:pPr>
        <w:shd w:fill="F0F0F0" w:val="clear"/>
        <w:spacing w:after="14" w:before="14"/>
        <w:ind w:left="360"/>
      </w:pPr>
      <w:r>
        <w:rPr>
          <w:rFonts w:ascii="Courier New" w:cs="Courier New" w:eastAsia="Courier New" w:hAnsi="Courier New"/>
          <w:color w:val="1B2A4A"/>
          <w:sz w:val="16"/>
          <w:szCs w:val="16"/>
        </w:rPr>
        <w:t xml:space="preserve">      "Raising capital for Africa residential investment|You need a pitch book grounded in Africa housing deficit data, DFI co-investment structure, and residential developer return analysis.",</w:t>
      </w:r>
    </w:p>
    <w:p>
      <w:pPr>
        <w:shd w:fill="F0F0F0" w:val="clear"/>
        <w:spacing w:after="14" w:before="14"/>
        <w:ind w:left="360"/>
      </w:pPr>
      <w:r>
        <w:rPr>
          <w:rFonts w:ascii="Courier New" w:cs="Courier New" w:eastAsia="Courier New" w:hAnsi="Courier New"/>
          <w:color w:val="1B2A4A"/>
          <w:sz w:val="16"/>
          <w:szCs w:val="16"/>
        </w:rPr>
        <w:t xml:space="preserve">      "DFI partnership and concessional finance strategy|You need an IFC, AfDB, and Shelter Afrique co-investment approach that accesses concessional development finance for Africa affordable housing."</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African housing buyer demand with homebuyer interviews and regulatory mapping.",</w:t>
      </w:r>
    </w:p>
    <w:p>
      <w:pPr>
        <w:shd w:fill="F0F0F0" w:val="clear"/>
        <w:spacing w:after="14" w:before="14"/>
        <w:ind w:left="360"/>
      </w:pPr>
      <w:r>
        <w:rPr>
          <w:rFonts w:ascii="Courier New" w:cs="Courier New" w:eastAsia="Courier New" w:hAnsi="Courier New"/>
          <w:color w:val="1B2A4A"/>
          <w:sz w:val="16"/>
          <w:szCs w:val="16"/>
        </w:rPr>
        <w:t xml:space="preserve">      "Full financial feasibility for Africa residential investment covering land cost, construction economics, and DFI co-investment structure.",</w:t>
      </w:r>
    </w:p>
    <w:p>
      <w:pPr>
        <w:shd w:fill="F0F0F0" w:val="clear"/>
        <w:spacing w:after="14" w:before="14"/>
        <w:ind w:left="360"/>
      </w:pPr>
      <w:r>
        <w:rPr>
          <w:rFonts w:ascii="Courier New" w:cs="Courier New" w:eastAsia="Courier New" w:hAnsi="Courier New"/>
          <w:color w:val="1B2A4A"/>
          <w:sz w:val="16"/>
          <w:szCs w:val="16"/>
        </w:rPr>
        <w:t xml:space="preserve">      "End-to-end Africa residential market entry including regulatory pathway, DFI partnership identification, and first-project-launch milestone.",</w:t>
      </w:r>
    </w:p>
    <w:p>
      <w:pPr>
        <w:shd w:fill="F0F0F0" w:val="clear"/>
        <w:spacing w:after="14" w:before="14"/>
        <w:ind w:left="360"/>
      </w:pPr>
      <w:r>
        <w:rPr>
          <w:rFonts w:ascii="Courier New" w:cs="Courier New" w:eastAsia="Courier New" w:hAnsi="Courier New"/>
          <w:color w:val="1B2A4A"/>
          <w:sz w:val="16"/>
          <w:szCs w:val="16"/>
        </w:rPr>
        <w:t xml:space="preserve">      "Embedded Africa residential GTM team covering homebuyer acquisition and DFI co-investment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Africa residential investment with housing deficit and DFI co-investment narrative.",</w:t>
      </w:r>
    </w:p>
    <w:p>
      <w:pPr>
        <w:shd w:fill="F0F0F0" w:val="clear"/>
        <w:spacing w:after="14" w:before="14"/>
        <w:ind w:left="360"/>
      </w:pPr>
      <w:r>
        <w:rPr>
          <w:rFonts w:ascii="Courier New" w:cs="Courier New" w:eastAsia="Courier New" w:hAnsi="Courier New"/>
          <w:color w:val="1B2A4A"/>
          <w:sz w:val="16"/>
          <w:szCs w:val="16"/>
        </w:rPr>
        <w:t xml:space="preserve">      "DFI partnership strategy — from IFC qualification to Shelter Afrique concessional financing application."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affordable housing developers or also with commercial residential, real estate funds, and student housing companies entering Africa?|All residential real estate categories.",</w:t>
      </w:r>
    </w:p>
    <w:p>
      <w:pPr>
        <w:shd w:fill="F0F0F0" w:val="clear"/>
        <w:spacing w:after="14" w:before="14"/>
        <w:ind w:left="360"/>
      </w:pPr>
      <w:r>
        <w:rPr>
          <w:rFonts w:ascii="Courier New" w:cs="Courier New" w:eastAsia="Courier New" w:hAnsi="Courier New"/>
          <w:color w:val="1B2A4A"/>
          <w:sz w:val="16"/>
          <w:szCs w:val="16"/>
        </w:rPr>
        <w:t xml:space="preserve">      "Which African residential markets does GreyRadius prioritise?|Nigeria for largest housing deficit; South Africa for most sophisticated mortgage market; Kenya for Affordable Housing Programme government support; Ghana for stable property rights.",</w:t>
      </w:r>
    </w:p>
    <w:p>
      <w:pPr>
        <w:shd w:fill="F0F0F0" w:val="clear"/>
        <w:spacing w:after="14" w:before="14"/>
        <w:ind w:left="360"/>
      </w:pPr>
      <w:r>
        <w:rPr>
          <w:rFonts w:ascii="Courier New" w:cs="Courier New" w:eastAsia="Courier New" w:hAnsi="Courier New"/>
          <w:color w:val="1B2A4A"/>
          <w:sz w:val="16"/>
          <w:szCs w:val="16"/>
        </w:rPr>
        <w:t xml:space="preserve">      "How long does an Africa residential development engagement take?|Typically 10-14 weeks for buyer demand research, regulatory mapping, and DFI partner identification.",</w:t>
      </w:r>
    </w:p>
    <w:p>
      <w:pPr>
        <w:shd w:fill="F0F0F0" w:val="clear"/>
        <w:spacing w:after="14" w:before="14"/>
        <w:ind w:left="360"/>
      </w:pPr>
      <w:r>
        <w:rPr>
          <w:rFonts w:ascii="Courier New" w:cs="Courier New" w:eastAsia="Courier New" w:hAnsi="Courier New"/>
          <w:color w:val="1B2A4A"/>
          <w:sz w:val="16"/>
          <w:szCs w:val="16"/>
        </w:rPr>
        <w:t xml:space="preserve">      "Can GreyRadius identify IFC and AfDB co-investment contacts for Africa residential projects?|Yes."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"Africa residential development market entry, Nigeria housing GTM strategy, Kenya affordable housing consulting, South Africa property advisory, Africa real estate market entry",</w:t>
      </w:r>
    </w:p>
    <w:p>
      <w:pPr>
        <w:shd w:fill="F0F0F0" w:val="clear"/>
        <w:spacing w:after="14" w:before="14"/>
        <w:ind w:left="360"/>
      </w:pPr>
      <w:r>
        <w:rPr>
          <w:rFonts w:ascii="Courier New" w:cs="Courier New" w:eastAsia="Courier New" w:hAnsi="Courier New"/>
          <w:color w:val="1B2A4A"/>
          <w:sz w:val="16"/>
          <w:szCs w:val="16"/>
        </w:rPr>
        <w:t xml:space="preserve">    "regions": "Nigeria — Lagos Island and Mainland premium residential, Abuja and Port Harcourt commercial residential; Kenya — Nairobi Affordable Housing Programme; South Africa — Johannesburg and Cape Town residential",</w:t>
      </w:r>
    </w:p>
    <w:p>
      <w:pPr>
        <w:shd w:fill="F0F0F0" w:val="clear"/>
        <w:spacing w:after="14" w:before="14"/>
        <w:ind w:left="360"/>
      </w:pPr>
      <w:r>
        <w:rPr>
          <w:rFonts w:ascii="Courier New" w:cs="Courier New" w:eastAsia="Courier New" w:hAnsi="Courier New"/>
          <w:color w:val="1B2A4A"/>
          <w:sz w:val="16"/>
          <w:szCs w:val="16"/>
        </w:rPr>
        <w:t xml:space="preserve">    "stat1n": "50M",</w:t>
      </w:r>
    </w:p>
    <w:p>
      <w:pPr>
        <w:shd w:fill="F0F0F0" w:val="clear"/>
        <w:spacing w:after="14" w:before="14"/>
        <w:ind w:left="360"/>
      </w:pPr>
      <w:r>
        <w:rPr>
          <w:rFonts w:ascii="Courier New" w:cs="Courier New" w:eastAsia="Courier New" w:hAnsi="Courier New"/>
          <w:color w:val="1B2A4A"/>
          <w:sz w:val="16"/>
          <w:szCs w:val="16"/>
        </w:rPr>
        <w:t xml:space="preserve">    "stat1l": "Africa housing unit shortage",</w:t>
      </w:r>
    </w:p>
    <w:p>
      <w:pPr>
        <w:shd w:fill="F0F0F0" w:val="clear"/>
        <w:spacing w:after="14" w:before="14"/>
        <w:ind w:left="360"/>
      </w:pPr>
      <w:r>
        <w:rPr>
          <w:rFonts w:ascii="Courier New" w:cs="Courier New" w:eastAsia="Courier New" w:hAnsi="Courier New"/>
          <w:color w:val="1B2A4A"/>
          <w:sz w:val="16"/>
          <w:szCs w:val="16"/>
        </w:rPr>
        <w:t xml:space="preserve">    "stat1b": "Africa's urbanisation rate and housing deficit creating extraordinary residential development demand across Nigeria, Kenya, South Africa, and Ghana.",</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Africa residential mandate",</w:t>
      </w:r>
    </w:p>
    <w:p>
      <w:pPr>
        <w:shd w:fill="F0F0F0" w:val="clear"/>
        <w:spacing w:after="14" w:before="14"/>
        <w:ind w:left="360"/>
      </w:pPr>
      <w:r>
        <w:rPr>
          <w:rFonts w:ascii="Courier New" w:cs="Courier New" w:eastAsia="Courier New" w:hAnsi="Courier New"/>
          <w:color w:val="1B2A4A"/>
          <w:sz w:val="16"/>
          <w:szCs w:val="16"/>
        </w:rPr>
        <w:t xml:space="preserve">    "stat2b": "African homebuyers, land officials, and DFI investment contacts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"10 weeks",</w:t>
      </w:r>
    </w:p>
    <w:p>
      <w:pPr>
        <w:shd w:fill="F0F0F0" w:val="clear"/>
        <w:spacing w:after="14" w:before="14"/>
        <w:ind w:left="360"/>
      </w:pPr>
      <w:r>
        <w:rPr>
          <w:rFonts w:ascii="Courier New" w:cs="Courier New" w:eastAsia="Courier New" w:hAnsi="Courier New"/>
          <w:color w:val="1B2A4A"/>
          <w:sz w:val="16"/>
          <w:szCs w:val="16"/>
        </w:rPr>
        <w:t xml:space="preserve">    "stat3l": "Africa residential development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regulatory mapping and DFI partner research delivers Africa residential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"india-freight-cargo",</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"freight-cargo",</w:t>
      </w:r>
    </w:p>
    <w:p>
      <w:pPr>
        <w:shd w:fill="F0F0F0" w:val="clear"/>
        <w:spacing w:after="14" w:before="14"/>
        <w:ind w:left="360"/>
      </w:pPr>
      <w:r>
        <w:rPr>
          <w:rFonts w:ascii="Courier New" w:cs="Courier New" w:eastAsia="Courier New" w:hAnsi="Courier New"/>
          <w:color w:val="1B2A4A"/>
          <w:sz w:val="16"/>
          <w:szCs w:val="16"/>
        </w:rPr>
        <w:t xml:space="preserve">    "title": "India Freight &amp; Cargo Market Entry Strategy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international freight and cargo companies enter India with market entry strategy, DPIIT and customs regulatory mapping, logistics partner identification, and GTM planning.",</w:t>
      </w:r>
    </w:p>
    <w:p>
      <w:pPr>
        <w:shd w:fill="F0F0F0" w:val="clear"/>
        <w:spacing w:after="14" w:before="14"/>
        <w:ind w:left="360"/>
      </w:pPr>
      <w:r>
        <w:rPr>
          <w:rFonts w:ascii="Courier New" w:cs="Courier New" w:eastAsia="Courier New" w:hAnsi="Courier New"/>
          <w:color w:val="1B2A4A"/>
          <w:sz w:val="16"/>
          <w:szCs w:val="16"/>
        </w:rPr>
        <w:t xml:space="preserve">    "h1": "India freight and cargo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international freight operator to India's trade and logistics — strategy for freight companies entering India.",</w:t>
      </w:r>
    </w:p>
    <w:p>
      <w:pPr>
        <w:shd w:fill="F0F0F0" w:val="clear"/>
        <w:spacing w:after="14" w:before="14"/>
        <w:ind w:left="360"/>
      </w:pPr>
      <w:r>
        <w:rPr>
          <w:rFonts w:ascii="Courier New" w:cs="Courier New" w:eastAsia="Courier New" w:hAnsi="Courier New"/>
          <w:color w:val="1B2A4A"/>
          <w:sz w:val="16"/>
          <w:szCs w:val="16"/>
        </w:rPr>
        <w:t xml:space="preserve">    "hero": "India's freight and cargo market is one of the world's most dynamic — with India's international trade growing at 12% annually, PM GatiShakti creating the world's largest multimodal infrastructure investment programme, Sagarmala port development creating new sea freight capacity, and dedicated freight corridors transforming road-to-rail freight economics. International freight forwarders, 3PL operators, cargo airlines, and port logistics companies are all evaluating India as a priority freight market. GreyRadius helps freight companies validate Indian trade and logistics demand, navigate DGFT, customs, and MoS regulatory requirements, identify logistics partner and cargo hub opportunities, and execute market entry.",</w:t>
      </w:r>
    </w:p>
    <w:p>
      <w:pPr>
        <w:shd w:fill="F0F0F0" w:val="clear"/>
        <w:spacing w:after="14" w:before="14"/>
        <w:ind w:left="360"/>
      </w:pPr>
      <w:r>
        <w:rPr>
          <w:rFonts w:ascii="Courier New" w:cs="Courier New" w:eastAsia="Courier New" w:hAnsi="Courier New"/>
          <w:color w:val="1B2A4A"/>
          <w:sz w:val="16"/>
          <w:szCs w:val="16"/>
        </w:rPr>
        <w:t xml:space="preserve">    "market_timing": "PM GatiShakti is creating the world's largest multimodal infrastructure investment programme — $1.3 trillion in infrastructure investment across rail, road, ports, and airports creating new freight infrastructure that international operators can utilise as anchor tenants, logistics park developers, or multimodal service providers. The freight companies establishing Indian infrastructure partnerships in 2024-2027 will access capacity that competitors entering later cannot.",</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"India's freight market is projected to reach $400B by 2030 — growing at 15% annually as international trade, manufacturing growth under PLI, and PM GatiShakti infrastructure investment all scale.",</w:t>
      </w:r>
    </w:p>
    <w:p>
      <w:pPr>
        <w:shd w:fill="F0F0F0" w:val="clear"/>
        <w:spacing w:after="14" w:before="14"/>
        <w:ind w:left="360"/>
      </w:pPr>
      <w:r>
        <w:rPr>
          <w:rFonts w:ascii="Courier New" w:cs="Courier New" w:eastAsia="Courier New" w:hAnsi="Courier New"/>
          <w:color w:val="1B2A4A"/>
          <w:sz w:val="16"/>
          <w:szCs w:val="16"/>
        </w:rPr>
        <w:t xml:space="preserve">      "India is becoming a global manufacturing export hub — PLI-driven electronics, pharmaceutical, and automotive manufacturing all creating new export freight demand that international freight forwarders can serve.",</w:t>
      </w:r>
    </w:p>
    <w:p>
      <w:pPr>
        <w:shd w:fill="F0F0F0" w:val="clear"/>
        <w:spacing w:after="14" w:before="14"/>
        <w:ind w:left="360"/>
      </w:pPr>
      <w:r>
        <w:rPr>
          <w:rFonts w:ascii="Courier New" w:cs="Courier New" w:eastAsia="Courier New" w:hAnsi="Courier New"/>
          <w:color w:val="1B2A4A"/>
          <w:sz w:val="16"/>
          <w:szCs w:val="16"/>
        </w:rPr>
        <w:t xml:space="preserve">      "Dedicated Freight Corridors are transforming India's rail freight economics — EDFC and WDFC reducing freight transit times from 14 days to 4-5 days creating modal shift from road to rail.",</w:t>
      </w:r>
    </w:p>
    <w:p>
      <w:pPr>
        <w:shd w:fill="F0F0F0" w:val="clear"/>
        <w:spacing w:after="14" w:before="14"/>
        <w:ind w:left="360"/>
      </w:pPr>
      <w:r>
        <w:rPr>
          <w:rFonts w:ascii="Courier New" w:cs="Courier New" w:eastAsia="Courier New" w:hAnsi="Courier New"/>
          <w:color w:val="1B2A4A"/>
          <w:sz w:val="16"/>
          <w:szCs w:val="16"/>
        </w:rPr>
        <w:t xml:space="preserve">      "JNPT Mumbai and Adani Ports are investing in major capacity expansion — new container terminals and port logistics parks creating international shipping line and logistics company partnership opportunities."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"Indian customs clearance complexity is significant — BOE filing, EXIM compliance, DGFT licence requirements, and AEO (Authorised Economic Operator) programme navigation all require specialist customs expertise.",</w:t>
      </w:r>
    </w:p>
    <w:p>
      <w:pPr>
        <w:shd w:fill="F0F0F0" w:val="clear"/>
        <w:spacing w:after="14" w:before="14"/>
        <w:ind w:left="360"/>
      </w:pPr>
      <w:r>
        <w:rPr>
          <w:rFonts w:ascii="Courier New" w:cs="Courier New" w:eastAsia="Courier New" w:hAnsi="Courier New"/>
          <w:color w:val="1B2A4A"/>
          <w:sz w:val="16"/>
          <w:szCs w:val="16"/>
        </w:rPr>
        <w:t xml:space="preserve">      "Multi-state GST logistics compliance adds complexity — cross-state freight movement in India requires E-Way Bill compliance and state-specific logistics regulations.",</w:t>
      </w:r>
    </w:p>
    <w:p>
      <w:pPr>
        <w:shd w:fill="F0F0F0" w:val="clear"/>
        <w:spacing w:after="14" w:before="14"/>
        <w:ind w:left="360"/>
      </w:pPr>
      <w:r>
        <w:rPr>
          <w:rFonts w:ascii="Courier New" w:cs="Courier New" w:eastAsia="Courier New" w:hAnsi="Courier New"/>
          <w:color w:val="1B2A4A"/>
          <w:sz w:val="16"/>
          <w:szCs w:val="16"/>
        </w:rPr>
        <w:t xml:space="preserve">      "Competition from established India freight operators — Blue Dart, TCI, and Mahindra Logistics — with established shipper relationships and nationwide networks is intense.",</w:t>
      </w:r>
    </w:p>
    <w:p>
      <w:pPr>
        <w:shd w:fill="F0F0F0" w:val="clear"/>
        <w:spacing w:after="14" w:before="14"/>
        <w:ind w:left="360"/>
      </w:pPr>
      <w:r>
        <w:rPr>
          <w:rFonts w:ascii="Courier New" w:cs="Courier New" w:eastAsia="Courier New" w:hAnsi="Courier New"/>
          <w:color w:val="1B2A4A"/>
          <w:sz w:val="16"/>
          <w:szCs w:val="16"/>
        </w:rPr>
        <w:t xml:space="preserve">      "India freight infrastructure varies dramatically by location — port and highway infrastructure in major trade corridors is world-class while Tier 2 and 3 locations face significant infrastructure gaps."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"India freight demand validation|You need to validate Indian shipper and trade route demand for your freight service and understand DGFT and customs regulatory requirements.",</w:t>
      </w:r>
    </w:p>
    <w:p>
      <w:pPr>
        <w:shd w:fill="F0F0F0" w:val="clear"/>
        <w:spacing w:after="14" w:before="14"/>
        <w:ind w:left="360"/>
      </w:pPr>
      <w:r>
        <w:rPr>
          <w:rFonts w:ascii="Courier New" w:cs="Courier New" w:eastAsia="Courier New" w:hAnsi="Courier New"/>
          <w:color w:val="1B2A4A"/>
          <w:sz w:val="16"/>
          <w:szCs w:val="16"/>
        </w:rPr>
        <w:t xml:space="preserve">      "DGFT and customs regulatory pathway|You need to understand EXIM trade documentation, AEO programme, DGFT licence requirements, and customs clearance process for your freight service.",</w:t>
      </w:r>
    </w:p>
    <w:p>
      <w:pPr>
        <w:shd w:fill="F0F0F0" w:val="clear"/>
        <w:spacing w:after="14" w:before="14"/>
        <w:ind w:left="360"/>
      </w:pPr>
      <w:r>
        <w:rPr>
          <w:rFonts w:ascii="Courier New" w:cs="Courier New" w:eastAsia="Courier New" w:hAnsi="Courier New"/>
          <w:color w:val="1B2A4A"/>
          <w:sz w:val="16"/>
          <w:szCs w:val="16"/>
        </w:rPr>
        <w:t xml:space="preserve">      "India freight and logistics partner identification|You need Indian customs brokers, last-mile logistics partners, and warehouse and distribution centre operators as commercial partners.",</w:t>
      </w:r>
    </w:p>
    <w:p>
      <w:pPr>
        <w:shd w:fill="F0F0F0" w:val="clear"/>
        <w:spacing w:after="14" w:before="14"/>
        <w:ind w:left="360"/>
      </w:pPr>
      <w:r>
        <w:rPr>
          <w:rFonts w:ascii="Courier New" w:cs="Courier New" w:eastAsia="Courier New" w:hAnsi="Courier New"/>
          <w:color w:val="1B2A4A"/>
          <w:sz w:val="16"/>
          <w:szCs w:val="16"/>
        </w:rPr>
        <w:t xml:space="preserve">      "India freight GTM strategy|You need a go-to-market plan covering PLI export shipper acquisition, port logistics programme access, and dedicated freight corridor utilisation.",</w:t>
      </w:r>
    </w:p>
    <w:p>
      <w:pPr>
        <w:shd w:fill="F0F0F0" w:val="clear"/>
        <w:spacing w:after="14" w:before="14"/>
        <w:ind w:left="360"/>
      </w:pPr>
      <w:r>
        <w:rPr>
          <w:rFonts w:ascii="Courier New" w:cs="Courier New" w:eastAsia="Courier New" w:hAnsi="Courier New"/>
          <w:color w:val="1B2A4A"/>
          <w:sz w:val="16"/>
          <w:szCs w:val="16"/>
        </w:rPr>
        <w:t xml:space="preserve">      "Raising capital for India freight investment|You need a pitch book grounded in India freight market data and PM GatiShakti infrastructure investment analysis.",</w:t>
      </w:r>
    </w:p>
    <w:p>
      <w:pPr>
        <w:shd w:fill="F0F0F0" w:val="clear"/>
        <w:spacing w:after="14" w:before="14"/>
        <w:ind w:left="360"/>
      </w:pPr>
      <w:r>
        <w:rPr>
          <w:rFonts w:ascii="Courier New" w:cs="Courier New" w:eastAsia="Courier New" w:hAnsi="Courier New"/>
          <w:color w:val="1B2A4A"/>
          <w:sz w:val="16"/>
          <w:szCs w:val="16"/>
        </w:rPr>
        <w:t xml:space="preserve">      "Port and multimodal infrastructure access strategy|You need a Sagarmala port programme access strategy and dedicated freight corridor logistics park identification."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Indian shipper demand for your freight service with EXIM trader interviews and DGFT regulatory mapping.",</w:t>
      </w:r>
    </w:p>
    <w:p>
      <w:pPr>
        <w:shd w:fill="F0F0F0" w:val="clear"/>
        <w:spacing w:after="14" w:before="14"/>
        <w:ind w:left="360"/>
      </w:pPr>
      <w:r>
        <w:rPr>
          <w:rFonts w:ascii="Courier New" w:cs="Courier New" w:eastAsia="Courier New" w:hAnsi="Courier New"/>
          <w:color w:val="1B2A4A"/>
          <w:sz w:val="16"/>
          <w:szCs w:val="16"/>
        </w:rPr>
        <w:t xml:space="preserve">      "Full financial feasibility for India freight investment covering customs compliance cost and logistics economics.",</w:t>
      </w:r>
    </w:p>
    <w:p>
      <w:pPr>
        <w:shd w:fill="F0F0F0" w:val="clear"/>
        <w:spacing w:after="14" w:before="14"/>
        <w:ind w:left="360"/>
      </w:pPr>
      <w:r>
        <w:rPr>
          <w:rFonts w:ascii="Courier New" w:cs="Courier New" w:eastAsia="Courier New" w:hAnsi="Courier New"/>
          <w:color w:val="1B2A4A"/>
          <w:sz w:val="16"/>
          <w:szCs w:val="16"/>
        </w:rPr>
        <w:t xml:space="preserve">      "End-to-end India freight market entry including DGFT pathway, logistics partner identification, and first-shipper-contract milestone.",</w:t>
      </w:r>
    </w:p>
    <w:p>
      <w:pPr>
        <w:shd w:fill="F0F0F0" w:val="clear"/>
        <w:spacing w:after="14" w:before="14"/>
        <w:ind w:left="360"/>
      </w:pPr>
      <w:r>
        <w:rPr>
          <w:rFonts w:ascii="Courier New" w:cs="Courier New" w:eastAsia="Courier New" w:hAnsi="Courier New"/>
          <w:color w:val="1B2A4A"/>
          <w:sz w:val="16"/>
          <w:szCs w:val="16"/>
        </w:rPr>
        <w:t xml:space="preserve">      "Embedded India freight GTM team covering PLI export shipper and port logistics programme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India freight investment with PM GatiShakti and PLI export manufacturing narrative.",</w:t>
      </w:r>
    </w:p>
    <w:p>
      <w:pPr>
        <w:shd w:fill="F0F0F0" w:val="clear"/>
        <w:spacing w:after="14" w:before="14"/>
        <w:ind w:left="360"/>
      </w:pPr>
      <w:r>
        <w:rPr>
          <w:rFonts w:ascii="Courier New" w:cs="Courier New" w:eastAsia="Courier New" w:hAnsi="Courier New"/>
          <w:color w:val="1B2A4A"/>
          <w:sz w:val="16"/>
          <w:szCs w:val="16"/>
        </w:rPr>
        <w:t xml:space="preserve">      "Dedicated freight corridor strategy — from EDFC and WDFC logistics park identification to rail freight modal shift economics."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freight forwarders or also with 3PL operators, cargo airlines, and port logistics companies entering India?|All freight and cargo categories.",</w:t>
      </w:r>
    </w:p>
    <w:p>
      <w:pPr>
        <w:shd w:fill="F0F0F0" w:val="clear"/>
        <w:spacing w:after="14" w:before="14"/>
        <w:ind w:left="360"/>
      </w:pPr>
      <w:r>
        <w:rPr>
          <w:rFonts w:ascii="Courier New" w:cs="Courier New" w:eastAsia="Courier New" w:hAnsi="Courier New"/>
          <w:color w:val="1B2A4A"/>
          <w:sz w:val="16"/>
          <w:szCs w:val="16"/>
        </w:rPr>
        <w:t xml:space="preserve">      "How long does an India freight engagement take?|Typically 8-12 weeks for shipper demand research, DGFT regulatory mapping, and logistics partner identification.",</w:t>
      </w:r>
    </w:p>
    <w:p>
      <w:pPr>
        <w:shd w:fill="F0F0F0" w:val="clear"/>
        <w:spacing w:after="14" w:before="14"/>
        <w:ind w:left="360"/>
      </w:pPr>
      <w:r>
        <w:rPr>
          <w:rFonts w:ascii="Courier New" w:cs="Courier New" w:eastAsia="Courier New" w:hAnsi="Courier New"/>
          <w:color w:val="1B2A4A"/>
          <w:sz w:val="16"/>
          <w:szCs w:val="16"/>
        </w:rPr>
        <w:t xml:space="preserve">      "Can GreyRadius identify Sagarmala port logistics park access opportunities?|Yes.",</w:t>
      </w:r>
    </w:p>
    <w:p>
      <w:pPr>
        <w:shd w:fill="F0F0F0" w:val="clear"/>
        <w:spacing w:after="14" w:before="14"/>
        <w:ind w:left="360"/>
      </w:pPr>
      <w:r>
        <w:rPr>
          <w:rFonts w:ascii="Courier New" w:cs="Courier New" w:eastAsia="Courier New" w:hAnsi="Courier New"/>
          <w:color w:val="1B2A4A"/>
          <w:sz w:val="16"/>
          <w:szCs w:val="16"/>
        </w:rPr>
        <w:t xml:space="preserve">      "How do PM GatiShakti and dedicated freight corridors affect India freight market entry strategy?|They create new infrastructure that reduces freight cost and transit time — we map GatiShakti infrastructure pipeline and DFC logistics park opportunities in every engagement."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"India freight cargo market entry, DGFT customs consulting, India logistics GTM strategy, PM GatiShakti advisory, India freight market entry strategy",</w:t>
      </w:r>
    </w:p>
    <w:p>
      <w:pPr>
        <w:shd w:fill="F0F0F0" w:val="clear"/>
        <w:spacing w:after="14" w:before="14"/>
        <w:ind w:left="360"/>
      </w:pPr>
      <w:r>
        <w:rPr>
          <w:rFonts w:ascii="Courier New" w:cs="Courier New" w:eastAsia="Courier New" w:hAnsi="Courier New"/>
          <w:color w:val="1B2A4A"/>
          <w:sz w:val="16"/>
          <w:szCs w:val="16"/>
        </w:rPr>
        <w:t xml:space="preserve">    "regions": "India — JNPT Mumbai, Chennai, Mundra, Kolkata port trade corridors; EDFC and WDFC dedicated freight corridor; PM GatiShakti multimodal logistics parks",</w:t>
      </w:r>
    </w:p>
    <w:p>
      <w:pPr>
        <w:shd w:fill="F0F0F0" w:val="clear"/>
        <w:spacing w:after="14" w:before="14"/>
        <w:ind w:left="360"/>
      </w:pPr>
      <w:r>
        <w:rPr>
          <w:rFonts w:ascii="Courier New" w:cs="Courier New" w:eastAsia="Courier New" w:hAnsi="Courier New"/>
          <w:color w:val="1B2A4A"/>
          <w:sz w:val="16"/>
          <w:szCs w:val="16"/>
        </w:rPr>
        <w:t xml:space="preserve">    "stat1n": "$400B",</w:t>
      </w:r>
    </w:p>
    <w:p>
      <w:pPr>
        <w:shd w:fill="F0F0F0" w:val="clear"/>
        <w:spacing w:after="14" w:before="14"/>
        <w:ind w:left="360"/>
      </w:pPr>
      <w:r>
        <w:rPr>
          <w:rFonts w:ascii="Courier New" w:cs="Courier New" w:eastAsia="Courier New" w:hAnsi="Courier New"/>
          <w:color w:val="1B2A4A"/>
          <w:sz w:val="16"/>
          <w:szCs w:val="16"/>
        </w:rPr>
        <w:t xml:space="preserve">    "stat1l": "India freight market by 2030",</w:t>
      </w:r>
    </w:p>
    <w:p>
      <w:pPr>
        <w:shd w:fill="F0F0F0" w:val="clear"/>
        <w:spacing w:after="14" w:before="14"/>
        <w:ind w:left="360"/>
      </w:pPr>
      <w:r>
        <w:rPr>
          <w:rFonts w:ascii="Courier New" w:cs="Courier New" w:eastAsia="Courier New" w:hAnsi="Courier New"/>
          <w:color w:val="1B2A4A"/>
          <w:sz w:val="16"/>
          <w:szCs w:val="16"/>
        </w:rPr>
        <w:t xml:space="preserve">    "stat1b": "International trade growth, PLI manufacturing exports, and PM GatiShakti infrastructure investment driving 15% annual freight market growth.",</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India freight mandate",</w:t>
      </w:r>
    </w:p>
    <w:p>
      <w:pPr>
        <w:shd w:fill="F0F0F0" w:val="clear"/>
        <w:spacing w:after="14" w:before="14"/>
        <w:ind w:left="360"/>
      </w:pPr>
      <w:r>
        <w:rPr>
          <w:rFonts w:ascii="Courier New" w:cs="Courier New" w:eastAsia="Courier New" w:hAnsi="Courier New"/>
          <w:color w:val="1B2A4A"/>
          <w:sz w:val="16"/>
          <w:szCs w:val="16"/>
        </w:rPr>
        <w:t xml:space="preserve">    "stat2b": "Indian shippers, customs officials, and logistics park operators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"8 weeks",</w:t>
      </w:r>
    </w:p>
    <w:p>
      <w:pPr>
        <w:shd w:fill="F0F0F0" w:val="clear"/>
        <w:spacing w:after="14" w:before="14"/>
        <w:ind w:left="360"/>
      </w:pPr>
      <w:r>
        <w:rPr>
          <w:rFonts w:ascii="Courier New" w:cs="Courier New" w:eastAsia="Courier New" w:hAnsi="Courier New"/>
          <w:color w:val="1B2A4A"/>
          <w:sz w:val="16"/>
          <w:szCs w:val="16"/>
        </w:rPr>
        <w:t xml:space="preserve">    "stat3l": "India freight and cargo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DGFT regulatory mapping and shipper demand research delivers India freight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"gulf-freight-cargo",</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"freight-cargo",</w:t>
      </w:r>
    </w:p>
    <w:p>
      <w:pPr>
        <w:shd w:fill="F0F0F0" w:val="clear"/>
        <w:spacing w:after="14" w:before="14"/>
        <w:ind w:left="360"/>
      </w:pPr>
      <w:r>
        <w:rPr>
          <w:rFonts w:ascii="Courier New" w:cs="Courier New" w:eastAsia="Courier New" w:hAnsi="Courier New"/>
          <w:color w:val="1B2A4A"/>
          <w:sz w:val="16"/>
          <w:szCs w:val="16"/>
        </w:rPr>
        <w:t xml:space="preserve">    "title": "Gulf Freight &amp; Cargo Market Entry Strategy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international freight and cargo companies enter Gulf markets with market entry strategy, GACA and customs regulatory mapping, logistics hub access, and GTM planning.",</w:t>
      </w:r>
    </w:p>
    <w:p>
      <w:pPr>
        <w:shd w:fill="F0F0F0" w:val="clear"/>
        <w:spacing w:after="14" w:before="14"/>
        <w:ind w:left="360"/>
      </w:pPr>
      <w:r>
        <w:rPr>
          <w:rFonts w:ascii="Courier New" w:cs="Courier New" w:eastAsia="Courier New" w:hAnsi="Courier New"/>
          <w:color w:val="1B2A4A"/>
          <w:sz w:val="16"/>
          <w:szCs w:val="16"/>
        </w:rPr>
        <w:t xml:space="preserve">    "h1": "Gulf freight and cargo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international freight operator to Gulf logistics hub — strategy for freight companies entering the GCC.",</w:t>
      </w:r>
    </w:p>
    <w:p>
      <w:pPr>
        <w:shd w:fill="F0F0F0" w:val="clear"/>
        <w:spacing w:after="14" w:before="14"/>
        <w:ind w:left="360"/>
      </w:pPr>
      <w:r>
        <w:rPr>
          <w:rFonts w:ascii="Courier New" w:cs="Courier New" w:eastAsia="Courier New" w:hAnsi="Courier New"/>
          <w:color w:val="1B2A4A"/>
          <w:sz w:val="16"/>
          <w:szCs w:val="16"/>
        </w:rPr>
        <w:t xml:space="preserve">    "hero": "The Gulf's freight and cargo market is one of the world's most strategically important — with Dubai's Jebel Ali Port handling 15 million TEUs annually as the world's ninth-largest port, Saudi Arabia's NEOM Oxagon creating the world's largest fully automated port and industrial zone, UAE and Saudi Arabia both investing in logistics hub infrastructure as part of economic diversification, and Gulf's geographical position as the world's most important air cargo hub. International freight forwarders, 3PL operators, cargo airlines, and port logistics companies are all evaluating Gulf market entry. GreyRadius helps freight companies validate Gulf trade and logistics demand, navigate GACA and customs requirements, identify logistics hub partnerships, and execute market entry.",</w:t>
      </w:r>
    </w:p>
    <w:p>
      <w:pPr>
        <w:shd w:fill="F0F0F0" w:val="clear"/>
        <w:spacing w:after="14" w:before="14"/>
        <w:ind w:left="360"/>
      </w:pPr>
      <w:r>
        <w:rPr>
          <w:rFonts w:ascii="Courier New" w:cs="Courier New" w:eastAsia="Courier New" w:hAnsi="Courier New"/>
          <w:color w:val="1B2A4A"/>
          <w:sz w:val="16"/>
          <w:szCs w:val="16"/>
        </w:rPr>
        <w:t xml:space="preserve">    "market_timing": "Saudi Arabia's NMDP (National Maritime Development Programme) is creating $3B+ in new port and logistics infrastructure — Saudi Ports Authority, Maaden, and ARAMCO logistics requirements all creating new logistics operator partnerships in a market that has been underserved by international logistics companies. The freight companies establishing Saudi logistics infrastructure relationships in 2024-2027 will benefit from Vision 2030 trade facilitation investment.",</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"Gulf freight market is projected to reach $100B by 2028 — growing at 10% annually as Vision 2030 trade diversification, port infrastructure investment, and e-commerce logistics scale.",</w:t>
      </w:r>
    </w:p>
    <w:p>
      <w:pPr>
        <w:shd w:fill="F0F0F0" w:val="clear"/>
        <w:spacing w:after="14" w:before="14"/>
        <w:ind w:left="360"/>
      </w:pPr>
      <w:r>
        <w:rPr>
          <w:rFonts w:ascii="Courier New" w:cs="Courier New" w:eastAsia="Courier New" w:hAnsi="Courier New"/>
          <w:color w:val="1B2A4A"/>
          <w:sz w:val="16"/>
          <w:szCs w:val="16"/>
        </w:rPr>
        <w:t xml:space="preserve">      "Jebel Ali Port is the world's most efficient large port — 15 million TEU annual capacity with 100+ shipping lines creating the most connected maritime logistics hub in the emerging world.",</w:t>
      </w:r>
    </w:p>
    <w:p>
      <w:pPr>
        <w:shd w:fill="F0F0F0" w:val="clear"/>
        <w:spacing w:after="14" w:before="14"/>
        <w:ind w:left="360"/>
      </w:pPr>
      <w:r>
        <w:rPr>
          <w:rFonts w:ascii="Courier New" w:cs="Courier New" w:eastAsia="Courier New" w:hAnsi="Courier New"/>
          <w:color w:val="1B2A4A"/>
          <w:sz w:val="16"/>
          <w:szCs w:val="16"/>
        </w:rPr>
        <w:t xml:space="preserve">      "Saudi Arabia is investing $3B+ in new port capacity — NMDP and Ras Al-Khair industrial port creating logistics infrastructure that international operators can access as anchor tenants.",</w:t>
      </w:r>
    </w:p>
    <w:p>
      <w:pPr>
        <w:shd w:fill="F0F0F0" w:val="clear"/>
        <w:spacing w:after="14" w:before="14"/>
        <w:ind w:left="360"/>
      </w:pPr>
      <w:r>
        <w:rPr>
          <w:rFonts w:ascii="Courier New" w:cs="Courier New" w:eastAsia="Courier New" w:hAnsi="Courier New"/>
          <w:color w:val="1B2A4A"/>
          <w:sz w:val="16"/>
          <w:szCs w:val="16"/>
        </w:rPr>
        <w:t xml:space="preserve">      "Gulf air cargo is growing at 15% annually — Dubai as the world's busiest international cargo airport and Riyadh cargo expansion creating logistics opportunities for international cargo operators."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"Gulf customs and trade documentation varies by country — UAE, Saudi Arabia, and Qatar all have different trade documentation, ATA carnet, and customs clearance processes requiring market-specific compliance.",</w:t>
      </w:r>
    </w:p>
    <w:p>
      <w:pPr>
        <w:shd w:fill="F0F0F0" w:val="clear"/>
        <w:spacing w:after="14" w:before="14"/>
        <w:ind w:left="360"/>
      </w:pPr>
      <w:r>
        <w:rPr>
          <w:rFonts w:ascii="Courier New" w:cs="Courier New" w:eastAsia="Courier New" w:hAnsi="Courier New"/>
          <w:color w:val="1B2A4A"/>
          <w:sz w:val="16"/>
          <w:szCs w:val="16"/>
        </w:rPr>
        <w:t xml:space="preserve">      "Competition from established Gulf logistics operators — DP World, ADPC, and Saudi International Ports — with established shipper relationships and government backing is intense.",</w:t>
      </w:r>
    </w:p>
    <w:p>
      <w:pPr>
        <w:shd w:fill="F0F0F0" w:val="clear"/>
        <w:spacing w:after="14" w:before="14"/>
        <w:ind w:left="360"/>
      </w:pPr>
      <w:r>
        <w:rPr>
          <w:rFonts w:ascii="Courier New" w:cs="Courier New" w:eastAsia="Courier New" w:hAnsi="Courier New"/>
          <w:color w:val="1B2A4A"/>
          <w:sz w:val="16"/>
          <w:szCs w:val="16"/>
        </w:rPr>
        <w:t xml:space="preserve">      "ICV requirements apply to Saudi logistics contracts — local workforce, local spending, and Saudi maritime transport utilisation all factor into ICV scoring for Saudi government logistics contracts.",</w:t>
      </w:r>
    </w:p>
    <w:p>
      <w:pPr>
        <w:shd w:fill="F0F0F0" w:val="clear"/>
        <w:spacing w:after="14" w:before="14"/>
        <w:ind w:left="360"/>
      </w:pPr>
      <w:r>
        <w:rPr>
          <w:rFonts w:ascii="Courier New" w:cs="Courier New" w:eastAsia="Courier New" w:hAnsi="Courier New"/>
          <w:color w:val="1B2A4A"/>
          <w:sz w:val="16"/>
          <w:szCs w:val="16"/>
        </w:rPr>
        <w:t xml:space="preserve">      "Gulf logistics talent availability is limited — qualified logistics and supply chain professionals in Gulf are scarce requiring investment in talent development and retention."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"Gulf freight demand validation|You need to validate Gulf shipper and trade route demand for your freight service and understand GACA and customs regulatory requirements.",</w:t>
      </w:r>
    </w:p>
    <w:p>
      <w:pPr>
        <w:shd w:fill="F0F0F0" w:val="clear"/>
        <w:spacing w:after="14" w:before="14"/>
        <w:ind w:left="360"/>
      </w:pPr>
      <w:r>
        <w:rPr>
          <w:rFonts w:ascii="Courier New" w:cs="Courier New" w:eastAsia="Courier New" w:hAnsi="Courier New"/>
          <w:color w:val="1B2A4A"/>
          <w:sz w:val="16"/>
          <w:szCs w:val="16"/>
        </w:rPr>
        <w:t xml:space="preserve">      "Gulf customs and GACA regulatory pathway|You need to understand UAE FTA, Saudi ZATCA customs, and GACA air cargo regulatory requirements for your freight service.",</w:t>
      </w:r>
    </w:p>
    <w:p>
      <w:pPr>
        <w:shd w:fill="F0F0F0" w:val="clear"/>
        <w:spacing w:after="14" w:before="14"/>
        <w:ind w:left="360"/>
      </w:pPr>
      <w:r>
        <w:rPr>
          <w:rFonts w:ascii="Courier New" w:cs="Courier New" w:eastAsia="Courier New" w:hAnsi="Courier New"/>
          <w:color w:val="1B2A4A"/>
          <w:sz w:val="16"/>
          <w:szCs w:val="16"/>
        </w:rPr>
        <w:t xml:space="preserve">      "Gulf logistics hub and partner identification|You need Jebel Ali Free Zone, Saudi Ports Authority logistics zone, and Gulf warehouse and distribution partner identification.",</w:t>
      </w:r>
    </w:p>
    <w:p>
      <w:pPr>
        <w:shd w:fill="F0F0F0" w:val="clear"/>
        <w:spacing w:after="14" w:before="14"/>
        <w:ind w:left="360"/>
      </w:pPr>
      <w:r>
        <w:rPr>
          <w:rFonts w:ascii="Courier New" w:cs="Courier New" w:eastAsia="Courier New" w:hAnsi="Courier New"/>
          <w:color w:val="1B2A4A"/>
          <w:sz w:val="16"/>
          <w:szCs w:val="16"/>
        </w:rPr>
        <w:t xml:space="preserve">      "Gulf freight GTM strategy|You need a go-to-market plan covering UAE logistics hub positioning, Saudi NMDP programme access, and Gulf e-commerce logistics acquisition.",</w:t>
      </w:r>
    </w:p>
    <w:p>
      <w:pPr>
        <w:shd w:fill="F0F0F0" w:val="clear"/>
        <w:spacing w:after="14" w:before="14"/>
        <w:ind w:left="360"/>
      </w:pPr>
      <w:r>
        <w:rPr>
          <w:rFonts w:ascii="Courier New" w:cs="Courier New" w:eastAsia="Courier New" w:hAnsi="Courier New"/>
          <w:color w:val="1B2A4A"/>
          <w:sz w:val="16"/>
          <w:szCs w:val="16"/>
        </w:rPr>
        <w:t xml:space="preserve">      "Raising capital for Gulf freight investment|You need a pitch book grounded in Gulf freight market data and Vision 2030 trade facilitation investment analysis.",</w:t>
      </w:r>
    </w:p>
    <w:p>
      <w:pPr>
        <w:shd w:fill="F0F0F0" w:val="clear"/>
        <w:spacing w:after="14" w:before="14"/>
        <w:ind w:left="360"/>
      </w:pPr>
      <w:r>
        <w:rPr>
          <w:rFonts w:ascii="Courier New" w:cs="Courier New" w:eastAsia="Courier New" w:hAnsi="Courier New"/>
          <w:color w:val="1B2A4A"/>
          <w:sz w:val="16"/>
          <w:szCs w:val="16"/>
        </w:rPr>
        <w:t xml:space="preserve">      "Saudi ICV and logistics localisation strategy|You need an ICV compliance plan for Saudi logistics contracts covering Saudi workforce and local logistics service utilisation."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Gulf shipper demand for your freight service with EXIM trader interviews and Gulf customs regulatory mapping.",</w:t>
      </w:r>
    </w:p>
    <w:p>
      <w:pPr>
        <w:shd w:fill="F0F0F0" w:val="clear"/>
        <w:spacing w:after="14" w:before="14"/>
        <w:ind w:left="360"/>
      </w:pPr>
      <w:r>
        <w:rPr>
          <w:rFonts w:ascii="Courier New" w:cs="Courier New" w:eastAsia="Courier New" w:hAnsi="Courier New"/>
          <w:color w:val="1B2A4A"/>
          <w:sz w:val="16"/>
          <w:szCs w:val="16"/>
        </w:rPr>
        <w:t xml:space="preserve">      "Full financial feasibility for Gulf freight investment covering customs compliance and logistics hub economics.",</w:t>
      </w:r>
    </w:p>
    <w:p>
      <w:pPr>
        <w:shd w:fill="F0F0F0" w:val="clear"/>
        <w:spacing w:after="14" w:before="14"/>
        <w:ind w:left="360"/>
      </w:pPr>
      <w:r>
        <w:rPr>
          <w:rFonts w:ascii="Courier New" w:cs="Courier New" w:eastAsia="Courier New" w:hAnsi="Courier New"/>
          <w:color w:val="1B2A4A"/>
          <w:sz w:val="16"/>
          <w:szCs w:val="16"/>
        </w:rPr>
        <w:t xml:space="preserve">      "End-to-end Gulf freight market entry including regulatory pathway, logistics hub identification, and first-shipper-contract milestone.",</w:t>
      </w:r>
    </w:p>
    <w:p>
      <w:pPr>
        <w:shd w:fill="F0F0F0" w:val="clear"/>
        <w:spacing w:after="14" w:before="14"/>
        <w:ind w:left="360"/>
      </w:pPr>
      <w:r>
        <w:rPr>
          <w:rFonts w:ascii="Courier New" w:cs="Courier New" w:eastAsia="Courier New" w:hAnsi="Courier New"/>
          <w:color w:val="1B2A4A"/>
          <w:sz w:val="16"/>
          <w:szCs w:val="16"/>
        </w:rPr>
        <w:t xml:space="preserve">      "Embedded Gulf freight GTM team covering NMDP programme and Jebel Ali anchor tenant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Gulf freight investment with Vision 2030 trade and NMDP logistics narrative.",</w:t>
      </w:r>
    </w:p>
    <w:p>
      <w:pPr>
        <w:shd w:fill="F0F0F0" w:val="clear"/>
        <w:spacing w:after="14" w:before="14"/>
        <w:ind w:left="360"/>
      </w:pPr>
      <w:r>
        <w:rPr>
          <w:rFonts w:ascii="Courier New" w:cs="Courier New" w:eastAsia="Courier New" w:hAnsi="Courier New"/>
          <w:color w:val="1B2A4A"/>
          <w:sz w:val="16"/>
          <w:szCs w:val="16"/>
        </w:rPr>
        <w:t xml:space="preserve">      "Saudi logistics ICV strategy — from workforce localisation to Saudi maritime transport utilisation compliance."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freight forwarders or also with 3PL operators, cargo airlines, and port logistics companies entering the Gulf?|All freight and cargo categories.",</w:t>
      </w:r>
    </w:p>
    <w:p>
      <w:pPr>
        <w:shd w:fill="F0F0F0" w:val="clear"/>
        <w:spacing w:after="14" w:before="14"/>
        <w:ind w:left="360"/>
      </w:pPr>
      <w:r>
        <w:rPr>
          <w:rFonts w:ascii="Courier New" w:cs="Courier New" w:eastAsia="Courier New" w:hAnsi="Courier New"/>
          <w:color w:val="1B2A4A"/>
          <w:sz w:val="16"/>
          <w:szCs w:val="16"/>
        </w:rPr>
        <w:t xml:space="preserve">      "How long does a Gulf freight engagement take?|Typically 8-12 weeks for shipper demand research, customs regulatory mapping, and logistics hub identification.",</w:t>
      </w:r>
    </w:p>
    <w:p>
      <w:pPr>
        <w:shd w:fill="F0F0F0" w:val="clear"/>
        <w:spacing w:after="14" w:before="14"/>
        <w:ind w:left="360"/>
      </w:pPr>
      <w:r>
        <w:rPr>
          <w:rFonts w:ascii="Courier New" w:cs="Courier New" w:eastAsia="Courier New" w:hAnsi="Courier New"/>
          <w:color w:val="1B2A4A"/>
          <w:sz w:val="16"/>
          <w:szCs w:val="16"/>
        </w:rPr>
        <w:t xml:space="preserve">      "Can GreyRadius identify Jebel Ali Free Zone and Saudi Ports Authority access opportunities?|Yes.",</w:t>
      </w:r>
    </w:p>
    <w:p>
      <w:pPr>
        <w:shd w:fill="F0F0F0" w:val="clear"/>
        <w:spacing w:after="14" w:before="14"/>
        <w:ind w:left="360"/>
      </w:pPr>
      <w:r>
        <w:rPr>
          <w:rFonts w:ascii="Courier New" w:cs="Courier New" w:eastAsia="Courier New" w:hAnsi="Courier New"/>
          <w:color w:val="1B2A4A"/>
          <w:sz w:val="16"/>
          <w:szCs w:val="16"/>
        </w:rPr>
        <w:t xml:space="preserve">      "How does Saudi Arabia's NMDP affect Gulf freight market entry?|NMDP creates new port infrastructure and government logistics procurement — we map NMDP programme access opportunities in every Saudi freight engagement."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"Gulf freight cargo market entry, Jebel Ali logistics GTM strategy, Saudi Arabia NMDP consulting, UAE customs advisory, Gulf logistics market entry strategy",</w:t>
      </w:r>
    </w:p>
    <w:p>
      <w:pPr>
        <w:shd w:fill="F0F0F0" w:val="clear"/>
        <w:spacing w:after="14" w:before="14"/>
        <w:ind w:left="360"/>
      </w:pPr>
      <w:r>
        <w:rPr>
          <w:rFonts w:ascii="Courier New" w:cs="Courier New" w:eastAsia="Courier New" w:hAnsi="Courier New"/>
          <w:color w:val="1B2A4A"/>
          <w:sz w:val="16"/>
          <w:szCs w:val="16"/>
        </w:rPr>
        <w:t xml:space="preserve">    "regions": "UAE — Jebel Ali Port and Dubai South cargo hub; Saudi Arabia — Jeddah Islamic Port, King Abdullah Port, and Ras Al-Khair industrial port",</w:t>
      </w:r>
    </w:p>
    <w:p>
      <w:pPr>
        <w:shd w:fill="F0F0F0" w:val="clear"/>
        <w:spacing w:after="14" w:before="14"/>
        <w:ind w:left="360"/>
      </w:pPr>
      <w:r>
        <w:rPr>
          <w:rFonts w:ascii="Courier New" w:cs="Courier New" w:eastAsia="Courier New" w:hAnsi="Courier New"/>
          <w:color w:val="1B2A4A"/>
          <w:sz w:val="16"/>
          <w:szCs w:val="16"/>
        </w:rPr>
        <w:t xml:space="preserve">    "stat1n": "$100B",</w:t>
      </w:r>
    </w:p>
    <w:p>
      <w:pPr>
        <w:shd w:fill="F0F0F0" w:val="clear"/>
        <w:spacing w:after="14" w:before="14"/>
        <w:ind w:left="360"/>
      </w:pPr>
      <w:r>
        <w:rPr>
          <w:rFonts w:ascii="Courier New" w:cs="Courier New" w:eastAsia="Courier New" w:hAnsi="Courier New"/>
          <w:color w:val="1B2A4A"/>
          <w:sz w:val="16"/>
          <w:szCs w:val="16"/>
        </w:rPr>
        <w:t xml:space="preserve">    "stat1l": "Gulf freight market by 2028",</w:t>
      </w:r>
    </w:p>
    <w:p>
      <w:pPr>
        <w:shd w:fill="F0F0F0" w:val="clear"/>
        <w:spacing w:after="14" w:before="14"/>
        <w:ind w:left="360"/>
      </w:pPr>
      <w:r>
        <w:rPr>
          <w:rFonts w:ascii="Courier New" w:cs="Courier New" w:eastAsia="Courier New" w:hAnsi="Courier New"/>
          <w:color w:val="1B2A4A"/>
          <w:sz w:val="16"/>
          <w:szCs w:val="16"/>
        </w:rPr>
        <w:t xml:space="preserve">    "stat1b": "Vision 2030 trade diversification, port infrastructure investment, and e-commerce logistics scaling driving 10% annual freight market growth.",</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Gulf freight mandate",</w:t>
      </w:r>
    </w:p>
    <w:p>
      <w:pPr>
        <w:shd w:fill="F0F0F0" w:val="clear"/>
        <w:spacing w:after="14" w:before="14"/>
        <w:ind w:left="360"/>
      </w:pPr>
      <w:r>
        <w:rPr>
          <w:rFonts w:ascii="Courier New" w:cs="Courier New" w:eastAsia="Courier New" w:hAnsi="Courier New"/>
          <w:color w:val="1B2A4A"/>
          <w:sz w:val="16"/>
          <w:szCs w:val="16"/>
        </w:rPr>
        <w:t xml:space="preserve">    "stat2b": "Gulf shippers, port authority contacts, and logistics operators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"8 weeks",</w:t>
      </w:r>
    </w:p>
    <w:p>
      <w:pPr>
        <w:shd w:fill="F0F0F0" w:val="clear"/>
        <w:spacing w:after="14" w:before="14"/>
        <w:ind w:left="360"/>
      </w:pPr>
      <w:r>
        <w:rPr>
          <w:rFonts w:ascii="Courier New" w:cs="Courier New" w:eastAsia="Courier New" w:hAnsi="Courier New"/>
          <w:color w:val="1B2A4A"/>
          <w:sz w:val="16"/>
          <w:szCs w:val="16"/>
        </w:rPr>
        <w:t xml:space="preserve">    "stat3l": "Gulf freight and cargo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customs regulatory mapping and shipper demand research delivers Gulf freight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"india-last-mile",</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"last-mile-delivery",</w:t>
      </w:r>
    </w:p>
    <w:p>
      <w:pPr>
        <w:shd w:fill="F0F0F0" w:val="clear"/>
        <w:spacing w:after="14" w:before="14"/>
        <w:ind w:left="360"/>
      </w:pPr>
      <w:r>
        <w:rPr>
          <w:rFonts w:ascii="Courier New" w:cs="Courier New" w:eastAsia="Courier New" w:hAnsi="Courier New"/>
          <w:color w:val="1B2A4A"/>
          <w:sz w:val="16"/>
          <w:szCs w:val="16"/>
        </w:rPr>
        <w:t xml:space="preserve">    "title": "India Last Mile Delivery Market Entry Strategy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international last mile delivery and logistics companies enter India with market entry strategy, e-commerce logistics demand research, delivery partner identification, and GTM planning.",</w:t>
      </w:r>
    </w:p>
    <w:p>
      <w:pPr>
        <w:shd w:fill="F0F0F0" w:val="clear"/>
        <w:spacing w:after="14" w:before="14"/>
        <w:ind w:left="360"/>
      </w:pPr>
      <w:r>
        <w:rPr>
          <w:rFonts w:ascii="Courier New" w:cs="Courier New" w:eastAsia="Courier New" w:hAnsi="Courier New"/>
          <w:color w:val="1B2A4A"/>
          <w:sz w:val="16"/>
          <w:szCs w:val="16"/>
        </w:rPr>
        <w:t xml:space="preserve">    "h1": "India last mile delivery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international delivery technology to India's e-commerce logistics — strategy for last mile companies entering India.",</w:t>
      </w:r>
    </w:p>
    <w:p>
      <w:pPr>
        <w:shd w:fill="F0F0F0" w:val="clear"/>
        <w:spacing w:after="14" w:before="14"/>
        <w:ind w:left="360"/>
      </w:pPr>
      <w:r>
        <w:rPr>
          <w:rFonts w:ascii="Courier New" w:cs="Courier New" w:eastAsia="Courier New" w:hAnsi="Courier New"/>
          <w:color w:val="1B2A4A"/>
          <w:sz w:val="16"/>
          <w:szCs w:val="16"/>
        </w:rPr>
        <w:t xml:space="preserve">    "hero": "India's last mile delivery market is the world's fastest-growing — with India's e-commerce growing at 25% annually, quick commerce delivering 400 million orders monthly, India's fragmented geography creating complex last mile delivery infrastructure requirements, and technology-enabled delivery platforms creating B2B and B2C last mile delivery demand. International last mile delivery companies, delivery technology platforms, and logistics automation companies are all evaluating India as a high-growth last mile market. GreyRadius helps last mile companies validate Indian e-commerce and quick commerce demand, navigate regulatory requirements, identify logistics partner and anchor customer opportunities, and execute GTM.",</w:t>
      </w:r>
    </w:p>
    <w:p>
      <w:pPr>
        <w:shd w:fill="F0F0F0" w:val="clear"/>
        <w:spacing w:after="14" w:before="14"/>
        <w:ind w:left="360"/>
      </w:pPr>
      <w:r>
        <w:rPr>
          <w:rFonts w:ascii="Courier New" w:cs="Courier New" w:eastAsia="Courier New" w:hAnsi="Courier New"/>
          <w:color w:val="1B2A4A"/>
          <w:sz w:val="16"/>
          <w:szCs w:val="16"/>
        </w:rPr>
        <w:t xml:space="preserve">    "market_timing": "India's quick commerce market is the world's largest and most contested — Blinkit, Zepto, and Swiggy Instamart all scaling simultaneously and all requiring last mile delivery technology, routing optimisation, and delivery fleet management solutions. The last mile technology companies establishing quick commerce client relationships in 2024-2027 will benefit from the most rapid last mile delivery infrastructure build in any market globally.",</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"India's last mile delivery market is projected to reach $25B by 2027 — growing at 20% annually as e-commerce volume, quick commerce expansion, and D2C brand delivery demand all scale.",</w:t>
      </w:r>
    </w:p>
    <w:p>
      <w:pPr>
        <w:shd w:fill="F0F0F0" w:val="clear"/>
        <w:spacing w:after="14" w:before="14"/>
        <w:ind w:left="360"/>
      </w:pPr>
      <w:r>
        <w:rPr>
          <w:rFonts w:ascii="Courier New" w:cs="Courier New" w:eastAsia="Courier New" w:hAnsi="Courier New"/>
          <w:color w:val="1B2A4A"/>
          <w:sz w:val="16"/>
          <w:szCs w:val="16"/>
        </w:rPr>
        <w:t xml:space="preserve">      "India's quick commerce is growing at 70% annually — fastest growth of any e-commerce category creating extraordinary demand for last mile delivery infrastructure and technology.",</w:t>
      </w:r>
    </w:p>
    <w:p>
      <w:pPr>
        <w:shd w:fill="F0F0F0" w:val="clear"/>
        <w:spacing w:after="14" w:before="14"/>
        <w:ind w:left="360"/>
      </w:pPr>
      <w:r>
        <w:rPr>
          <w:rFonts w:ascii="Courier New" w:cs="Courier New" w:eastAsia="Courier New" w:hAnsi="Courier New"/>
          <w:color w:val="1B2A4A"/>
          <w:sz w:val="16"/>
          <w:szCs w:val="16"/>
        </w:rPr>
        <w:t xml:space="preserve">      "India's 600,000+ pin codes create the world's most complex last mile delivery geography — routing optimisation, address standardisation, and rural delivery infrastructure all creating technology demand.",</w:t>
      </w:r>
    </w:p>
    <w:p>
      <w:pPr>
        <w:shd w:fill="F0F0F0" w:val="clear"/>
        <w:spacing w:after="14" w:before="14"/>
        <w:ind w:left="360"/>
      </w:pPr>
      <w:r>
        <w:rPr>
          <w:rFonts w:ascii="Courier New" w:cs="Courier New" w:eastAsia="Courier New" w:hAnsi="Courier New"/>
          <w:color w:val="1B2A4A"/>
          <w:sz w:val="16"/>
          <w:szCs w:val="16"/>
        </w:rPr>
        <w:t xml:space="preserve">      "Hyperlocal delivery is growing beyond food — fashion, grocery, electronics, and pharmaceutical same-day delivery all scaling as Indian consumers adopt hyperlocal delivery across categories."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"India address infrastructure is fragmented — non-standardised addresses, limited GPS coverage in older urban areas, and rural delivery complexity all require India-specific address resolution technology.",</w:t>
      </w:r>
    </w:p>
    <w:p>
      <w:pPr>
        <w:shd w:fill="F0F0F0" w:val="clear"/>
        <w:spacing w:after="14" w:before="14"/>
        <w:ind w:left="360"/>
      </w:pPr>
      <w:r>
        <w:rPr>
          <w:rFonts w:ascii="Courier New" w:cs="Courier New" w:eastAsia="Courier New" w:hAnsi="Courier New"/>
          <w:color w:val="1B2A4A"/>
          <w:sz w:val="16"/>
          <w:szCs w:val="16"/>
        </w:rPr>
        <w:t xml:space="preserve">      "Gig worker regulation is evolving — India's platform economy worker classification and social security requirements are creating regulatory uncertainty for delivery company workforce models.",</w:t>
      </w:r>
    </w:p>
    <w:p>
      <w:pPr>
        <w:shd w:fill="F0F0F0" w:val="clear"/>
        <w:spacing w:after="14" w:before="14"/>
        <w:ind w:left="360"/>
      </w:pPr>
      <w:r>
        <w:rPr>
          <w:rFonts w:ascii="Courier New" w:cs="Courier New" w:eastAsia="Courier New" w:hAnsi="Courier New"/>
          <w:color w:val="1B2A4A"/>
          <w:sz w:val="16"/>
          <w:szCs w:val="16"/>
        </w:rPr>
        <w:t xml:space="preserve">      "Competition from established India last mile operators — Delhivery, Ecom Express, and Shadowfax — with established e-commerce client relationships and nationwide pin code coverage is intense.",</w:t>
      </w:r>
    </w:p>
    <w:p>
      <w:pPr>
        <w:shd w:fill="F0F0F0" w:val="clear"/>
        <w:spacing w:after="14" w:before="14"/>
        <w:ind w:left="360"/>
      </w:pPr>
      <w:r>
        <w:rPr>
          <w:rFonts w:ascii="Courier New" w:cs="Courier New" w:eastAsia="Courier New" w:hAnsi="Courier New"/>
          <w:color w:val="1B2A4A"/>
          <w:sz w:val="16"/>
          <w:szCs w:val="16"/>
        </w:rPr>
        <w:t xml:space="preserve">      "Payment collection for cash-on-delivery is a persistent India logistics complexity — 40%+ of India e-commerce still cash-on-delivery requiring last mile delivery companies to manage payment collection."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"India last mile demand validation|You need to validate e-commerce and quick commerce shipper demand for your last mile service and understand regulatory requirements.",</w:t>
      </w:r>
    </w:p>
    <w:p>
      <w:pPr>
        <w:shd w:fill="F0F0F0" w:val="clear"/>
        <w:spacing w:after="14" w:before="14"/>
        <w:ind w:left="360"/>
      </w:pPr>
      <w:r>
        <w:rPr>
          <w:rFonts w:ascii="Courier New" w:cs="Courier New" w:eastAsia="Courier New" w:hAnsi="Courier New"/>
          <w:color w:val="1B2A4A"/>
          <w:sz w:val="16"/>
          <w:szCs w:val="16"/>
        </w:rPr>
        <w:t xml:space="preserve">      "India gig worker and logistics regulatory pathway|You need to understand platform worker regulation, vehicle type licensing, and cross-state delivery compliance.",</w:t>
      </w:r>
    </w:p>
    <w:p>
      <w:pPr>
        <w:shd w:fill="F0F0F0" w:val="clear"/>
        <w:spacing w:after="14" w:before="14"/>
        <w:ind w:left="360"/>
      </w:pPr>
      <w:r>
        <w:rPr>
          <w:rFonts w:ascii="Courier New" w:cs="Courier New" w:eastAsia="Courier New" w:hAnsi="Courier New"/>
          <w:color w:val="1B2A4A"/>
          <w:sz w:val="16"/>
          <w:szCs w:val="16"/>
        </w:rPr>
        <w:t xml:space="preserve">      "India last mile anchor customer and partner identification|You need e-commerce brand, quick commerce operator, and D2C brand customer identification as anchor clients.",</w:t>
      </w:r>
    </w:p>
    <w:p>
      <w:pPr>
        <w:shd w:fill="F0F0F0" w:val="clear"/>
        <w:spacing w:after="14" w:before="14"/>
        <w:ind w:left="360"/>
      </w:pPr>
      <w:r>
        <w:rPr>
          <w:rFonts w:ascii="Courier New" w:cs="Courier New" w:eastAsia="Courier New" w:hAnsi="Courier New"/>
          <w:color w:val="1B2A4A"/>
          <w:sz w:val="16"/>
          <w:szCs w:val="16"/>
        </w:rPr>
        <w:t xml:space="preserve">      "India last mile GTM strategy|You need a go-to-market plan covering quick commerce technology, e-commerce 3PL, and D2C brand last mile positioning.",</w:t>
      </w:r>
    </w:p>
    <w:p>
      <w:pPr>
        <w:shd w:fill="F0F0F0" w:val="clear"/>
        <w:spacing w:after="14" w:before="14"/>
        <w:ind w:left="360"/>
      </w:pPr>
      <w:r>
        <w:rPr>
          <w:rFonts w:ascii="Courier New" w:cs="Courier New" w:eastAsia="Courier New" w:hAnsi="Courier New"/>
          <w:color w:val="1B2A4A"/>
          <w:sz w:val="16"/>
          <w:szCs w:val="16"/>
        </w:rPr>
        <w:t xml:space="preserve">      "Raising capital for India last mile investment|You need a pitch book grounded in India last mile market data and quick commerce growth analysis.",</w:t>
      </w:r>
    </w:p>
    <w:p>
      <w:pPr>
        <w:shd w:fill="F0F0F0" w:val="clear"/>
        <w:spacing w:after="14" w:before="14"/>
        <w:ind w:left="360"/>
      </w:pPr>
      <w:r>
        <w:rPr>
          <w:rFonts w:ascii="Courier New" w:cs="Courier New" w:eastAsia="Courier New" w:hAnsi="Courier New"/>
          <w:color w:val="1B2A4A"/>
          <w:sz w:val="16"/>
          <w:szCs w:val="16"/>
        </w:rPr>
        <w:t xml:space="preserve">      "India address resolution and routing strategy|You need an India-specific address standardisation and delivery routing optimisation approach."</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Indian e-commerce shipper demand for your last mile service with shipper interviews and regulatory mapping.",</w:t>
      </w:r>
    </w:p>
    <w:p>
      <w:pPr>
        <w:shd w:fill="F0F0F0" w:val="clear"/>
        <w:spacing w:after="14" w:before="14"/>
        <w:ind w:left="360"/>
      </w:pPr>
      <w:r>
        <w:rPr>
          <w:rFonts w:ascii="Courier New" w:cs="Courier New" w:eastAsia="Courier New" w:hAnsi="Courier New"/>
          <w:color w:val="1B2A4A"/>
          <w:sz w:val="16"/>
          <w:szCs w:val="16"/>
        </w:rPr>
        <w:t xml:space="preserve">      "Full financial feasibility for India last mile investment covering gig worker economics and anchor customer contract analysis.",</w:t>
      </w:r>
    </w:p>
    <w:p>
      <w:pPr>
        <w:shd w:fill="F0F0F0" w:val="clear"/>
        <w:spacing w:after="14" w:before="14"/>
        <w:ind w:left="360"/>
      </w:pPr>
      <w:r>
        <w:rPr>
          <w:rFonts w:ascii="Courier New" w:cs="Courier New" w:eastAsia="Courier New" w:hAnsi="Courier New"/>
          <w:color w:val="1B2A4A"/>
          <w:sz w:val="16"/>
          <w:szCs w:val="16"/>
        </w:rPr>
        <w:t xml:space="preserve">      "End-to-end India last mile market entry including regulatory pathway, anchor customer identification, and first-delivery-volume milestone.",</w:t>
      </w:r>
    </w:p>
    <w:p>
      <w:pPr>
        <w:shd w:fill="F0F0F0" w:val="clear"/>
        <w:spacing w:after="14" w:before="14"/>
        <w:ind w:left="360"/>
      </w:pPr>
      <w:r>
        <w:rPr>
          <w:rFonts w:ascii="Courier New" w:cs="Courier New" w:eastAsia="Courier New" w:hAnsi="Courier New"/>
          <w:color w:val="1B2A4A"/>
          <w:sz w:val="16"/>
          <w:szCs w:val="16"/>
        </w:rPr>
        <w:t xml:space="preserve">      "Embedded India last mile GTM team covering quick commerce and e-commerce brand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India last mile investment with quick commerce growth and e-commerce logistics narrative.",</w:t>
      </w:r>
    </w:p>
    <w:p>
      <w:pPr>
        <w:shd w:fill="F0F0F0" w:val="clear"/>
        <w:spacing w:after="14" w:before="14"/>
        <w:ind w:left="360"/>
      </w:pPr>
      <w:r>
        <w:rPr>
          <w:rFonts w:ascii="Courier New" w:cs="Courier New" w:eastAsia="Courier New" w:hAnsi="Courier New"/>
          <w:color w:val="1B2A4A"/>
          <w:sz w:val="16"/>
          <w:szCs w:val="16"/>
        </w:rPr>
        <w:t xml:space="preserve">      "AI use-case identification — from AI-powered India address resolution to delivery route optimisation for India's complex urban geography."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last mile delivery operators or also with delivery technology, routing optimisation, and logistics automation companies entering India?|All last mile categories.",</w:t>
      </w:r>
    </w:p>
    <w:p>
      <w:pPr>
        <w:shd w:fill="F0F0F0" w:val="clear"/>
        <w:spacing w:after="14" w:before="14"/>
        <w:ind w:left="360"/>
      </w:pPr>
      <w:r>
        <w:rPr>
          <w:rFonts w:ascii="Courier New" w:cs="Courier New" w:eastAsia="Courier New" w:hAnsi="Courier New"/>
          <w:color w:val="1B2A4A"/>
          <w:sz w:val="16"/>
          <w:szCs w:val="16"/>
        </w:rPr>
        <w:t xml:space="preserve">      "How long does an India last mile engagement take?|Typically 6-8 weeks for shipper demand research, regulatory mapping, and anchor customer identification.",</w:t>
      </w:r>
    </w:p>
    <w:p>
      <w:pPr>
        <w:shd w:fill="F0F0F0" w:val="clear"/>
        <w:spacing w:after="14" w:before="14"/>
        <w:ind w:left="360"/>
      </w:pPr>
      <w:r>
        <w:rPr>
          <w:rFonts w:ascii="Courier New" w:cs="Courier New" w:eastAsia="Courier New" w:hAnsi="Courier New"/>
          <w:color w:val="1B2A4A"/>
          <w:sz w:val="16"/>
          <w:szCs w:val="16"/>
        </w:rPr>
        <w:t xml:space="preserve">      "Can GreyRadius identify quick commerce operator contacts for last mile technology companies?|Yes.",</w:t>
      </w:r>
    </w:p>
    <w:p>
      <w:pPr>
        <w:shd w:fill="F0F0F0" w:val="clear"/>
        <w:spacing w:after="14" w:before="14"/>
        <w:ind w:left="360"/>
      </w:pPr>
      <w:r>
        <w:rPr>
          <w:rFonts w:ascii="Courier New" w:cs="Courier New" w:eastAsia="Courier New" w:hAnsi="Courier New"/>
          <w:color w:val="1B2A4A"/>
          <w:sz w:val="16"/>
          <w:szCs w:val="16"/>
        </w:rPr>
        <w:t xml:space="preserve">      "How does India's cash-on-delivery model affect last mile business planning?|COD creates payment collection complexity and float management requirements — we develop COD-compatible last mile operating models in every engagement."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"India last mile delivery market entry, India e-commerce logistics GTM strategy, quick commerce technology consulting, India delivery platform advisory, India last mile market entry",</w:t>
      </w:r>
    </w:p>
    <w:p>
      <w:pPr>
        <w:shd w:fill="F0F0F0" w:val="clear"/>
        <w:spacing w:after="14" w:before="14"/>
        <w:ind w:left="360"/>
      </w:pPr>
      <w:r>
        <w:rPr>
          <w:rFonts w:ascii="Courier New" w:cs="Courier New" w:eastAsia="Courier New" w:hAnsi="Courier New"/>
          <w:color w:val="1B2A4A"/>
          <w:sz w:val="16"/>
          <w:szCs w:val="16"/>
        </w:rPr>
        <w:t xml:space="preserve">    "regions": "India — Mumbai, Delhi NCR, Bengaluru, Hyderabad, Chennai, Pune quick commerce and e-commerce last mile hubs; pan-India pin code coverage requirement",</w:t>
      </w:r>
    </w:p>
    <w:p>
      <w:pPr>
        <w:shd w:fill="F0F0F0" w:val="clear"/>
        <w:spacing w:after="14" w:before="14"/>
        <w:ind w:left="360"/>
      </w:pPr>
      <w:r>
        <w:rPr>
          <w:rFonts w:ascii="Courier New" w:cs="Courier New" w:eastAsia="Courier New" w:hAnsi="Courier New"/>
          <w:color w:val="1B2A4A"/>
          <w:sz w:val="16"/>
          <w:szCs w:val="16"/>
        </w:rPr>
        <w:t xml:space="preserve">    "stat1n": "$25B",</w:t>
      </w:r>
    </w:p>
    <w:p>
      <w:pPr>
        <w:shd w:fill="F0F0F0" w:val="clear"/>
        <w:spacing w:after="14" w:before="14"/>
        <w:ind w:left="360"/>
      </w:pPr>
      <w:r>
        <w:rPr>
          <w:rFonts w:ascii="Courier New" w:cs="Courier New" w:eastAsia="Courier New" w:hAnsi="Courier New"/>
          <w:color w:val="1B2A4A"/>
          <w:sz w:val="16"/>
          <w:szCs w:val="16"/>
        </w:rPr>
        <w:t xml:space="preserve">    "stat1l": "India last mile delivery market by 2027",</w:t>
      </w:r>
    </w:p>
    <w:p>
      <w:pPr>
        <w:shd w:fill="F0F0F0" w:val="clear"/>
        <w:spacing w:after="14" w:before="14"/>
        <w:ind w:left="360"/>
      </w:pPr>
      <w:r>
        <w:rPr>
          <w:rFonts w:ascii="Courier New" w:cs="Courier New" w:eastAsia="Courier New" w:hAnsi="Courier New"/>
          <w:color w:val="1B2A4A"/>
          <w:sz w:val="16"/>
          <w:szCs w:val="16"/>
        </w:rPr>
        <w:t xml:space="preserve">    "stat1b": "E-commerce volume growth, quick commerce expansion, and D2C brand delivery demand driving 20% annual last mile market growth.",</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India last mile mandate",</w:t>
      </w:r>
    </w:p>
    <w:p>
      <w:pPr>
        <w:shd w:fill="F0F0F0" w:val="clear"/>
        <w:spacing w:after="14" w:before="14"/>
        <w:ind w:left="360"/>
      </w:pPr>
      <w:r>
        <w:rPr>
          <w:rFonts w:ascii="Courier New" w:cs="Courier New" w:eastAsia="Courier New" w:hAnsi="Courier New"/>
          <w:color w:val="1B2A4A"/>
          <w:sz w:val="16"/>
          <w:szCs w:val="16"/>
        </w:rPr>
        <w:t xml:space="preserve">    "stat2b": "Indian e-commerce shippers, quick commerce operators, and last mile technology buyers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"6 weeks",</w:t>
      </w:r>
    </w:p>
    <w:p>
      <w:pPr>
        <w:shd w:fill="F0F0F0" w:val="clear"/>
        <w:spacing w:after="14" w:before="14"/>
        <w:ind w:left="360"/>
      </w:pPr>
      <w:r>
        <w:rPr>
          <w:rFonts w:ascii="Courier New" w:cs="Courier New" w:eastAsia="Courier New" w:hAnsi="Courier New"/>
          <w:color w:val="1B2A4A"/>
          <w:sz w:val="16"/>
          <w:szCs w:val="16"/>
        </w:rPr>
        <w:t xml:space="preserve">    "stat3l": "India last mile delivery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shipper demand research and regulatory mapping delivers India last mile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"gulf-last-mile",</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"last-mile-delivery",</w:t>
      </w:r>
    </w:p>
    <w:p>
      <w:pPr>
        <w:shd w:fill="F0F0F0" w:val="clear"/>
        <w:spacing w:after="14" w:before="14"/>
        <w:ind w:left="360"/>
      </w:pPr>
      <w:r>
        <w:rPr>
          <w:rFonts w:ascii="Courier New" w:cs="Courier New" w:eastAsia="Courier New" w:hAnsi="Courier New"/>
          <w:color w:val="1B2A4A"/>
          <w:sz w:val="16"/>
          <w:szCs w:val="16"/>
        </w:rPr>
        <w:t xml:space="preserve">    "title": "Gulf Last Mile Delivery Market Entry Strategy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international last mile delivery companies enter Gulf markets with e-commerce logistics demand research, Aramex and DP World ecosystem mapping, and GTM strategy.",</w:t>
      </w:r>
    </w:p>
    <w:p>
      <w:pPr>
        <w:shd w:fill="F0F0F0" w:val="clear"/>
        <w:spacing w:after="14" w:before="14"/>
        <w:ind w:left="360"/>
      </w:pPr>
      <w:r>
        <w:rPr>
          <w:rFonts w:ascii="Courier New" w:cs="Courier New" w:eastAsia="Courier New" w:hAnsi="Courier New"/>
          <w:color w:val="1B2A4A"/>
          <w:sz w:val="16"/>
          <w:szCs w:val="16"/>
        </w:rPr>
        <w:t xml:space="preserve">    "h1": "Gulf last mile delivery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international delivery technology to Gulf e-commerce logistics — strategy for last mile companies entering the GCC.",</w:t>
      </w:r>
    </w:p>
    <w:p>
      <w:pPr>
        <w:shd w:fill="F0F0F0" w:val="clear"/>
        <w:spacing w:after="14" w:before="14"/>
        <w:ind w:left="360"/>
      </w:pPr>
      <w:r>
        <w:rPr>
          <w:rFonts w:ascii="Courier New" w:cs="Courier New" w:eastAsia="Courier New" w:hAnsi="Courier New"/>
          <w:color w:val="1B2A4A"/>
          <w:sz w:val="16"/>
          <w:szCs w:val="16"/>
        </w:rPr>
        <w:t xml:space="preserve">    "hero": "The Gulf's last mile delivery market is growing at extraordinary pace — with Gulf e-commerce growing at 25% annually, same-day delivery expectations among the highest globally, Vision 2030 e-commerce development creating new delivery demand, and the Gulf's urban concentration and high consumer purchasing power making last mile delivery one of the most commercially attractive logistics segments in the emerging world. International last mile delivery companies, delivery technology platforms, and logistics automation companies are all evaluating Gulf market entry. GreyRadius helps last mile companies validate Gulf e-commerce and retail delivery demand, navigate regulatory requirements, identify anchor customer and partner opportunities, and execute GTM.",</w:t>
      </w:r>
    </w:p>
    <w:p>
      <w:pPr>
        <w:shd w:fill="F0F0F0" w:val="clear"/>
        <w:spacing w:after="14" w:before="14"/>
        <w:ind w:left="360"/>
      </w:pPr>
      <w:r>
        <w:rPr>
          <w:rFonts w:ascii="Courier New" w:cs="Courier New" w:eastAsia="Courier New" w:hAnsi="Courier New"/>
          <w:color w:val="1B2A4A"/>
          <w:sz w:val="16"/>
          <w:szCs w:val="16"/>
        </w:rPr>
        <w:t xml:space="preserve">    "market_timing": "Gulf e-commerce is at an inflection point — with Noon, Amazon.ae, and Carrefour online all scaling Gulf e-commerce simultaneously creating last mile delivery demand that current Gulf last mile infrastructure cannot serve at quality levels consumers expect. Last mile technology and delivery companies entering Gulf in 2024-2027 will address demand that existing operators are structurally constrained from meeting.",</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"Gulf last mile delivery market is projected to reach $8B by 2027 — growing at 18% annually as e-commerce adoption, same-day delivery expectation, and quick commerce expansion all scale across GCC.",</w:t>
      </w:r>
    </w:p>
    <w:p>
      <w:pPr>
        <w:shd w:fill="F0F0F0" w:val="clear"/>
        <w:spacing w:after="14" w:before="14"/>
        <w:ind w:left="360"/>
      </w:pPr>
      <w:r>
        <w:rPr>
          <w:rFonts w:ascii="Courier New" w:cs="Courier New" w:eastAsia="Courier New" w:hAnsi="Courier New"/>
          <w:color w:val="1B2A4A"/>
          <w:sz w:val="16"/>
          <w:szCs w:val="16"/>
        </w:rPr>
        <w:t xml:space="preserve">      "UAE's same-day delivery expectation is the world's most demanding — UAE consumers expect delivery within 2-4 hours for premium products creating a last mile quality standard that most delivery operators cannot consistently meet.",</w:t>
      </w:r>
    </w:p>
    <w:p>
      <w:pPr>
        <w:shd w:fill="F0F0F0" w:val="clear"/>
        <w:spacing w:after="14" w:before="14"/>
        <w:ind w:left="360"/>
      </w:pPr>
      <w:r>
        <w:rPr>
          <w:rFonts w:ascii="Courier New" w:cs="Courier New" w:eastAsia="Courier New" w:hAnsi="Courier New"/>
          <w:color w:val="1B2A4A"/>
          <w:sz w:val="16"/>
          <w:szCs w:val="16"/>
        </w:rPr>
        <w:t xml:space="preserve">      "Saudi Arabia's e-commerce is the Gulf's fastest-growing segment — $30B e-commerce market growing at 25% annually creating delivery demand that Saudi last mile infrastructure is struggling to keep pace with.",</w:t>
      </w:r>
    </w:p>
    <w:p>
      <w:pPr>
        <w:shd w:fill="F0F0F0" w:val="clear"/>
        <w:spacing w:after="14" w:before="14"/>
        <w:ind w:left="360"/>
      </w:pPr>
      <w:r>
        <w:rPr>
          <w:rFonts w:ascii="Courier New" w:cs="Courier New" w:eastAsia="Courier New" w:hAnsi="Courier New"/>
          <w:color w:val="1B2A4A"/>
          <w:sz w:val="16"/>
          <w:szCs w:val="16"/>
        </w:rPr>
        <w:t xml:space="preserve">      "Contactless and drone delivery pilots are active in UAE — Noon and Aramex both trialling drone delivery creating a regulatory and technology environment for advanced last mile technology companies."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"Gulf last mile delivery faces extreme climate constraints — summer temperatures of 45°C+ affect delivery vehicle performance, driver working conditions, and temperature-sensitive product delivery.",</w:t>
      </w:r>
    </w:p>
    <w:p>
      <w:pPr>
        <w:shd w:fill="F0F0F0" w:val="clear"/>
        <w:spacing w:after="14" w:before="14"/>
        <w:ind w:left="360"/>
      </w:pPr>
      <w:r>
        <w:rPr>
          <w:rFonts w:ascii="Courier New" w:cs="Courier New" w:eastAsia="Courier New" w:hAnsi="Courier New"/>
          <w:color w:val="1B2A4A"/>
          <w:sz w:val="16"/>
          <w:szCs w:val="16"/>
        </w:rPr>
        <w:t xml:space="preserve">      "Address systems in Gulf are improving but still complex — legacy address systems in Saudi Arabia and older UAE areas require GPS-based delivery navigation rather than address-based routing.",</w:t>
      </w:r>
    </w:p>
    <w:p>
      <w:pPr>
        <w:shd w:fill="F0F0F0" w:val="clear"/>
        <w:spacing w:after="14" w:before="14"/>
        <w:ind w:left="360"/>
      </w:pPr>
      <w:r>
        <w:rPr>
          <w:rFonts w:ascii="Courier New" w:cs="Courier New" w:eastAsia="Courier New" w:hAnsi="Courier New"/>
          <w:color w:val="1B2A4A"/>
          <w:sz w:val="16"/>
          <w:szCs w:val="16"/>
        </w:rPr>
        <w:t xml:space="preserve">      "Competition from established Gulf last mile operators — Aramex, Fetchr, and DP World Fulfillment — with established retailer relationships is intense across e-commerce categories.",</w:t>
      </w:r>
    </w:p>
    <w:p>
      <w:pPr>
        <w:shd w:fill="F0F0F0" w:val="clear"/>
        <w:spacing w:after="14" w:before="14"/>
        <w:ind w:left="360"/>
      </w:pPr>
      <w:r>
        <w:rPr>
          <w:rFonts w:ascii="Courier New" w:cs="Courier New" w:eastAsia="Courier New" w:hAnsi="Courier New"/>
          <w:color w:val="1B2A4A"/>
          <w:sz w:val="16"/>
          <w:szCs w:val="16"/>
        </w:rPr>
        <w:t xml:space="preserve">      "Regulatory requirements for delivery vehicles vary — RTA Abu Dhabi, Dubai RTA, and Saudi MOT all have different vehicle licensing, parking, and delivery zone requirements."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"Gulf last mile demand validation|You need to validate Gulf e-commerce retailer and brand demand for your last mile service and understand regulatory requirements.",</w:t>
      </w:r>
    </w:p>
    <w:p>
      <w:pPr>
        <w:shd w:fill="F0F0F0" w:val="clear"/>
        <w:spacing w:after="14" w:before="14"/>
        <w:ind w:left="360"/>
      </w:pPr>
      <w:r>
        <w:rPr>
          <w:rFonts w:ascii="Courier New" w:cs="Courier New" w:eastAsia="Courier New" w:hAnsi="Courier New"/>
          <w:color w:val="1B2A4A"/>
          <w:sz w:val="16"/>
          <w:szCs w:val="16"/>
        </w:rPr>
        <w:t xml:space="preserve">      "Gulf last mile regulatory pathway|You need to understand RTA vehicle licensing, delivery zone regulations, and e-commerce logistics operating requirements in UAE and Saudi Arabia.",</w:t>
      </w:r>
    </w:p>
    <w:p>
      <w:pPr>
        <w:shd w:fill="F0F0F0" w:val="clear"/>
        <w:spacing w:after="14" w:before="14"/>
        <w:ind w:left="360"/>
      </w:pPr>
      <w:r>
        <w:rPr>
          <w:rFonts w:ascii="Courier New" w:cs="Courier New" w:eastAsia="Courier New" w:hAnsi="Courier New"/>
          <w:color w:val="1B2A4A"/>
          <w:sz w:val="16"/>
          <w:szCs w:val="16"/>
        </w:rPr>
        <w:t xml:space="preserve">      "Gulf last mile anchor customer and partner identification|You need Noon, Amazon.ae, and Carrefour online fulfilment partnerships and Gulf D2C brand customer identification.",</w:t>
      </w:r>
    </w:p>
    <w:p>
      <w:pPr>
        <w:shd w:fill="F0F0F0" w:val="clear"/>
        <w:spacing w:after="14" w:before="14"/>
        <w:ind w:left="360"/>
      </w:pPr>
      <w:r>
        <w:rPr>
          <w:rFonts w:ascii="Courier New" w:cs="Courier New" w:eastAsia="Courier New" w:hAnsi="Courier New"/>
          <w:color w:val="1B2A4A"/>
          <w:sz w:val="16"/>
          <w:szCs w:val="16"/>
        </w:rPr>
        <w:t xml:space="preserve">      "Gulf last mile GTM strategy|You need a go-to-market plan covering UAE premium same-day delivery, Saudi e-commerce volume, and Gulf quick commerce positioning.",</w:t>
      </w:r>
    </w:p>
    <w:p>
      <w:pPr>
        <w:shd w:fill="F0F0F0" w:val="clear"/>
        <w:spacing w:after="14" w:before="14"/>
        <w:ind w:left="360"/>
      </w:pPr>
      <w:r>
        <w:rPr>
          <w:rFonts w:ascii="Courier New" w:cs="Courier New" w:eastAsia="Courier New" w:hAnsi="Courier New"/>
          <w:color w:val="1B2A4A"/>
          <w:sz w:val="16"/>
          <w:szCs w:val="16"/>
        </w:rPr>
        <w:t xml:space="preserve">      "Raising capital for Gulf last mile investment|You need a pitch book grounded in Gulf last mile market data and e-commerce growth analysis.",</w:t>
      </w:r>
    </w:p>
    <w:p>
      <w:pPr>
        <w:shd w:fill="F0F0F0" w:val="clear"/>
        <w:spacing w:after="14" w:before="14"/>
        <w:ind w:left="360"/>
      </w:pPr>
      <w:r>
        <w:rPr>
          <w:rFonts w:ascii="Courier New" w:cs="Courier New" w:eastAsia="Courier New" w:hAnsi="Courier New"/>
          <w:color w:val="1B2A4A"/>
          <w:sz w:val="16"/>
          <w:szCs w:val="16"/>
        </w:rPr>
        <w:t xml:space="preserve">      "Gulf climate and operational adaptation strategy|You need a vehicle fleet, driver scheduling, and temperature-controlled delivery architecture adapted for Gulf climate."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Gulf e-commerce retailer demand for your last mile service with shipper interviews and regulatory mapping.",</w:t>
      </w:r>
    </w:p>
    <w:p>
      <w:pPr>
        <w:shd w:fill="F0F0F0" w:val="clear"/>
        <w:spacing w:after="14" w:before="14"/>
        <w:ind w:left="360"/>
      </w:pPr>
      <w:r>
        <w:rPr>
          <w:rFonts w:ascii="Courier New" w:cs="Courier New" w:eastAsia="Courier New" w:hAnsi="Courier New"/>
          <w:color w:val="1B2A4A"/>
          <w:sz w:val="16"/>
          <w:szCs w:val="16"/>
        </w:rPr>
        <w:t xml:space="preserve">      "Full financial feasibility for Gulf last mile investment covering vehicle fleet cost and anchor customer contract economics.",</w:t>
      </w:r>
    </w:p>
    <w:p>
      <w:pPr>
        <w:shd w:fill="F0F0F0" w:val="clear"/>
        <w:spacing w:after="14" w:before="14"/>
        <w:ind w:left="360"/>
      </w:pPr>
      <w:r>
        <w:rPr>
          <w:rFonts w:ascii="Courier New" w:cs="Courier New" w:eastAsia="Courier New" w:hAnsi="Courier New"/>
          <w:color w:val="1B2A4A"/>
          <w:sz w:val="16"/>
          <w:szCs w:val="16"/>
        </w:rPr>
        <w:t xml:space="preserve">      "End-to-end Gulf last mile market entry including regulatory pathway, anchor customer identification, and first-delivery-volume milestone.",</w:t>
      </w:r>
    </w:p>
    <w:p>
      <w:pPr>
        <w:shd w:fill="F0F0F0" w:val="clear"/>
        <w:spacing w:after="14" w:before="14"/>
        <w:ind w:left="360"/>
      </w:pPr>
      <w:r>
        <w:rPr>
          <w:rFonts w:ascii="Courier New" w:cs="Courier New" w:eastAsia="Courier New" w:hAnsi="Courier New"/>
          <w:color w:val="1B2A4A"/>
          <w:sz w:val="16"/>
          <w:szCs w:val="16"/>
        </w:rPr>
        <w:t xml:space="preserve">      "Embedded Gulf last mile GTM team covering Noon and Amazon.ae fulfilment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Gulf last mile investment with e-commerce growth and same-day delivery demand narrative.",</w:t>
      </w:r>
    </w:p>
    <w:p>
      <w:pPr>
        <w:shd w:fill="F0F0F0" w:val="clear"/>
        <w:spacing w:after="14" w:before="14"/>
        <w:ind w:left="360"/>
      </w:pPr>
      <w:r>
        <w:rPr>
          <w:rFonts w:ascii="Courier New" w:cs="Courier New" w:eastAsia="Courier New" w:hAnsi="Courier New"/>
          <w:color w:val="1B2A4A"/>
          <w:sz w:val="16"/>
          <w:szCs w:val="16"/>
        </w:rPr>
        <w:t xml:space="preserve">      "AI use-case identification — from AI-powered Gulf delivery route optimisation accounting for Ramadan timing to drone delivery regulatory pathway."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last mile delivery operators or also with delivery technology, drone delivery, and logistics automation companies entering the Gulf?|All last mile categories.",</w:t>
      </w:r>
    </w:p>
    <w:p>
      <w:pPr>
        <w:shd w:fill="F0F0F0" w:val="clear"/>
        <w:spacing w:after="14" w:before="14"/>
        <w:ind w:left="360"/>
      </w:pPr>
      <w:r>
        <w:rPr>
          <w:rFonts w:ascii="Courier New" w:cs="Courier New" w:eastAsia="Courier New" w:hAnsi="Courier New"/>
          <w:color w:val="1B2A4A"/>
          <w:sz w:val="16"/>
          <w:szCs w:val="16"/>
        </w:rPr>
        <w:t xml:space="preserve">      "How long does a Gulf last mile engagement take?|Typically 6-8 weeks for shipper demand research, regulatory mapping, and anchor customer identification.",</w:t>
      </w:r>
    </w:p>
    <w:p>
      <w:pPr>
        <w:shd w:fill="F0F0F0" w:val="clear"/>
        <w:spacing w:after="14" w:before="14"/>
        <w:ind w:left="360"/>
      </w:pPr>
      <w:r>
        <w:rPr>
          <w:rFonts w:ascii="Courier New" w:cs="Courier New" w:eastAsia="Courier New" w:hAnsi="Courier New"/>
          <w:color w:val="1B2A4A"/>
          <w:sz w:val="16"/>
          <w:szCs w:val="16"/>
        </w:rPr>
        <w:t xml:space="preserve">      "Can GreyRadius identify Noon and Amazon.ae fulfilment partnership contacts?|Yes.",</w:t>
      </w:r>
    </w:p>
    <w:p>
      <w:pPr>
        <w:shd w:fill="F0F0F0" w:val="clear"/>
        <w:spacing w:after="14" w:before="14"/>
        <w:ind w:left="360"/>
      </w:pPr>
      <w:r>
        <w:rPr>
          <w:rFonts w:ascii="Courier New" w:cs="Courier New" w:eastAsia="Courier New" w:hAnsi="Courier New"/>
          <w:color w:val="1B2A4A"/>
          <w:sz w:val="16"/>
          <w:szCs w:val="16"/>
        </w:rPr>
        <w:t xml:space="preserve">      "How do Gulf climate conditions affect last mile business planning?|Summer heat affects vehicle performance and driver safety — we develop climate-adapted last mile operating models in every Gulf engagement."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"Gulf last mile delivery market entry, UAE e-commerce logistics GTM strategy, Saudi Arabia delivery consulting, Noon fulfilment advisory, Gulf logistics market entry",</w:t>
      </w:r>
    </w:p>
    <w:p>
      <w:pPr>
        <w:shd w:fill="F0F0F0" w:val="clear"/>
        <w:spacing w:after="14" w:before="14"/>
        <w:ind w:left="360"/>
      </w:pPr>
      <w:r>
        <w:rPr>
          <w:rFonts w:ascii="Courier New" w:cs="Courier New" w:eastAsia="Courier New" w:hAnsi="Courier New"/>
          <w:color w:val="1B2A4A"/>
          <w:sz w:val="16"/>
          <w:szCs w:val="16"/>
        </w:rPr>
        <w:t xml:space="preserve">    "regions": "UAE — Dubai and Abu Dhabi same-day delivery zones; Saudi Arabia — Riyadh, Jeddah, and Dammam e-commerce delivery corridors",</w:t>
      </w:r>
    </w:p>
    <w:p>
      <w:pPr>
        <w:shd w:fill="F0F0F0" w:val="clear"/>
        <w:spacing w:after="14" w:before="14"/>
        <w:ind w:left="360"/>
      </w:pPr>
      <w:r>
        <w:rPr>
          <w:rFonts w:ascii="Courier New" w:cs="Courier New" w:eastAsia="Courier New" w:hAnsi="Courier New"/>
          <w:color w:val="1B2A4A"/>
          <w:sz w:val="16"/>
          <w:szCs w:val="16"/>
        </w:rPr>
        <w:t xml:space="preserve">    "stat1n": "$8B",</w:t>
      </w:r>
    </w:p>
    <w:p>
      <w:pPr>
        <w:shd w:fill="F0F0F0" w:val="clear"/>
        <w:spacing w:after="14" w:before="14"/>
        <w:ind w:left="360"/>
      </w:pPr>
      <w:r>
        <w:rPr>
          <w:rFonts w:ascii="Courier New" w:cs="Courier New" w:eastAsia="Courier New" w:hAnsi="Courier New"/>
          <w:color w:val="1B2A4A"/>
          <w:sz w:val="16"/>
          <w:szCs w:val="16"/>
        </w:rPr>
        <w:t xml:space="preserve">    "stat1l": "Gulf last mile delivery market by 2027",</w:t>
      </w:r>
    </w:p>
    <w:p>
      <w:pPr>
        <w:shd w:fill="F0F0F0" w:val="clear"/>
        <w:spacing w:after="14" w:before="14"/>
        <w:ind w:left="360"/>
      </w:pPr>
      <w:r>
        <w:rPr>
          <w:rFonts w:ascii="Courier New" w:cs="Courier New" w:eastAsia="Courier New" w:hAnsi="Courier New"/>
          <w:color w:val="1B2A4A"/>
          <w:sz w:val="16"/>
          <w:szCs w:val="16"/>
        </w:rPr>
        <w:t xml:space="preserve">    "stat1b": "E-commerce adoption, same-day delivery expectations, and quick commerce expansion driving 18% annual Gulf last mile market growth.",</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Gulf last mile mandate",</w:t>
      </w:r>
    </w:p>
    <w:p>
      <w:pPr>
        <w:shd w:fill="F0F0F0" w:val="clear"/>
        <w:spacing w:after="14" w:before="14"/>
        <w:ind w:left="360"/>
      </w:pPr>
      <w:r>
        <w:rPr>
          <w:rFonts w:ascii="Courier New" w:cs="Courier New" w:eastAsia="Courier New" w:hAnsi="Courier New"/>
          <w:color w:val="1B2A4A"/>
          <w:sz w:val="16"/>
          <w:szCs w:val="16"/>
        </w:rPr>
        <w:t xml:space="preserve">    "stat2b": "Gulf e-commerce retailers, last mile technology buyers, and RTA regulatory contacts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"6 weeks",</w:t>
      </w:r>
    </w:p>
    <w:p>
      <w:pPr>
        <w:shd w:fill="F0F0F0" w:val="clear"/>
        <w:spacing w:after="14" w:before="14"/>
        <w:ind w:left="360"/>
      </w:pPr>
      <w:r>
        <w:rPr>
          <w:rFonts w:ascii="Courier New" w:cs="Courier New" w:eastAsia="Courier New" w:hAnsi="Courier New"/>
          <w:color w:val="1B2A4A"/>
          <w:sz w:val="16"/>
          <w:szCs w:val="16"/>
        </w:rPr>
        <w:t xml:space="preserve">    "stat3l": "Gulf last mile delivery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shipper demand research and regulatory mapping delivers Gulf last mile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"gulf-mental-health",</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"mental-health-tech",</w:t>
      </w:r>
    </w:p>
    <w:p>
      <w:pPr>
        <w:shd w:fill="F0F0F0" w:val="clear"/>
        <w:spacing w:after="14" w:before="14"/>
        <w:ind w:left="360"/>
      </w:pPr>
      <w:r>
        <w:rPr>
          <w:rFonts w:ascii="Courier New" w:cs="Courier New" w:eastAsia="Courier New" w:hAnsi="Courier New"/>
          <w:color w:val="1B2A4A"/>
          <w:sz w:val="16"/>
          <w:szCs w:val="16"/>
        </w:rPr>
        <w:t xml:space="preserve">    "title": "Gulf Mental Health Technology Market Entry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mental health technology companies enter Gulf markets with market entry strategy, MOH regulatory mapping, employer wellness demand research, and GTM planning.",</w:t>
      </w:r>
    </w:p>
    <w:p>
      <w:pPr>
        <w:shd w:fill="F0F0F0" w:val="clear"/>
        <w:spacing w:after="14" w:before="14"/>
        <w:ind w:left="360"/>
      </w:pPr>
      <w:r>
        <w:rPr>
          <w:rFonts w:ascii="Courier New" w:cs="Courier New" w:eastAsia="Courier New" w:hAnsi="Courier New"/>
          <w:color w:val="1B2A4A"/>
          <w:sz w:val="16"/>
          <w:szCs w:val="16"/>
        </w:rPr>
        <w:t xml:space="preserve">    "h1": "Gulf mental health technology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mental health technology to Gulf enterprise wellness — strategy for mental health tech companies entering the GCC.",</w:t>
      </w:r>
    </w:p>
    <w:p>
      <w:pPr>
        <w:shd w:fill="F0F0F0" w:val="clear"/>
        <w:spacing w:after="14" w:before="14"/>
        <w:ind w:left="360"/>
      </w:pPr>
      <w:r>
        <w:rPr>
          <w:rFonts w:ascii="Courier New" w:cs="Courier New" w:eastAsia="Courier New" w:hAnsi="Courier New"/>
          <w:color w:val="1B2A4A"/>
          <w:sz w:val="16"/>
          <w:szCs w:val="16"/>
        </w:rPr>
        <w:t xml:space="preserve">    "hero": "The Gulf's mental health technology market is emerging from a period of cultural stigma into one of the fastest-growing health sectors — with Gulf governments investing in mental health infrastructure, Emirates and Saudi corporate wellness programmes creating enterprise mental health benefit demand, Vision 2030 workforce wellbeing investment, and COVID-19 having permanently normalised mental health support seeking among Gulf professionals. International mental health technology companies across teletherapy platforms, employee wellness apps, burnout prevention tools, and digital mental health assessment are all evaluating Gulf market entry. GreyRadius helps mental health tech companies validate Gulf enterprise and consumer demand, navigate MOH and regulatory requirements, and execute GTM.",</w:t>
      </w:r>
    </w:p>
    <w:p>
      <w:pPr>
        <w:shd w:fill="F0F0F0" w:val="clear"/>
        <w:spacing w:after="14" w:before="14"/>
        <w:ind w:left="360"/>
      </w:pPr>
      <w:r>
        <w:rPr>
          <w:rFonts w:ascii="Courier New" w:cs="Courier New" w:eastAsia="Courier New" w:hAnsi="Courier New"/>
          <w:color w:val="1B2A4A"/>
          <w:sz w:val="16"/>
          <w:szCs w:val="16"/>
        </w:rPr>
        <w:t xml:space="preserve">    "market_timing": "Gulf corporate wellness is at an inflection point — UAE and Saudi large employers including banks, airlines, and government entities are all adopting formal employee mental health benefit programmes for the first time in 2024-2026. The mental health technology companies establishing Gulf corporate wellness partnerships in this window will capture the first-mover enterprise relationships that sustain as corporate mental health benefit becomes standard across Gulf employers.",</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"Gulf mental health technology market is projected to reach $500M by 2027 — growing at 30% annually as corporate wellness investment, government mental health infrastructure, and stigma reduction all scale.",</w:t>
      </w:r>
    </w:p>
    <w:p>
      <w:pPr>
        <w:shd w:fill="F0F0F0" w:val="clear"/>
        <w:spacing w:after="14" w:before="14"/>
        <w:ind w:left="360"/>
      </w:pPr>
      <w:r>
        <w:rPr>
          <w:rFonts w:ascii="Courier New" w:cs="Courier New" w:eastAsia="Courier New" w:hAnsi="Courier New"/>
          <w:color w:val="1B2A4A"/>
          <w:sz w:val="16"/>
          <w:szCs w:val="16"/>
        </w:rPr>
        <w:t xml:space="preserve">      "UAE employers are leading Gulf mental health benefit adoption — Emirates, Etihad, and UAE banking sector all introducing employee mental health platforms as retention and productivity investment.",</w:t>
      </w:r>
    </w:p>
    <w:p>
      <w:pPr>
        <w:shd w:fill="F0F0F0" w:val="clear"/>
        <w:spacing w:after="14" w:before="14"/>
        <w:ind w:left="360"/>
      </w:pPr>
      <w:r>
        <w:rPr>
          <w:rFonts w:ascii="Courier New" w:cs="Courier New" w:eastAsia="Courier New" w:hAnsi="Courier New"/>
          <w:color w:val="1B2A4A"/>
          <w:sz w:val="16"/>
          <w:szCs w:val="16"/>
        </w:rPr>
        <w:t xml:space="preserve">      "Saudi Arabia's mental health investment is the most significant in Gulf — Vision 2030 explicitly includes mental health infrastructure investment with government-funded teletherapy platforms and clinical psychologist training.",</w:t>
      </w:r>
    </w:p>
    <w:p>
      <w:pPr>
        <w:shd w:fill="F0F0F0" w:val="clear"/>
        <w:spacing w:after="14" w:before="14"/>
        <w:ind w:left="360"/>
      </w:pPr>
      <w:r>
        <w:rPr>
          <w:rFonts w:ascii="Courier New" w:cs="Courier New" w:eastAsia="Courier New" w:hAnsi="Courier New"/>
          <w:color w:val="1B2A4A"/>
          <w:sz w:val="16"/>
          <w:szCs w:val="16"/>
        </w:rPr>
        <w:t xml:space="preserve">      "Arabic language mental health content is the critical differentiator — Gulf patients and employees strongly prefer Arabic-language therapists and mental health content creating a quality barrier for non-Arabic platforms."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"MOH regulatory approval for mental health platforms varies by Gulf country — UAE DHA, Saudi MOH, and Qatar MOH all have different requirements for teletherapy platform operation and clinical service delivery.",</w:t>
      </w:r>
    </w:p>
    <w:p>
      <w:pPr>
        <w:shd w:fill="F0F0F0" w:val="clear"/>
        <w:spacing w:after="14" w:before="14"/>
        <w:ind w:left="360"/>
      </w:pPr>
      <w:r>
        <w:rPr>
          <w:rFonts w:ascii="Courier New" w:cs="Courier New" w:eastAsia="Courier New" w:hAnsi="Courier New"/>
          <w:color w:val="1B2A4A"/>
          <w:sz w:val="16"/>
          <w:szCs w:val="16"/>
        </w:rPr>
        <w:t xml:space="preserve">      "Cultural sensitivity is critical — Gulf mental health technology must navigate cultural and religious considerations around mental health support-seeking that differ from Western contexts.",</w:t>
      </w:r>
    </w:p>
    <w:p>
      <w:pPr>
        <w:shd w:fill="F0F0F0" w:val="clear"/>
        <w:spacing w:after="14" w:before="14"/>
        <w:ind w:left="360"/>
      </w:pPr>
      <w:r>
        <w:rPr>
          <w:rFonts w:ascii="Courier New" w:cs="Courier New" w:eastAsia="Courier New" w:hAnsi="Courier New"/>
          <w:color w:val="1B2A4A"/>
          <w:sz w:val="16"/>
          <w:szCs w:val="16"/>
        </w:rPr>
        <w:t xml:space="preserve">      "Arabic-language clinical workforce is limited — qualified Arabic-speaking therapists and clinical psychologists for teletherapy delivery are scarce requiring platform companies to invest in therapist recruitment.",</w:t>
      </w:r>
    </w:p>
    <w:p>
      <w:pPr>
        <w:shd w:fill="F0F0F0" w:val="clear"/>
        <w:spacing w:after="14" w:before="14"/>
        <w:ind w:left="360"/>
      </w:pPr>
      <w:r>
        <w:rPr>
          <w:rFonts w:ascii="Courier New" w:cs="Courier New" w:eastAsia="Courier New" w:hAnsi="Courier New"/>
          <w:color w:val="1B2A4A"/>
          <w:sz w:val="16"/>
          <w:szCs w:val="16"/>
        </w:rPr>
        <w:t xml:space="preserve">      "Corporate wellness procurement in Gulf is HR-lead with CEO or Board visibility — mental health benefit adoption decisions require senior HR and sometimes CEO endorsement."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"Gulf mental health demand validation|You need to validate Gulf employer HR and employee demand for your mental health technology and understand MOH regulatory requirements.",</w:t>
      </w:r>
    </w:p>
    <w:p>
      <w:pPr>
        <w:shd w:fill="F0F0F0" w:val="clear"/>
        <w:spacing w:after="14" w:before="14"/>
        <w:ind w:left="360"/>
      </w:pPr>
      <w:r>
        <w:rPr>
          <w:rFonts w:ascii="Courier New" w:cs="Courier New" w:eastAsia="Courier New" w:hAnsi="Courier New"/>
          <w:color w:val="1B2A4A"/>
          <w:sz w:val="16"/>
          <w:szCs w:val="16"/>
        </w:rPr>
        <w:t xml:space="preserve">      "MOH and DHA regulatory pathway|You need to understand UAE DHA health platform registration, Saudi MOH telemedicine requirements, and Qatar MOH digital health regulations.",</w:t>
      </w:r>
    </w:p>
    <w:p>
      <w:pPr>
        <w:shd w:fill="F0F0F0" w:val="clear"/>
        <w:spacing w:after="14" w:before="14"/>
        <w:ind w:left="360"/>
      </w:pPr>
      <w:r>
        <w:rPr>
          <w:rFonts w:ascii="Courier New" w:cs="Courier New" w:eastAsia="Courier New" w:hAnsi="Courier New"/>
          <w:color w:val="1B2A4A"/>
          <w:sz w:val="16"/>
          <w:szCs w:val="16"/>
        </w:rPr>
        <w:t xml:space="preserve">      "Gulf mental health enterprise customer identification|You need HR director contacts at UAE and Saudi large employers in financial services, aviation, and government as anchor customers.",</w:t>
      </w:r>
    </w:p>
    <w:p>
      <w:pPr>
        <w:shd w:fill="F0F0F0" w:val="clear"/>
        <w:spacing w:after="14" w:before="14"/>
        <w:ind w:left="360"/>
      </w:pPr>
      <w:r>
        <w:rPr>
          <w:rFonts w:ascii="Courier New" w:cs="Courier New" w:eastAsia="Courier New" w:hAnsi="Courier New"/>
          <w:color w:val="1B2A4A"/>
          <w:sz w:val="16"/>
          <w:szCs w:val="16"/>
        </w:rPr>
        <w:t xml:space="preserve">      "Gulf mental health GTM strategy|You need a go-to-market plan covering corporate wellness HR director outreach, Vision 2030 programme partnership, and consumer teletherapy launch.",</w:t>
      </w:r>
    </w:p>
    <w:p>
      <w:pPr>
        <w:shd w:fill="F0F0F0" w:val="clear"/>
        <w:spacing w:after="14" w:before="14"/>
        <w:ind w:left="360"/>
      </w:pPr>
      <w:r>
        <w:rPr>
          <w:rFonts w:ascii="Courier New" w:cs="Courier New" w:eastAsia="Courier New" w:hAnsi="Courier New"/>
          <w:color w:val="1B2A4A"/>
          <w:sz w:val="16"/>
          <w:szCs w:val="16"/>
        </w:rPr>
        <w:t xml:space="preserve">      "Raising capital for Gulf mental health investment|You need a pitch book grounded in Gulf corporate wellness demand data and Vision 2030 mental health investment analysis.",</w:t>
      </w:r>
    </w:p>
    <w:p>
      <w:pPr>
        <w:shd w:fill="F0F0F0" w:val="clear"/>
        <w:spacing w:after="14" w:before="14"/>
        <w:ind w:left="360"/>
      </w:pPr>
      <w:r>
        <w:rPr>
          <w:rFonts w:ascii="Courier New" w:cs="Courier New" w:eastAsia="Courier New" w:hAnsi="Courier New"/>
          <w:color w:val="1B2A4A"/>
          <w:sz w:val="16"/>
          <w:szCs w:val="16"/>
        </w:rPr>
        <w:t xml:space="preserve">      "Arabic clinical content and therapist strategy|You need an Arabic language mental health content development plan and Arabic-speaking therapist recruitment strategy."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Gulf employer and consumer demand for your mental health technology with HR director interviews and MOH regulatory mapping.",</w:t>
      </w:r>
    </w:p>
    <w:p>
      <w:pPr>
        <w:shd w:fill="F0F0F0" w:val="clear"/>
        <w:spacing w:after="14" w:before="14"/>
        <w:ind w:left="360"/>
      </w:pPr>
      <w:r>
        <w:rPr>
          <w:rFonts w:ascii="Courier New" w:cs="Courier New" w:eastAsia="Courier New" w:hAnsi="Courier New"/>
          <w:color w:val="1B2A4A"/>
          <w:sz w:val="16"/>
          <w:szCs w:val="16"/>
        </w:rPr>
        <w:t xml:space="preserve">      "Full financial feasibility for Gulf mental health investment covering MOH compliance cost and corporate wellness contract economics.",</w:t>
      </w:r>
    </w:p>
    <w:p>
      <w:pPr>
        <w:shd w:fill="F0F0F0" w:val="clear"/>
        <w:spacing w:after="14" w:before="14"/>
        <w:ind w:left="360"/>
      </w:pPr>
      <w:r>
        <w:rPr>
          <w:rFonts w:ascii="Courier New" w:cs="Courier New" w:eastAsia="Courier New" w:hAnsi="Courier New"/>
          <w:color w:val="1B2A4A"/>
          <w:sz w:val="16"/>
          <w:szCs w:val="16"/>
        </w:rPr>
        <w:t xml:space="preserve">      "End-to-end Gulf mental health market entry including MOH pathway, enterprise customer identification, and first-corporate-wellness-contract milestone.",</w:t>
      </w:r>
    </w:p>
    <w:p>
      <w:pPr>
        <w:shd w:fill="F0F0F0" w:val="clear"/>
        <w:spacing w:after="14" w:before="14"/>
        <w:ind w:left="360"/>
      </w:pPr>
      <w:r>
        <w:rPr>
          <w:rFonts w:ascii="Courier New" w:cs="Courier New" w:eastAsia="Courier New" w:hAnsi="Courier New"/>
          <w:color w:val="1B2A4A"/>
          <w:sz w:val="16"/>
          <w:szCs w:val="16"/>
        </w:rPr>
        <w:t xml:space="preserve">      "Embedded Gulf mental health GTM team covering HR director and Vision 2030 programme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Gulf mental health investment with corporate wellness adoption and Vision 2030 narrative.",</w:t>
      </w:r>
    </w:p>
    <w:p>
      <w:pPr>
        <w:shd w:fill="F0F0F0" w:val="clear"/>
        <w:spacing w:after="14" w:before="14"/>
        <w:ind w:left="360"/>
      </w:pPr>
      <w:r>
        <w:rPr>
          <w:rFonts w:ascii="Courier New" w:cs="Courier New" w:eastAsia="Courier New" w:hAnsi="Courier New"/>
          <w:color w:val="1B2A4A"/>
          <w:sz w:val="16"/>
          <w:szCs w:val="16"/>
        </w:rPr>
        <w:t xml:space="preserve">      "Arabic clinical content strategy — from Arabic therapist recruitment to culturally adapted digital mental health content."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teletherapy platforms or also with employee wellness apps, burnout prevention, and digital mental health assessment companies entering the Gulf?|All mental health technology categories.",</w:t>
      </w:r>
    </w:p>
    <w:p>
      <w:pPr>
        <w:shd w:fill="F0F0F0" w:val="clear"/>
        <w:spacing w:after="14" w:before="14"/>
        <w:ind w:left="360"/>
      </w:pPr>
      <w:r>
        <w:rPr>
          <w:rFonts w:ascii="Courier New" w:cs="Courier New" w:eastAsia="Courier New" w:hAnsi="Courier New"/>
          <w:color w:val="1B2A4A"/>
          <w:sz w:val="16"/>
          <w:szCs w:val="16"/>
        </w:rPr>
        <w:t xml:space="preserve">      "How long does a Gulf mental health engagement take?|Typically 6-8 weeks for employer demand research, MOH regulatory mapping, and enterprise customer identification.",</w:t>
      </w:r>
    </w:p>
    <w:p>
      <w:pPr>
        <w:shd w:fill="F0F0F0" w:val="clear"/>
        <w:spacing w:after="14" w:before="14"/>
        <w:ind w:left="360"/>
      </w:pPr>
      <w:r>
        <w:rPr>
          <w:rFonts w:ascii="Courier New" w:cs="Courier New" w:eastAsia="Courier New" w:hAnsi="Courier New"/>
          <w:color w:val="1B2A4A"/>
          <w:sz w:val="16"/>
          <w:szCs w:val="16"/>
        </w:rPr>
        <w:t xml:space="preserve">      "Can GreyRadius identify UAE and Saudi employer HR director contacts for corporate wellness partnerships?|Yes.",</w:t>
      </w:r>
    </w:p>
    <w:p>
      <w:pPr>
        <w:shd w:fill="F0F0F0" w:val="clear"/>
        <w:spacing w:after="14" w:before="14"/>
        <w:ind w:left="360"/>
      </w:pPr>
      <w:r>
        <w:rPr>
          <w:rFonts w:ascii="Courier New" w:cs="Courier New" w:eastAsia="Courier New" w:hAnsi="Courier New"/>
          <w:color w:val="1B2A4A"/>
          <w:sz w:val="16"/>
          <w:szCs w:val="16"/>
        </w:rPr>
        <w:t xml:space="preserve">      "How should mental health technology companies navigate cultural sensitivity in Gulf markets?|Cultural adaptation is fundamental — we assess cultural and religious appropriateness of your platform positioning and content in every Gulf mental health engagement."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"Gulf mental health technology market entry, UAE corporate wellness GTM strategy, Saudi Arabia teletherapy consulting, DHA digital health advisory, Gulf mental health market entry",</w:t>
      </w:r>
    </w:p>
    <w:p>
      <w:pPr>
        <w:shd w:fill="F0F0F0" w:val="clear"/>
        <w:spacing w:after="14" w:before="14"/>
        <w:ind w:left="360"/>
      </w:pPr>
      <w:r>
        <w:rPr>
          <w:rFonts w:ascii="Courier New" w:cs="Courier New" w:eastAsia="Courier New" w:hAnsi="Courier New"/>
          <w:color w:val="1B2A4A"/>
          <w:sz w:val="16"/>
          <w:szCs w:val="16"/>
        </w:rPr>
        <w:t xml:space="preserve">    "regions": "UAE — Emirates, Etihad, and banking sector corporate wellness in Dubai and Abu Dhabi; Saudi Arabia — Vision 2030 mental health infrastructure and corporate employer wellness",</w:t>
      </w:r>
    </w:p>
    <w:p>
      <w:pPr>
        <w:shd w:fill="F0F0F0" w:val="clear"/>
        <w:spacing w:after="14" w:before="14"/>
        <w:ind w:left="360"/>
      </w:pPr>
      <w:r>
        <w:rPr>
          <w:rFonts w:ascii="Courier New" w:cs="Courier New" w:eastAsia="Courier New" w:hAnsi="Courier New"/>
          <w:color w:val="1B2A4A"/>
          <w:sz w:val="16"/>
          <w:szCs w:val="16"/>
        </w:rPr>
        <w:t xml:space="preserve">    "stat1n": "$500M",</w:t>
      </w:r>
    </w:p>
    <w:p>
      <w:pPr>
        <w:shd w:fill="F0F0F0" w:val="clear"/>
        <w:spacing w:after="14" w:before="14"/>
        <w:ind w:left="360"/>
      </w:pPr>
      <w:r>
        <w:rPr>
          <w:rFonts w:ascii="Courier New" w:cs="Courier New" w:eastAsia="Courier New" w:hAnsi="Courier New"/>
          <w:color w:val="1B2A4A"/>
          <w:sz w:val="16"/>
          <w:szCs w:val="16"/>
        </w:rPr>
        <w:t xml:space="preserve">    "stat1l": "Gulf mental health technology market by 2027",</w:t>
      </w:r>
    </w:p>
    <w:p>
      <w:pPr>
        <w:shd w:fill="F0F0F0" w:val="clear"/>
        <w:spacing w:after="14" w:before="14"/>
        <w:ind w:left="360"/>
      </w:pPr>
      <w:r>
        <w:rPr>
          <w:rFonts w:ascii="Courier New" w:cs="Courier New" w:eastAsia="Courier New" w:hAnsi="Courier New"/>
          <w:color w:val="1B2A4A"/>
          <w:sz w:val="16"/>
          <w:szCs w:val="16"/>
        </w:rPr>
        <w:t xml:space="preserve">    "stat1b": "Corporate wellness investment, government mental health infrastructure, and stigma reduction driving 30% annual Gulf mental health technology growth.",</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Gulf mental health mandate",</w:t>
      </w:r>
    </w:p>
    <w:p>
      <w:pPr>
        <w:shd w:fill="F0F0F0" w:val="clear"/>
        <w:spacing w:after="14" w:before="14"/>
        <w:ind w:left="360"/>
      </w:pPr>
      <w:r>
        <w:rPr>
          <w:rFonts w:ascii="Courier New" w:cs="Courier New" w:eastAsia="Courier New" w:hAnsi="Courier New"/>
          <w:color w:val="1B2A4A"/>
          <w:sz w:val="16"/>
          <w:szCs w:val="16"/>
        </w:rPr>
        <w:t xml:space="preserve">    "stat2b": "Gulf HR directors, MOH officials, and mental health clinical contacts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"6 weeks",</w:t>
      </w:r>
    </w:p>
    <w:p>
      <w:pPr>
        <w:shd w:fill="F0F0F0" w:val="clear"/>
        <w:spacing w:after="14" w:before="14"/>
        <w:ind w:left="360"/>
      </w:pPr>
      <w:r>
        <w:rPr>
          <w:rFonts w:ascii="Courier New" w:cs="Courier New" w:eastAsia="Courier New" w:hAnsi="Courier New"/>
          <w:color w:val="1B2A4A"/>
          <w:sz w:val="16"/>
          <w:szCs w:val="16"/>
        </w:rPr>
        <w:t xml:space="preserve">    "stat3l": "Gulf mental health technology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MOH regulatory mapping and employer demand research delivers Gulf mental health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"india-mental-health",</w:t>
      </w:r>
    </w:p>
    <w:p>
      <w:pPr>
        <w:shd w:fill="F0F0F0" w:val="clear"/>
        <w:spacing w:after="14" w:before="14"/>
        <w:ind w:left="360"/>
      </w:pPr>
      <w:r>
        <w:rPr>
          <w:rFonts w:ascii="Courier New" w:cs="Courier New" w:eastAsia="Courier New" w:hAnsi="Courier New"/>
          <w:color w:val="1B2A4A"/>
          <w:sz w:val="16"/>
          <w:szCs w:val="16"/>
        </w:rPr>
        <w:t xml:space="preserve">    "tier": 3,</w:t>
      </w:r>
    </w:p>
    <w:p>
      <w:pPr>
        <w:shd w:fill="F0F0F0" w:val="clear"/>
        <w:spacing w:after="14" w:before="14"/>
        <w:ind w:left="360"/>
      </w:pPr>
      <w:r>
        <w:rPr>
          <w:rFonts w:ascii="Courier New" w:cs="Courier New" w:eastAsia="Courier New" w:hAnsi="Courier New"/>
          <w:color w:val="1B2A4A"/>
          <w:sz w:val="16"/>
          <w:szCs w:val="16"/>
        </w:rPr>
        <w:t xml:space="preserve">    "parent": "mental-health-tech",</w:t>
      </w:r>
    </w:p>
    <w:p>
      <w:pPr>
        <w:shd w:fill="F0F0F0" w:val="clear"/>
        <w:spacing w:after="14" w:before="14"/>
        <w:ind w:left="360"/>
      </w:pPr>
      <w:r>
        <w:rPr>
          <w:rFonts w:ascii="Courier New" w:cs="Courier New" w:eastAsia="Courier New" w:hAnsi="Courier New"/>
          <w:color w:val="1B2A4A"/>
          <w:sz w:val="16"/>
          <w:szCs w:val="16"/>
        </w:rPr>
        <w:t xml:space="preserve">    "title": "India Mental Health Technology Market Entry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mental health technology companies enter India with market entry strategy, MOHFW regulatory mapping, corporate wellness demand research, and GTM planning.",</w:t>
      </w:r>
    </w:p>
    <w:p>
      <w:pPr>
        <w:shd w:fill="F0F0F0" w:val="clear"/>
        <w:spacing w:after="14" w:before="14"/>
        <w:ind w:left="360"/>
      </w:pPr>
      <w:r>
        <w:rPr>
          <w:rFonts w:ascii="Courier New" w:cs="Courier New" w:eastAsia="Courier New" w:hAnsi="Courier New"/>
          <w:color w:val="1B2A4A"/>
          <w:sz w:val="16"/>
          <w:szCs w:val="16"/>
        </w:rPr>
        <w:t xml:space="preserve">    "h1": "India mental health technology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mental health technology to India's enterprise wellness — strategy for mental health tech companies entering India.",</w:t>
      </w:r>
    </w:p>
    <w:p>
      <w:pPr>
        <w:shd w:fill="F0F0F0" w:val="clear"/>
        <w:spacing w:after="14" w:before="14"/>
        <w:ind w:left="360"/>
      </w:pPr>
      <w:r>
        <w:rPr>
          <w:rFonts w:ascii="Courier New" w:cs="Courier New" w:eastAsia="Courier New" w:hAnsi="Courier New"/>
          <w:color w:val="1B2A4A"/>
          <w:sz w:val="16"/>
          <w:szCs w:val="16"/>
        </w:rPr>
        <w:t xml:space="preserve">    "hero": "India's mental health technology market is one of the world's most significant opportunities — with 150 million Indians requiring mental health support, India's Mental Healthcare Act 2017 establishing mental health as a right, corporate India's rapidly growing mental health benefit adoption, and the telemedicine rules post-COVID creating regulatory infrastructure for digital mental health delivery. International mental health technology companies across teletherapy, employee assistance programmes, mental health assessment, and digital wellbeing platforms are all evaluating India as a priority mental health market. GreyRadius helps mental health tech companies validate Indian enterprise and consumer demand, navigate MOHFW and regulatory requirements, identify clinical partners, and execute GTM.",</w:t>
      </w:r>
    </w:p>
    <w:p>
      <w:pPr>
        <w:shd w:fill="F0F0F0" w:val="clear"/>
        <w:spacing w:after="14" w:before="14"/>
        <w:ind w:left="360"/>
      </w:pPr>
      <w:r>
        <w:rPr>
          <w:rFonts w:ascii="Courier New" w:cs="Courier New" w:eastAsia="Courier New" w:hAnsi="Courier New"/>
          <w:color w:val="1B2A4A"/>
          <w:sz w:val="16"/>
          <w:szCs w:val="16"/>
        </w:rPr>
        <w:t xml:space="preserve">    "market_timing": "India's corporate mental health benefit adoption is at an inflection point — post-COVID awareness has made employee mental health a Board-level topic in India's technology, financial services, and pharmaceutical sectors. NASSCOM member companies, IT service firms, and BFSI employers are all evaluating or implementing mental health benefit platforms in 2024-2026, creating a window for international mental health technology companies to establish enterprise relationships before the market consolidates.",</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"India's mental health technology market is projected to reach $1B by 2027 — growing at 35% annually as corporate wellness adoption, consumer teletherapy normalisation, and government mental health investment all scale.",</w:t>
      </w:r>
    </w:p>
    <w:p>
      <w:pPr>
        <w:shd w:fill="F0F0F0" w:val="clear"/>
        <w:spacing w:after="14" w:before="14"/>
        <w:ind w:left="360"/>
      </w:pPr>
      <w:r>
        <w:rPr>
          <w:rFonts w:ascii="Courier New" w:cs="Courier New" w:eastAsia="Courier New" w:hAnsi="Courier New"/>
          <w:color w:val="1B2A4A"/>
          <w:sz w:val="16"/>
          <w:szCs w:val="16"/>
        </w:rPr>
        <w:t xml:space="preserve">      "India's technology sector is the largest corporate mental health spender — Infosys, TCS, Wipro, and India's 1,000+ product technology companies all investing in employee mental health platforms as retention and productivity tool.",</w:t>
      </w:r>
    </w:p>
    <w:p>
      <w:pPr>
        <w:shd w:fill="F0F0F0" w:val="clear"/>
        <w:spacing w:after="14" w:before="14"/>
        <w:ind w:left="360"/>
      </w:pPr>
      <w:r>
        <w:rPr>
          <w:rFonts w:ascii="Courier New" w:cs="Courier New" w:eastAsia="Courier New" w:hAnsi="Courier New"/>
          <w:color w:val="1B2A4A"/>
          <w:sz w:val="16"/>
          <w:szCs w:val="16"/>
        </w:rPr>
        <w:t xml:space="preserve">      "Hindi and regional language mental health content is the primary differentiator — India's non-English speaking population requires vernacular mental health support creating a quality bar for international platforms.",</w:t>
      </w:r>
    </w:p>
    <w:p>
      <w:pPr>
        <w:shd w:fill="F0F0F0" w:val="clear"/>
        <w:spacing w:after="14" w:before="14"/>
        <w:ind w:left="360"/>
      </w:pPr>
      <w:r>
        <w:rPr>
          <w:rFonts w:ascii="Courier New" w:cs="Courier New" w:eastAsia="Courier New" w:hAnsi="Courier New"/>
          <w:color w:val="1B2A4A"/>
          <w:sz w:val="16"/>
          <w:szCs w:val="16"/>
        </w:rPr>
        <w:t xml:space="preserve">      "India's consumer mental health awareness has grown dramatically — Vandrevala Foundation, iCall, and digital mental health platforms all demonstrating strong consumer demand for accessible mental health support."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"Telemedicine and mental health platform regulatory clarity is still evolving — MOHFW's Telemedicine Practice Guidelines apply but mental health-specific digital delivery standards are developing.",</w:t>
      </w:r>
    </w:p>
    <w:p>
      <w:pPr>
        <w:shd w:fill="F0F0F0" w:val="clear"/>
        <w:spacing w:after="14" w:before="14"/>
        <w:ind w:left="360"/>
      </w:pPr>
      <w:r>
        <w:rPr>
          <w:rFonts w:ascii="Courier New" w:cs="Courier New" w:eastAsia="Courier New" w:hAnsi="Courier New"/>
          <w:color w:val="1B2A4A"/>
          <w:sz w:val="16"/>
          <w:szCs w:val="16"/>
        </w:rPr>
        <w:t xml:space="preserve">      "Clinical workforce for teletherapy is limited — registered clinical psychologists and psychiatrists in India are scarce relative to demand requiring investment in therapist recruitment and training partnerships.",</w:t>
      </w:r>
    </w:p>
    <w:p>
      <w:pPr>
        <w:shd w:fill="F0F0F0" w:val="clear"/>
        <w:spacing w:after="14" w:before="14"/>
        <w:ind w:left="360"/>
      </w:pPr>
      <w:r>
        <w:rPr>
          <w:rFonts w:ascii="Courier New" w:cs="Courier New" w:eastAsia="Courier New" w:hAnsi="Courier New"/>
          <w:color w:val="1B2A4A"/>
          <w:sz w:val="16"/>
          <w:szCs w:val="16"/>
        </w:rPr>
        <w:t xml:space="preserve">      "India mental health price sensitivity is significant — Indian employer wellness budgets and consumer willingness to pay are substantially below Western benchmarks requiring India-specific pricing.",</w:t>
      </w:r>
    </w:p>
    <w:p>
      <w:pPr>
        <w:shd w:fill="F0F0F0" w:val="clear"/>
        <w:spacing w:after="14" w:before="14"/>
        <w:ind w:left="360"/>
      </w:pPr>
      <w:r>
        <w:rPr>
          <w:rFonts w:ascii="Courier New" w:cs="Courier New" w:eastAsia="Courier New" w:hAnsi="Courier New"/>
          <w:color w:val="1B2A4A"/>
          <w:sz w:val="16"/>
          <w:szCs w:val="16"/>
        </w:rPr>
        <w:t xml:space="preserve">      "Stigma reduction is still required in many segments — while urban professional mental health awareness has grown, stigma remains significant in non-metropolitan and traditional sector employer markets."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"India mental health demand validation|You need to validate Indian employer HR and employee demand for your mental health technology and understand MOHFW telemedicine regulatory requirements.",</w:t>
      </w:r>
    </w:p>
    <w:p>
      <w:pPr>
        <w:shd w:fill="F0F0F0" w:val="clear"/>
        <w:spacing w:after="14" w:before="14"/>
        <w:ind w:left="360"/>
      </w:pPr>
      <w:r>
        <w:rPr>
          <w:rFonts w:ascii="Courier New" w:cs="Courier New" w:eastAsia="Courier New" w:hAnsi="Courier New"/>
          <w:color w:val="1B2A4A"/>
          <w:sz w:val="16"/>
          <w:szCs w:val="16"/>
        </w:rPr>
        <w:t xml:space="preserve">      "MOHFW telemedicine regulatory pathway|You need to understand Telemedicine Practice Guidelines compliance, clinical psychologist registration requirements, and digital mental health platform regulatory obligations.",</w:t>
      </w:r>
    </w:p>
    <w:p>
      <w:pPr>
        <w:shd w:fill="F0F0F0" w:val="clear"/>
        <w:spacing w:after="14" w:before="14"/>
        <w:ind w:left="360"/>
      </w:pPr>
      <w:r>
        <w:rPr>
          <w:rFonts w:ascii="Courier New" w:cs="Courier New" w:eastAsia="Courier New" w:hAnsi="Courier New"/>
          <w:color w:val="1B2A4A"/>
          <w:sz w:val="16"/>
          <w:szCs w:val="16"/>
        </w:rPr>
        <w:t xml:space="preserve">      "India mental health enterprise customer identification|You need HR director contacts at India technology companies, BFSI employers, and pharmaceutical companies as anchor corporate wellness customers.",</w:t>
      </w:r>
    </w:p>
    <w:p>
      <w:pPr>
        <w:shd w:fill="F0F0F0" w:val="clear"/>
        <w:spacing w:after="14" w:before="14"/>
        <w:ind w:left="360"/>
      </w:pPr>
      <w:r>
        <w:rPr>
          <w:rFonts w:ascii="Courier New" w:cs="Courier New" w:eastAsia="Courier New" w:hAnsi="Courier New"/>
          <w:color w:val="1B2A4A"/>
          <w:sz w:val="16"/>
          <w:szCs w:val="16"/>
        </w:rPr>
        <w:t xml:space="preserve">      "India mental health GTM strategy|You need a go-to-market plan covering technology sector corporate wellness HR outreach, vernacular content development, and consumer teletherapy launch.",</w:t>
      </w:r>
    </w:p>
    <w:p>
      <w:pPr>
        <w:shd w:fill="F0F0F0" w:val="clear"/>
        <w:spacing w:after="14" w:before="14"/>
        <w:ind w:left="360"/>
      </w:pPr>
      <w:r>
        <w:rPr>
          <w:rFonts w:ascii="Courier New" w:cs="Courier New" w:eastAsia="Courier New" w:hAnsi="Courier New"/>
          <w:color w:val="1B2A4A"/>
          <w:sz w:val="16"/>
          <w:szCs w:val="16"/>
        </w:rPr>
        <w:t xml:space="preserve">      "Raising capital for India mental health investment|You need a pitch book grounded in India mental health market data and corporate wellness adoption analysis.",</w:t>
      </w:r>
    </w:p>
    <w:p>
      <w:pPr>
        <w:shd w:fill="F0F0F0" w:val="clear"/>
        <w:spacing w:after="14" w:before="14"/>
        <w:ind w:left="360"/>
      </w:pPr>
      <w:r>
        <w:rPr>
          <w:rFonts w:ascii="Courier New" w:cs="Courier New" w:eastAsia="Courier New" w:hAnsi="Courier New"/>
          <w:color w:val="1B2A4A"/>
          <w:sz w:val="16"/>
          <w:szCs w:val="16"/>
        </w:rPr>
        <w:t xml:space="preserve">      "Vernacular content and clinical workforce strategy|You need a Hindi and regional language mental health content development plan and India clinical psychologist recruitment strategy."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Indian employer and consumer demand for your mental health technology with HR director interviews and MOHFW regulatory mapping.",</w:t>
      </w:r>
    </w:p>
    <w:p>
      <w:pPr>
        <w:shd w:fill="F0F0F0" w:val="clear"/>
        <w:spacing w:after="14" w:before="14"/>
        <w:ind w:left="360"/>
      </w:pPr>
      <w:r>
        <w:rPr>
          <w:rFonts w:ascii="Courier New" w:cs="Courier New" w:eastAsia="Courier New" w:hAnsi="Courier New"/>
          <w:color w:val="1B2A4A"/>
          <w:sz w:val="16"/>
          <w:szCs w:val="16"/>
        </w:rPr>
        <w:t xml:space="preserve">      "Full financial feasibility for India mental health investment covering MOHFW compliance cost and corporate wellness contract economics.",</w:t>
      </w:r>
    </w:p>
    <w:p>
      <w:pPr>
        <w:shd w:fill="F0F0F0" w:val="clear"/>
        <w:spacing w:after="14" w:before="14"/>
        <w:ind w:left="360"/>
      </w:pPr>
      <w:r>
        <w:rPr>
          <w:rFonts w:ascii="Courier New" w:cs="Courier New" w:eastAsia="Courier New" w:hAnsi="Courier New"/>
          <w:color w:val="1B2A4A"/>
          <w:sz w:val="16"/>
          <w:szCs w:val="16"/>
        </w:rPr>
        <w:t xml:space="preserve">      "End-to-end India mental health market entry including regulatory pathway, enterprise customer identification, and first-corporate-wellness-contract milestone.",</w:t>
      </w:r>
    </w:p>
    <w:p>
      <w:pPr>
        <w:shd w:fill="F0F0F0" w:val="clear"/>
        <w:spacing w:after="14" w:before="14"/>
        <w:ind w:left="360"/>
      </w:pPr>
      <w:r>
        <w:rPr>
          <w:rFonts w:ascii="Courier New" w:cs="Courier New" w:eastAsia="Courier New" w:hAnsi="Courier New"/>
          <w:color w:val="1B2A4A"/>
          <w:sz w:val="16"/>
          <w:szCs w:val="16"/>
        </w:rPr>
        <w:t xml:space="preserve">      "Embedded India mental health GTM team covering technology sector HR director and NASSCOM member outreach.",</w:t>
      </w:r>
    </w:p>
    <w:p>
      <w:pPr>
        <w:shd w:fill="F0F0F0" w:val="clear"/>
        <w:spacing w:after="14" w:before="14"/>
        <w:ind w:left="360"/>
      </w:pPr>
      <w:r>
        <w:rPr>
          <w:rFonts w:ascii="Courier New" w:cs="Courier New" w:eastAsia="Courier New" w:hAnsi="Courier New"/>
          <w:color w:val="1B2A4A"/>
          <w:sz w:val="16"/>
          <w:szCs w:val="16"/>
        </w:rPr>
        <w:t xml:space="preserve">      "Investor-ready pitch books for India mental health investment with corporate wellness adoption and consumer teletherapy narrative.",</w:t>
      </w:r>
    </w:p>
    <w:p>
      <w:pPr>
        <w:shd w:fill="F0F0F0" w:val="clear"/>
        <w:spacing w:after="14" w:before="14"/>
        <w:ind w:left="360"/>
      </w:pPr>
      <w:r>
        <w:rPr>
          <w:rFonts w:ascii="Courier New" w:cs="Courier New" w:eastAsia="Courier New" w:hAnsi="Courier New"/>
          <w:color w:val="1B2A4A"/>
          <w:sz w:val="16"/>
          <w:szCs w:val="16"/>
        </w:rPr>
        <w:t xml:space="preserve">      "Vernacular clinical content strategy — from Hindi therapist recruitment to India-specific digital mental health content."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teletherapy platforms or also with employee assistance programmes, burnout prevention, and mental health assessment companies entering India?|All mental health technology categories.",</w:t>
      </w:r>
    </w:p>
    <w:p>
      <w:pPr>
        <w:shd w:fill="F0F0F0" w:val="clear"/>
        <w:spacing w:after="14" w:before="14"/>
        <w:ind w:left="360"/>
      </w:pPr>
      <w:r>
        <w:rPr>
          <w:rFonts w:ascii="Courier New" w:cs="Courier New" w:eastAsia="Courier New" w:hAnsi="Courier New"/>
          <w:color w:val="1B2A4A"/>
          <w:sz w:val="16"/>
          <w:szCs w:val="16"/>
        </w:rPr>
        <w:t xml:space="preserve">      "How long does an India mental health engagement take?|Typically 6-8 weeks for employer demand research, MOHFW regulatory mapping, and enterprise customer identification.",</w:t>
      </w:r>
    </w:p>
    <w:p>
      <w:pPr>
        <w:shd w:fill="F0F0F0" w:val="clear"/>
        <w:spacing w:after="14" w:before="14"/>
        <w:ind w:left="360"/>
      </w:pPr>
      <w:r>
        <w:rPr>
          <w:rFonts w:ascii="Courier New" w:cs="Courier New" w:eastAsia="Courier New" w:hAnsi="Courier New"/>
          <w:color w:val="1B2A4A"/>
          <w:sz w:val="16"/>
          <w:szCs w:val="16"/>
        </w:rPr>
        <w:t xml:space="preserve">      "Can GreyRadius identify India technology sector HR director contacts for corporate wellness partnerships?|Yes.",</w:t>
      </w:r>
    </w:p>
    <w:p>
      <w:pPr>
        <w:shd w:fill="F0F0F0" w:val="clear"/>
        <w:spacing w:after="14" w:before="14"/>
        <w:ind w:left="360"/>
      </w:pPr>
      <w:r>
        <w:rPr>
          <w:rFonts w:ascii="Courier New" w:cs="Courier New" w:eastAsia="Courier New" w:hAnsi="Courier New"/>
          <w:color w:val="1B2A4A"/>
          <w:sz w:val="16"/>
          <w:szCs w:val="16"/>
        </w:rPr>
        <w:t xml:space="preserve">      "What India mental health pricing model works best?|Per-employee-per-month corporate wellness pricing at INR-calibrated rates significantly outperforms Western USD-priced subscription models."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"India mental health technology market entry, MOHFW telemedicine consulting, India corporate wellness GTM strategy, India teletherapy advisory, India mental health market entry",</w:t>
      </w:r>
    </w:p>
    <w:p>
      <w:pPr>
        <w:shd w:fill="F0F0F0" w:val="clear"/>
        <w:spacing w:after="14" w:before="14"/>
        <w:ind w:left="360"/>
      </w:pPr>
      <w:r>
        <w:rPr>
          <w:rFonts w:ascii="Courier New" w:cs="Courier New" w:eastAsia="Courier New" w:hAnsi="Courier New"/>
          <w:color w:val="1B2A4A"/>
          <w:sz w:val="16"/>
          <w:szCs w:val="16"/>
        </w:rPr>
        <w:t xml:space="preserve">    "regions": "India — Bengaluru, Hyderabad, Pune, Delhi NCR technology sector corporate wellness concentration; Mumbai BFSI employer mental health benefit",</w:t>
      </w:r>
    </w:p>
    <w:p>
      <w:pPr>
        <w:shd w:fill="F0F0F0" w:val="clear"/>
        <w:spacing w:after="14" w:before="14"/>
        <w:ind w:left="360"/>
      </w:pPr>
      <w:r>
        <w:rPr>
          <w:rFonts w:ascii="Courier New" w:cs="Courier New" w:eastAsia="Courier New" w:hAnsi="Courier New"/>
          <w:color w:val="1B2A4A"/>
          <w:sz w:val="16"/>
          <w:szCs w:val="16"/>
        </w:rPr>
        <w:t xml:space="preserve">    "stat1n": "$1B",</w:t>
      </w:r>
    </w:p>
    <w:p>
      <w:pPr>
        <w:shd w:fill="F0F0F0" w:val="clear"/>
        <w:spacing w:after="14" w:before="14"/>
        <w:ind w:left="360"/>
      </w:pPr>
      <w:r>
        <w:rPr>
          <w:rFonts w:ascii="Courier New" w:cs="Courier New" w:eastAsia="Courier New" w:hAnsi="Courier New"/>
          <w:color w:val="1B2A4A"/>
          <w:sz w:val="16"/>
          <w:szCs w:val="16"/>
        </w:rPr>
        <w:t xml:space="preserve">    "stat1l": "India mental health technology market by 2027",</w:t>
      </w:r>
    </w:p>
    <w:p>
      <w:pPr>
        <w:shd w:fill="F0F0F0" w:val="clear"/>
        <w:spacing w:after="14" w:before="14"/>
        <w:ind w:left="360"/>
      </w:pPr>
      <w:r>
        <w:rPr>
          <w:rFonts w:ascii="Courier New" w:cs="Courier New" w:eastAsia="Courier New" w:hAnsi="Courier New"/>
          <w:color w:val="1B2A4A"/>
          <w:sz w:val="16"/>
          <w:szCs w:val="16"/>
        </w:rPr>
        <w:t xml:space="preserve">    "stat1b": "Corporate wellness adoption, consumer teletherapy normalisation, and government investment driving 35% annual India mental health technology growth.",</w:t>
      </w:r>
    </w:p>
    <w:p>
      <w:pPr>
        <w:shd w:fill="F0F0F0" w:val="clear"/>
        <w:spacing w:after="14" w:before="14"/>
        <w:ind w:left="360"/>
      </w:pPr>
      <w:r>
        <w:rPr>
          <w:rFonts w:ascii="Courier New" w:cs="Courier New" w:eastAsia="Courier New" w:hAnsi="Courier New"/>
          <w:color w:val="1B2A4A"/>
          <w:sz w:val="16"/>
          <w:szCs w:val="16"/>
        </w:rPr>
        <w:t xml:space="preserve">    "stat2n": "30+",</w:t>
      </w:r>
    </w:p>
    <w:p>
      <w:pPr>
        <w:shd w:fill="F0F0F0" w:val="clear"/>
        <w:spacing w:after="14" w:before="14"/>
        <w:ind w:left="360"/>
      </w:pPr>
      <w:r>
        <w:rPr>
          <w:rFonts w:ascii="Courier New" w:cs="Courier New" w:eastAsia="Courier New" w:hAnsi="Courier New"/>
          <w:color w:val="1B2A4A"/>
          <w:sz w:val="16"/>
          <w:szCs w:val="16"/>
        </w:rPr>
        <w:t xml:space="preserve">    "stat2l": "Primary interviews per India mental health mandate",</w:t>
      </w:r>
    </w:p>
    <w:p>
      <w:pPr>
        <w:shd w:fill="F0F0F0" w:val="clear"/>
        <w:spacing w:after="14" w:before="14"/>
        <w:ind w:left="360"/>
      </w:pPr>
      <w:r>
        <w:rPr>
          <w:rFonts w:ascii="Courier New" w:cs="Courier New" w:eastAsia="Courier New" w:hAnsi="Courier New"/>
          <w:color w:val="1B2A4A"/>
          <w:sz w:val="16"/>
          <w:szCs w:val="16"/>
        </w:rPr>
        <w:t xml:space="preserve">    "stat2b": "Indian HR directors, MOHFW officials, and clinical psychologist contacts — every engagement grounded in direct primary research.",</w:t>
      </w:r>
    </w:p>
    <w:p>
      <w:pPr>
        <w:shd w:fill="F0F0F0" w:val="clear"/>
        <w:spacing w:after="14" w:before="14"/>
        <w:ind w:left="360"/>
      </w:pPr>
      <w:r>
        <w:rPr>
          <w:rFonts w:ascii="Courier New" w:cs="Courier New" w:eastAsia="Courier New" w:hAnsi="Courier New"/>
          <w:color w:val="1B2A4A"/>
          <w:sz w:val="16"/>
          <w:szCs w:val="16"/>
        </w:rPr>
        <w:t xml:space="preserve">    "stat3n": "6 weeks",</w:t>
      </w:r>
    </w:p>
    <w:p>
      <w:pPr>
        <w:shd w:fill="F0F0F0" w:val="clear"/>
        <w:spacing w:after="14" w:before="14"/>
        <w:ind w:left="360"/>
      </w:pPr>
      <w:r>
        <w:rPr>
          <w:rFonts w:ascii="Courier New" w:cs="Courier New" w:eastAsia="Courier New" w:hAnsi="Courier New"/>
          <w:color w:val="1B2A4A"/>
          <w:sz w:val="16"/>
          <w:szCs w:val="16"/>
        </w:rPr>
        <w:t xml:space="preserve">    "stat3l": "India mental health technology market entry strategy",</w:t>
      </w:r>
    </w:p>
    <w:p>
      <w:pPr>
        <w:shd w:fill="F0F0F0" w:val="clear"/>
        <w:spacing w:after="14" w:before="14"/>
        <w:ind w:left="360"/>
      </w:pPr>
      <w:r>
        <w:rPr>
          <w:rFonts w:ascii="Courier New" w:cs="Courier New" w:eastAsia="Courier New" w:hAnsi="Courier New"/>
          <w:color w:val="1B2A4A"/>
          <w:sz w:val="16"/>
          <w:szCs w:val="16"/>
        </w:rPr>
        <w:t xml:space="preserve">    "stat3b": "AI-augmented MOHFW regulatory mapping and employer demand research delivers India mental health strategies efficiently."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w:t>
      </w:r>
    </w:p>
    <w:p>
      <w:pPr>
        <w:pBdr>
          <w:bottom w:val="single" w:color="1B2A4A" w:sz="8" w:space="1"/>
        </w:pBdr>
        <w:spacing w:after="200" w:before="200"/>
      </w:pPr>
      <w:r>
        <w:rPr>
          <w:rFonts w:ascii="Arial" w:cs="Arial" w:eastAsia="Arial" w:hAnsi="Arial"/>
        </w:rPr>
        <w:t xml:space="preserve"/>
      </w:r>
    </w:p>
    <w:p>
      <w:pPr>
        <w:pStyle w:val="Heading1"/>
        <w:spacing w:after="160" w:before="400"/>
      </w:pPr>
      <w:r>
        <w:rPr>
          <w:rFonts w:ascii="Arial" w:cs="Arial" w:eastAsia="Arial" w:hAnsi="Arial"/>
          <w:b/>
          <w:bCs/>
          <w:color w:val="1B2A4A"/>
          <w:sz w:val="32"/>
          <w:szCs w:val="32"/>
        </w:rPr>
        <w:t xml:space="preserve">Running totals after Batch 21</w:t>
      </w:r>
    </w:p>
    <w:p>
      <w:pPr>
        <w:spacing w:after="60" w:before="60"/>
      </w:pPr>
      <w:r>
        <w:rPr>
          <w:rFonts w:ascii="Arial" w:cs="Arial" w:eastAsia="Arial" w:hAnsi="Arial"/>
          <w:color w:val="222222"/>
          <w:sz w:val="20"/>
          <w:szCs w:val="20"/>
        </w:rPr>
        <w:t xml:space="preserve">Batch 20: 21 pages → cumulative 360</w:t>
      </w:r>
    </w:p>
    <w:p>
      <w:pPr>
        <w:spacing w:after="60" w:before="60"/>
      </w:pPr>
      <w:r>
        <w:rPr>
          <w:rFonts w:ascii="Arial" w:cs="Arial" w:eastAsia="Arial" w:hAnsi="Arial"/>
          <w:color w:val="222222"/>
          <w:sz w:val="20"/>
          <w:szCs w:val="20"/>
        </w:rPr>
        <w:t xml:space="preserve">Batch 21: 20 pages → cumulative 380</w:t>
      </w:r>
    </w:p>
    <w:p>
      <w:pPr>
        <w:spacing w:after="60" w:before="60"/>
      </w:pPr>
      <w:r>
        <w:rPr>
          <w:rFonts w:ascii="Arial" w:cs="Arial" w:eastAsia="Arial" w:hAnsi="Arial"/>
          <w:color w:val="222222"/>
          <w:sz w:val="20"/>
          <w:szCs w:val="20"/>
        </w:rPr>
        <w:t xml:space="preserve">Remaining to 400-page target: 20 pages</w:t>
      </w:r>
    </w:p>
    <w:p>
      <w:pPr>
        <w:spacing w:after="60" w:before="60"/>
      </w:pPr>
      <w:r>
        <w:rPr>
          <w:rFonts w:ascii="Arial" w:cs="Arial" w:eastAsia="Arial" w:hAnsi="Arial"/>
          <w:color w:val="222222"/>
          <w:sz w:val="20"/>
          <w:szCs w:val="20"/>
        </w:rPr>
        <w:t xml:space="preserve">Batch 22 (final): embedded-finance, food-beverage SEA/Africa, hrtech Africa/SEA, wealthtech Africa/SEA, medical-devices Gulf/SEA, pharma SEA, gaming Africa, higher-education Africa/SEA, rare-earth Gulf, data-centres Africa, cybersecurity SEA, food-tech India, last-mile Africa.</w:t>
      </w:r>
    </w:p>
    <w:p>
      <w:pPr>
        <w:spacing w:before="400"/>
      </w:pPr>
      <w:r>
        <w:rPr>
          <w:rFonts w:ascii="Arial" w:cs="Arial" w:eastAsia="Arial" w:hAnsi="Arial"/>
          <w:i/>
          <w:iCs/>
          <w:color w:val="666666"/>
          <w:sz w:val="16"/>
          <w:szCs w:val="16"/>
        </w:rPr>
        <w:t xml:space="preserve">GreyRadius Consulting | SEO Build Pack Batch 21 | June 2026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B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2026-06-27T14:09:30.136Z</dcterms:created>
  <dcterms:modified xsi:type="dcterms:W3CDTF">2026-06-27T14:09:30.148Z</dcterms:modified>
</cp:coreProperties>
</file>

<file path=docProps/custom.xml><?xml version="1.0" encoding="utf-8"?>
<Properties xmlns="http://schemas.openxmlformats.org/officeDocument/2006/custom-properties" xmlns:vt="http://schemas.openxmlformats.org/officeDocument/2006/docPropsVTypes"/>
</file>