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pPr>
      <w:r>
        <w:rPr>
          <w:rFonts w:ascii="Arial" w:cs="Arial" w:eastAsia="Arial" w:hAnsi="Arial"/>
          <w:b/>
          <w:bCs/>
          <w:color w:val="1B2A4A"/>
          <w:sz w:val="52"/>
          <w:szCs w:val="52"/>
        </w:rPr>
        <w:t xml:space="preserve">GREYRADIUS CONSULTING</w:t>
      </w:r>
    </w:p>
    <w:p>
      <w:pPr>
        <w:spacing w:after="80" w:before="0"/>
      </w:pPr>
      <w:r>
        <w:rPr>
          <w:rFonts w:ascii="Arial" w:cs="Arial" w:eastAsia="Arial" w:hAnsi="Arial"/>
          <w:color w:val="E8612C"/>
          <w:sz w:val="30"/>
          <w:szCs w:val="30"/>
        </w:rPr>
        <w:t xml:space="preserve">SEO Build Pack — Batch 22 (FINAL)</w:t>
      </w:r>
    </w:p>
    <w:p>
      <w:pPr>
        <w:spacing w:after="80" w:before="0"/>
      </w:pPr>
      <w:r>
        <w:rPr>
          <w:rFonts w:ascii="Arial" w:cs="Arial" w:eastAsia="Arial" w:hAnsi="Arial"/>
          <w:b/>
          <w:bCs/>
          <w:color w:val="2E7D32"/>
          <w:sz w:val="22"/>
          <w:szCs w:val="22"/>
        </w:rPr>
        <w:t xml:space="preserve">VERIFIED: 20 pages | All unique | No duplicates | FINAL BATCH</w:t>
      </w:r>
    </w:p>
    <w:p>
      <w:pPr>
        <w:spacing w:after="80" w:before="0"/>
      </w:pPr>
      <w:r>
        <w:rPr>
          <w:rFonts w:ascii="Arial" w:cs="Arial" w:eastAsia="Arial" w:hAnsi="Arial"/>
          <w:b/>
          <w:bCs/>
          <w:color w:val="E8612C"/>
          <w:sz w:val="20"/>
          <w:szCs w:val="20"/>
        </w:rPr>
        <w:t xml:space="preserve">Save JSON as: data/industry-pages-batch22.json</w:t>
      </w:r>
    </w:p>
    <w:p>
      <w:pPr>
        <w:spacing w:after="80" w:before="0"/>
      </w:pPr>
      <w:r>
        <w:rPr>
          <w:rFonts w:ascii="Arial" w:cs="Arial" w:eastAsia="Arial" w:hAnsi="Arial"/>
          <w:b/>
          <w:bCs/>
          <w:color w:val="1B2A4A"/>
          <w:sz w:val="20"/>
          <w:szCs w:val="20"/>
        </w:rPr>
        <w:t xml:space="preserve">This batch completes the 400-page Phase 2 target.</w:t>
      </w:r>
    </w:p>
    <w:p>
      <w:pPr>
        <w:spacing w:after="600" w:before="0"/>
      </w:pPr>
      <w:r>
        <w:rPr>
          <w:rFonts w:ascii="Arial" w:cs="Arial" w:eastAsia="Arial" w:hAnsi="Arial"/>
          <w:i/>
          <w:iCs/>
          <w:color w:val="666666"/>
          <w:sz w:val="18"/>
          <w:szCs w:val="18"/>
        </w:rPr>
        <w:t xml:space="preserve">June 2026 | Confidential</w:t>
      </w:r>
    </w:p>
    <w:p>
      <w:pPr>
        <w:pBdr>
          <w:bottom w:val="single" w:color="1B2A4A" w:sz="8" w:space="1"/>
        </w:pBdr>
        <w:spacing w:after="200" w:before="200"/>
      </w:pPr>
      <w:r>
        <w:rPr>
          <w:rFonts w:ascii="Arial" w:cs="Arial" w:eastAsia="Arial" w:hAnsi="Arial"/>
        </w:rPr>
        <w:t xml:space="preserve"/>
      </w:r>
    </w:p>
    <w:p>
      <w:pPr>
        <w:pStyle w:val="Heading1"/>
        <w:spacing w:after="160" w:before="400"/>
      </w:pPr>
      <w:r>
        <w:rPr>
          <w:rFonts w:ascii="Arial" w:cs="Arial" w:eastAsia="Arial" w:hAnsi="Arial"/>
          <w:b/>
          <w:bCs/>
          <w:color w:val="1B2A4A"/>
          <w:sz w:val="32"/>
          <w:szCs w:val="32"/>
        </w:rPr>
        <w:t xml:space="preserve">Section 1: Page index — all 20 pages</w:t>
      </w:r>
    </w:p>
    <w:p>
      <w:pPr>
        <w:spacing w:after="60" w:before="60"/>
      </w:pPr>
      <w:r>
        <w:rPr>
          <w:rFonts w:ascii="Arial" w:cs="Arial" w:eastAsia="Arial" w:hAnsi="Arial"/>
          <w:i/>
          <w:iCs/>
          <w:color w:val="666666"/>
          <w:sz w:val="18"/>
          <w:szCs w:val="18"/>
        </w:rPr>
        <w:t xml:space="preserve">Sectors: embedded-finance (2), food-beverage (3 incl. food-tech), hrtech (2), wealthtech (2), medical-devices (2), pharma (1), rare-earth-metals (1), data-centers (1), cybersecurity (1), last-mile-delivery (1), corporate-learning (1), gaming (1), higher-education (2).</w:t>
      </w:r>
    </w:p>
    <w:p>
      <w:pPr>
        <w:pStyle w:val="ListParagraph"/>
        <w:numPr>
          <w:ilvl w:val="0"/>
          <w:numId w:val="2"/>
        </w:numPr>
        <w:spacing w:after="40" w:before="40"/>
      </w:pPr>
      <w:r>
        <w:rPr>
          <w:rFonts w:ascii="Arial" w:cs="Arial" w:eastAsia="Arial" w:hAnsi="Arial"/>
          <w:color w:val="222222"/>
          <w:sz w:val="20"/>
          <w:szCs w:val="20"/>
        </w:rPr>
        <w:t xml:space="preserve">[embedded-finance] india-embedded-finance → industries/embedded-finance/india-embedded-finance.html</w:t>
      </w:r>
    </w:p>
    <w:p>
      <w:pPr>
        <w:pStyle w:val="ListParagraph"/>
        <w:numPr>
          <w:ilvl w:val="0"/>
          <w:numId w:val="2"/>
        </w:numPr>
        <w:spacing w:after="40" w:before="40"/>
      </w:pPr>
      <w:r>
        <w:rPr>
          <w:rFonts w:ascii="Arial" w:cs="Arial" w:eastAsia="Arial" w:hAnsi="Arial"/>
          <w:color w:val="222222"/>
          <w:sz w:val="20"/>
          <w:szCs w:val="20"/>
        </w:rPr>
        <w:t xml:space="preserve">[embedded-finance] gulf-embedded-finance → industries/embedded-finance/gulf-embedded-finance.html</w:t>
      </w:r>
    </w:p>
    <w:p>
      <w:pPr>
        <w:pStyle w:val="ListParagraph"/>
        <w:numPr>
          <w:ilvl w:val="0"/>
          <w:numId w:val="2"/>
        </w:numPr>
        <w:spacing w:after="40" w:before="40"/>
      </w:pPr>
      <w:r>
        <w:rPr>
          <w:rFonts w:ascii="Arial" w:cs="Arial" w:eastAsia="Arial" w:hAnsi="Arial"/>
          <w:color w:val="222222"/>
          <w:sz w:val="20"/>
          <w:szCs w:val="20"/>
        </w:rPr>
        <w:t xml:space="preserve">[food-beverage] africa-food-beverage → industries/food-beverage/africa-food-beverage.html</w:t>
      </w:r>
    </w:p>
    <w:p>
      <w:pPr>
        <w:pStyle w:val="ListParagraph"/>
        <w:numPr>
          <w:ilvl w:val="0"/>
          <w:numId w:val="2"/>
        </w:numPr>
        <w:spacing w:after="40" w:before="40"/>
      </w:pPr>
      <w:r>
        <w:rPr>
          <w:rFonts w:ascii="Arial" w:cs="Arial" w:eastAsia="Arial" w:hAnsi="Arial"/>
          <w:color w:val="222222"/>
          <w:sz w:val="20"/>
          <w:szCs w:val="20"/>
        </w:rPr>
        <w:t xml:space="preserve">[food-beverage] southeast-asia-food-beverage → industries/food-beverage/southeast-asia-food-beverage.html</w:t>
      </w:r>
    </w:p>
    <w:p>
      <w:pPr>
        <w:pStyle w:val="ListParagraph"/>
        <w:numPr>
          <w:ilvl w:val="0"/>
          <w:numId w:val="2"/>
        </w:numPr>
        <w:spacing w:after="40" w:before="40"/>
      </w:pPr>
      <w:r>
        <w:rPr>
          <w:rFonts w:ascii="Arial" w:cs="Arial" w:eastAsia="Arial" w:hAnsi="Arial"/>
          <w:color w:val="222222"/>
          <w:sz w:val="20"/>
          <w:szCs w:val="20"/>
        </w:rPr>
        <w:t xml:space="preserve">[hrtech] africa-hrtech → industries/hrtech/africa-hrtech.html</w:t>
      </w:r>
    </w:p>
    <w:p>
      <w:pPr>
        <w:pStyle w:val="ListParagraph"/>
        <w:numPr>
          <w:ilvl w:val="0"/>
          <w:numId w:val="2"/>
        </w:numPr>
        <w:spacing w:after="40" w:before="40"/>
      </w:pPr>
      <w:r>
        <w:rPr>
          <w:rFonts w:ascii="Arial" w:cs="Arial" w:eastAsia="Arial" w:hAnsi="Arial"/>
          <w:color w:val="222222"/>
          <w:sz w:val="20"/>
          <w:szCs w:val="20"/>
        </w:rPr>
        <w:t xml:space="preserve">[hrtech] southeast-asia-hrtech → industries/hrtech/southeast-asia-hrtech.html</w:t>
      </w:r>
    </w:p>
    <w:p>
      <w:pPr>
        <w:pStyle w:val="ListParagraph"/>
        <w:numPr>
          <w:ilvl w:val="0"/>
          <w:numId w:val="2"/>
        </w:numPr>
        <w:spacing w:after="40" w:before="40"/>
      </w:pPr>
      <w:r>
        <w:rPr>
          <w:rFonts w:ascii="Arial" w:cs="Arial" w:eastAsia="Arial" w:hAnsi="Arial"/>
          <w:color w:val="222222"/>
          <w:sz w:val="20"/>
          <w:szCs w:val="20"/>
        </w:rPr>
        <w:t xml:space="preserve">[wealthtech] africa-wealthtech → industries/wealthtech/africa-wealthtech.html</w:t>
      </w:r>
    </w:p>
    <w:p>
      <w:pPr>
        <w:pStyle w:val="ListParagraph"/>
        <w:numPr>
          <w:ilvl w:val="0"/>
          <w:numId w:val="2"/>
        </w:numPr>
        <w:spacing w:after="40" w:before="40"/>
      </w:pPr>
      <w:r>
        <w:rPr>
          <w:rFonts w:ascii="Arial" w:cs="Arial" w:eastAsia="Arial" w:hAnsi="Arial"/>
          <w:color w:val="222222"/>
          <w:sz w:val="20"/>
          <w:szCs w:val="20"/>
        </w:rPr>
        <w:t xml:space="preserve">[wealthtech] southeast-asia-wealthtech → industries/wealthtech/southeast-asia-wealthtech.html</w:t>
      </w:r>
    </w:p>
    <w:p>
      <w:pPr>
        <w:pStyle w:val="ListParagraph"/>
        <w:numPr>
          <w:ilvl w:val="0"/>
          <w:numId w:val="2"/>
        </w:numPr>
        <w:spacing w:after="40" w:before="40"/>
      </w:pPr>
      <w:r>
        <w:rPr>
          <w:rFonts w:ascii="Arial" w:cs="Arial" w:eastAsia="Arial" w:hAnsi="Arial"/>
          <w:color w:val="222222"/>
          <w:sz w:val="20"/>
          <w:szCs w:val="20"/>
        </w:rPr>
        <w:t xml:space="preserve">[medical-devices] gulf-medical-devices → industries/medical-devices/gulf-medical-devices.html</w:t>
      </w:r>
    </w:p>
    <w:p>
      <w:pPr>
        <w:pStyle w:val="ListParagraph"/>
        <w:numPr>
          <w:ilvl w:val="0"/>
          <w:numId w:val="2"/>
        </w:numPr>
        <w:spacing w:after="40" w:before="40"/>
      </w:pPr>
      <w:r>
        <w:rPr>
          <w:rFonts w:ascii="Arial" w:cs="Arial" w:eastAsia="Arial" w:hAnsi="Arial"/>
          <w:color w:val="222222"/>
          <w:sz w:val="20"/>
          <w:szCs w:val="20"/>
        </w:rPr>
        <w:t xml:space="preserve">[medical-devices] southeast-asia-medical-devices → industries/medical-devices/southeast-asia-medical-devices.html</w:t>
      </w:r>
    </w:p>
    <w:p>
      <w:pPr>
        <w:pStyle w:val="ListParagraph"/>
        <w:numPr>
          <w:ilvl w:val="0"/>
          <w:numId w:val="2"/>
        </w:numPr>
        <w:spacing w:after="40" w:before="40"/>
      </w:pPr>
      <w:r>
        <w:rPr>
          <w:rFonts w:ascii="Arial" w:cs="Arial" w:eastAsia="Arial" w:hAnsi="Arial"/>
          <w:color w:val="222222"/>
          <w:sz w:val="20"/>
          <w:szCs w:val="20"/>
        </w:rPr>
        <w:t xml:space="preserve">[pharma] southeast-asia-pharma → industries/pharma/southeast-asia-pharma.html</w:t>
      </w:r>
    </w:p>
    <w:p>
      <w:pPr>
        <w:pStyle w:val="ListParagraph"/>
        <w:numPr>
          <w:ilvl w:val="0"/>
          <w:numId w:val="2"/>
        </w:numPr>
        <w:spacing w:after="40" w:before="40"/>
      </w:pPr>
      <w:r>
        <w:rPr>
          <w:rFonts w:ascii="Arial" w:cs="Arial" w:eastAsia="Arial" w:hAnsi="Arial"/>
          <w:color w:val="222222"/>
          <w:sz w:val="20"/>
          <w:szCs w:val="20"/>
        </w:rPr>
        <w:t xml:space="preserve">[rare-earth-metals] gulf-rare-earth → industries/rare-earth-metals/gulf-rare-earth.html</w:t>
      </w:r>
    </w:p>
    <w:p>
      <w:pPr>
        <w:pStyle w:val="ListParagraph"/>
        <w:numPr>
          <w:ilvl w:val="0"/>
          <w:numId w:val="2"/>
        </w:numPr>
        <w:spacing w:after="40" w:before="40"/>
      </w:pPr>
      <w:r>
        <w:rPr>
          <w:rFonts w:ascii="Arial" w:cs="Arial" w:eastAsia="Arial" w:hAnsi="Arial"/>
          <w:color w:val="222222"/>
          <w:sz w:val="20"/>
          <w:szCs w:val="20"/>
        </w:rPr>
        <w:t xml:space="preserve">[data-centers] africa-data-centre → industries/data-centers/africa-data-centre.html</w:t>
      </w:r>
    </w:p>
    <w:p>
      <w:pPr>
        <w:pStyle w:val="ListParagraph"/>
        <w:numPr>
          <w:ilvl w:val="0"/>
          <w:numId w:val="2"/>
        </w:numPr>
        <w:spacing w:after="40" w:before="40"/>
      </w:pPr>
      <w:r>
        <w:rPr>
          <w:rFonts w:ascii="Arial" w:cs="Arial" w:eastAsia="Arial" w:hAnsi="Arial"/>
          <w:color w:val="222222"/>
          <w:sz w:val="20"/>
          <w:szCs w:val="20"/>
        </w:rPr>
        <w:t xml:space="preserve">[cybersecurity] southeast-asia-cybersecurity → industries/cybersecurity/southeast-asia-cybersecurity.html</w:t>
      </w:r>
    </w:p>
    <w:p>
      <w:pPr>
        <w:pStyle w:val="ListParagraph"/>
        <w:numPr>
          <w:ilvl w:val="0"/>
          <w:numId w:val="2"/>
        </w:numPr>
        <w:spacing w:after="40" w:before="40"/>
      </w:pPr>
      <w:r>
        <w:rPr>
          <w:rFonts w:ascii="Arial" w:cs="Arial" w:eastAsia="Arial" w:hAnsi="Arial"/>
          <w:color w:val="222222"/>
          <w:sz w:val="20"/>
          <w:szCs w:val="20"/>
        </w:rPr>
        <w:t xml:space="preserve">[food-beverage] india-food-tech → industries/food-beverage/india-food-tech.html</w:t>
      </w:r>
    </w:p>
    <w:p>
      <w:pPr>
        <w:pStyle w:val="ListParagraph"/>
        <w:numPr>
          <w:ilvl w:val="0"/>
          <w:numId w:val="2"/>
        </w:numPr>
        <w:spacing w:after="40" w:before="40"/>
      </w:pPr>
      <w:r>
        <w:rPr>
          <w:rFonts w:ascii="Arial" w:cs="Arial" w:eastAsia="Arial" w:hAnsi="Arial"/>
          <w:color w:val="222222"/>
          <w:sz w:val="20"/>
          <w:szCs w:val="20"/>
        </w:rPr>
        <w:t xml:space="preserve">[last-mile-delivery] africa-last-mile → industries/last-mile-delivery/africa-last-mile.html</w:t>
      </w:r>
    </w:p>
    <w:p>
      <w:pPr>
        <w:pStyle w:val="ListParagraph"/>
        <w:numPr>
          <w:ilvl w:val="0"/>
          <w:numId w:val="2"/>
        </w:numPr>
        <w:spacing w:after="40" w:before="40"/>
      </w:pPr>
      <w:r>
        <w:rPr>
          <w:rFonts w:ascii="Arial" w:cs="Arial" w:eastAsia="Arial" w:hAnsi="Arial"/>
          <w:color w:val="222222"/>
          <w:sz w:val="20"/>
          <w:szCs w:val="20"/>
        </w:rPr>
        <w:t xml:space="preserve">[corporate-learning] southeast-asia-corporate-learning → industries/corporate-learning/southeast-asia-corporate-learning.html</w:t>
      </w:r>
    </w:p>
    <w:p>
      <w:pPr>
        <w:pStyle w:val="ListParagraph"/>
        <w:numPr>
          <w:ilvl w:val="0"/>
          <w:numId w:val="2"/>
        </w:numPr>
        <w:spacing w:after="40" w:before="40"/>
      </w:pPr>
      <w:r>
        <w:rPr>
          <w:rFonts w:ascii="Arial" w:cs="Arial" w:eastAsia="Arial" w:hAnsi="Arial"/>
          <w:color w:val="222222"/>
          <w:sz w:val="20"/>
          <w:szCs w:val="20"/>
        </w:rPr>
        <w:t xml:space="preserve">[gaming] africa-gaming → industries/gaming/africa-gaming.html</w:t>
      </w:r>
    </w:p>
    <w:p>
      <w:pPr>
        <w:pStyle w:val="ListParagraph"/>
        <w:numPr>
          <w:ilvl w:val="0"/>
          <w:numId w:val="2"/>
        </w:numPr>
        <w:spacing w:after="40" w:before="40"/>
      </w:pPr>
      <w:r>
        <w:rPr>
          <w:rFonts w:ascii="Arial" w:cs="Arial" w:eastAsia="Arial" w:hAnsi="Arial"/>
          <w:color w:val="222222"/>
          <w:sz w:val="20"/>
          <w:szCs w:val="20"/>
        </w:rPr>
        <w:t xml:space="preserve">[higher-education] africa-higher-education → industries/higher-education/africa-higher-education.html</w:t>
      </w:r>
    </w:p>
    <w:p>
      <w:pPr>
        <w:pStyle w:val="ListParagraph"/>
        <w:numPr>
          <w:ilvl w:val="0"/>
          <w:numId w:val="2"/>
        </w:numPr>
        <w:spacing w:after="40" w:before="40"/>
      </w:pPr>
      <w:r>
        <w:rPr>
          <w:rFonts w:ascii="Arial" w:cs="Arial" w:eastAsia="Arial" w:hAnsi="Arial"/>
          <w:color w:val="222222"/>
          <w:sz w:val="20"/>
          <w:szCs w:val="20"/>
        </w:rPr>
        <w:t xml:space="preserve">[higher-education] southeast-asia-higher-education → industries/higher-education/southeast-asia-higher-education.html</w:t>
      </w:r>
    </w:p>
    <w:p>
      <w:pPr>
        <w:pBdr>
          <w:bottom w:val="single" w:color="1B2A4A" w:sz="8" w:space="1"/>
        </w:pBdr>
        <w:spacing w:after="200" w:before="200"/>
      </w:pPr>
      <w:r>
        <w:rPr>
          <w:rFonts w:ascii="Arial" w:cs="Arial" w:eastAsia="Arial" w:hAnsi="Arial"/>
        </w:rPr>
        <w:t xml:space="preserve"/>
      </w:r>
    </w:p>
    <w:p>
      <w:pPr>
        <w:pStyle w:val="Heading1"/>
        <w:spacing w:after="160" w:before="400"/>
      </w:pPr>
      <w:r>
        <w:rPr>
          <w:rFonts w:ascii="Arial" w:cs="Arial" w:eastAsia="Arial" w:hAnsi="Arial"/>
          <w:b/>
          <w:bCs/>
          <w:color w:val="1B2A4A"/>
          <w:sz w:val="32"/>
          <w:szCs w:val="32"/>
        </w:rPr>
        <w:t xml:space="preserve">Section 2: Replit prompt</w:t>
      </w:r>
    </w:p>
    <w:p>
      <w:pPr>
        <w:spacing w:after="60" w:before="60"/>
      </w:pPr>
      <w:r>
        <w:rPr>
          <w:rFonts w:ascii="Arial" w:cs="Arial" w:eastAsia="Arial" w:hAnsi="Arial"/>
          <w:i/>
          <w:iCs/>
          <w:color w:val="666666"/>
          <w:sz w:val="18"/>
          <w:szCs w:val="18"/>
        </w:rPr>
        <w:t xml:space="preserve">Copy and paste directly into Replit AI without modification.</w:t>
      </w:r>
    </w:p>
    <w:p>
      <w:pPr>
        <w:spacing w:after="40" w:before="80"/>
      </w:pPr>
    </w:p>
    <w:p>
      <w:pPr>
        <w:shd w:fill="F0F0F0" w:val="clear"/>
        <w:spacing w:after="14" w:before="14"/>
        <w:ind w:left="360"/>
      </w:pPr>
      <w:r>
        <w:rPr>
          <w:rFonts w:ascii="Courier New" w:cs="Courier New" w:eastAsia="Courier New" w:hAnsi="Courier New"/>
          <w:color w:val="1B2A4A"/>
          <w:sz w:val="16"/>
          <w:szCs w:val="16"/>
        </w:rPr>
        <w:t xml:space="preserve">===================================================</w:t>
      </w:r>
    </w:p>
    <w:p>
      <w:pPr>
        <w:shd w:fill="F0F0F0" w:val="clear"/>
        <w:spacing w:after="14" w:before="14"/>
        <w:ind w:left="360"/>
      </w:pPr>
      <w:r>
        <w:rPr>
          <w:rFonts w:ascii="Courier New" w:cs="Courier New" w:eastAsia="Courier New" w:hAnsi="Courier New"/>
          <w:color w:val="1B2A4A"/>
          <w:sz w:val="16"/>
          <w:szCs w:val="16"/>
        </w:rPr>
        <w:t xml:space="preserve">GREYRADIUS INDUSTRY PAGES — BATCH 22 BUILD (FINAL)</w:t>
      </w:r>
    </w:p>
    <w:p>
      <w:pPr>
        <w:shd w:fill="F0F0F0" w:val="clear"/>
        <w:spacing w:after="14" w:before="14"/>
        <w:ind w:left="360"/>
      </w:pPr>
      <w:r>
        <w:rPr>
          <w:rFonts w:ascii="Courier New" w:cs="Courier New" w:eastAsia="Courier New" w:hAnsi="Courier New"/>
          <w:color w:val="1B2A4A"/>
          <w:sz w:val="16"/>
          <w:szCs w:val="16"/>
        </w:rPr>
        <w:t xml:space="preserve">===================================================</w:t>
      </w:r>
    </w:p>
    <w:p>
      <w:pPr>
        <w:shd w:fill="F0F0F0" w:val="clear"/>
        <w:spacing w:after="14" w:before="14"/>
        <w:ind w:left="360"/>
      </w:pPr>
      <w:r>
        <w:rPr>
          <w:rFonts w:ascii="Courier New" w:cs="Courier New" w:eastAsia="Courier New" w:hAnsi="Courier New"/>
          <w:color w:val="1B2A4A"/>
          <w:sz w:val="16"/>
          <w:szCs w:val="16"/>
        </w:rPr>
        <w:t xml:space="preserve">JSON file:  data/industry-pages-batch22.json</w:t>
      </w:r>
    </w:p>
    <w:p>
      <w:pPr>
        <w:shd w:fill="F0F0F0" w:val="clear"/>
        <w:spacing w:after="14" w:before="14"/>
        <w:ind w:left="360"/>
      </w:pPr>
      <w:r>
        <w:rPr>
          <w:rFonts w:ascii="Courier New" w:cs="Courier New" w:eastAsia="Courier New" w:hAnsi="Courier New"/>
          <w:color w:val="1B2A4A"/>
          <w:sz w:val="16"/>
          <w:szCs w:val="16"/>
        </w:rPr>
        <w:t xml:space="preserve">Template:   templates/industry-page-template.html</w:t>
      </w:r>
    </w:p>
    <w:p>
      <w:pPr>
        <w:shd w:fill="F0F0F0" w:val="clear"/>
        <w:spacing w:after="14" w:before="14"/>
        <w:ind w:left="360"/>
      </w:pPr>
      <w:r>
        <w:rPr>
          <w:rFonts w:ascii="Courier New" w:cs="Courier New" w:eastAsia="Courier New" w:hAnsi="Courier New"/>
          <w:color w:val="1B2A4A"/>
          <w:sz w:val="16"/>
          <w:szCs w:val="16"/>
        </w:rPr>
        <w:t xml:space="preserve">Pages:      20 (verified — no duplicates)</w:t>
      </w:r>
    </w:p>
    <w:p>
      <w:pPr>
        <w:shd w:fill="F0F0F0" w:val="clear"/>
        <w:spacing w:after="14" w:before="14"/>
        <w:ind w:left="360"/>
      </w:pPr>
      <w:r>
        <w:rPr>
          <w:rFonts w:ascii="Courier New" w:cs="Courier New" w:eastAsia="Courier New" w:hAnsi="Courier New"/>
          <w:color w:val="1B2A4A"/>
          <w:sz w:val="16"/>
          <w:szCs w:val="16"/>
        </w:rPr>
        <w:t xml:space="preserve"/>
      </w:r>
    </w:p>
    <w:p>
      <w:pPr>
        <w:shd w:fill="F0F0F0" w:val="clear"/>
        <w:spacing w:after="14" w:before="14"/>
        <w:ind w:left="360"/>
      </w:pPr>
      <w:r>
        <w:rPr>
          <w:rFonts w:ascii="Courier New" w:cs="Courier New" w:eastAsia="Courier New" w:hAnsi="Courier New"/>
          <w:color w:val="1B2A4A"/>
          <w:sz w:val="16"/>
          <w:szCs w:val="16"/>
        </w:rPr>
        <w:t xml:space="preserve">FOCUS: Final gap fill — embedded-finance, food-beverage</w:t>
      </w:r>
    </w:p>
    <w:p>
      <w:pPr>
        <w:shd w:fill="F0F0F0" w:val="clear"/>
        <w:spacing w:after="14" w:before="14"/>
        <w:ind w:left="360"/>
      </w:pPr>
      <w:r>
        <w:rPr>
          <w:rFonts w:ascii="Courier New" w:cs="Courier New" w:eastAsia="Courier New" w:hAnsi="Courier New"/>
          <w:color w:val="1B2A4A"/>
          <w:sz w:val="16"/>
          <w:szCs w:val="16"/>
        </w:rPr>
        <w:t xml:space="preserve">(Africa/SEA/India food tech), hrtech (Africa/SEA),</w:t>
      </w:r>
    </w:p>
    <w:p>
      <w:pPr>
        <w:shd w:fill="F0F0F0" w:val="clear"/>
        <w:spacing w:after="14" w:before="14"/>
        <w:ind w:left="360"/>
      </w:pPr>
      <w:r>
        <w:rPr>
          <w:rFonts w:ascii="Courier New" w:cs="Courier New" w:eastAsia="Courier New" w:hAnsi="Courier New"/>
          <w:color w:val="1B2A4A"/>
          <w:sz w:val="16"/>
          <w:szCs w:val="16"/>
        </w:rPr>
        <w:t xml:space="preserve">wealthtech (Africa/SEA), medical-devices (Gulf/SEA),</w:t>
      </w:r>
    </w:p>
    <w:p>
      <w:pPr>
        <w:shd w:fill="F0F0F0" w:val="clear"/>
        <w:spacing w:after="14" w:before="14"/>
        <w:ind w:left="360"/>
      </w:pPr>
      <w:r>
        <w:rPr>
          <w:rFonts w:ascii="Courier New" w:cs="Courier New" w:eastAsia="Courier New" w:hAnsi="Courier New"/>
          <w:color w:val="1B2A4A"/>
          <w:sz w:val="16"/>
          <w:szCs w:val="16"/>
        </w:rPr>
        <w:t xml:space="preserve">pharma (SEA), rare-earth Gulf, data-centres Africa,</w:t>
      </w:r>
    </w:p>
    <w:p>
      <w:pPr>
        <w:shd w:fill="F0F0F0" w:val="clear"/>
        <w:spacing w:after="14" w:before="14"/>
        <w:ind w:left="360"/>
      </w:pPr>
      <w:r>
        <w:rPr>
          <w:rFonts w:ascii="Courier New" w:cs="Courier New" w:eastAsia="Courier New" w:hAnsi="Courier New"/>
          <w:color w:val="1B2A4A"/>
          <w:sz w:val="16"/>
          <w:szCs w:val="16"/>
        </w:rPr>
        <w:t xml:space="preserve">cybersecurity SEA, last-mile Africa, corporate-learning SEA,</w:t>
      </w:r>
    </w:p>
    <w:p>
      <w:pPr>
        <w:shd w:fill="F0F0F0" w:val="clear"/>
        <w:spacing w:after="14" w:before="14"/>
        <w:ind w:left="360"/>
      </w:pPr>
      <w:r>
        <w:rPr>
          <w:rFonts w:ascii="Courier New" w:cs="Courier New" w:eastAsia="Courier New" w:hAnsi="Courier New"/>
          <w:color w:val="1B2A4A"/>
          <w:sz w:val="16"/>
          <w:szCs w:val="16"/>
        </w:rPr>
        <w:t xml:space="preserve">gaming Africa, higher-education (Africa/SEA).</w:t>
      </w:r>
    </w:p>
    <w:p>
      <w:pPr>
        <w:shd w:fill="F0F0F0" w:val="clear"/>
        <w:spacing w:after="14" w:before="14"/>
        <w:ind w:left="360"/>
      </w:pPr>
      <w:r>
        <w:rPr>
          <w:rFonts w:ascii="Courier New" w:cs="Courier New" w:eastAsia="Courier New" w:hAnsi="Courier New"/>
          <w:color w:val="1B2A4A"/>
          <w:sz w:val="16"/>
          <w:szCs w:val="16"/>
        </w:rPr>
        <w:t xml:space="preserve"/>
      </w:r>
    </w:p>
    <w:p>
      <w:pPr>
        <w:shd w:fill="F0F0F0" w:val="clear"/>
        <w:spacing w:after="14" w:before="14"/>
        <w:ind w:left="360"/>
      </w:pPr>
      <w:r>
        <w:rPr>
          <w:rFonts w:ascii="Courier New" w:cs="Courier New" w:eastAsia="Courier New" w:hAnsi="Courier New"/>
          <w:color w:val="1B2A4A"/>
          <w:sz w:val="16"/>
          <w:szCs w:val="16"/>
        </w:rPr>
        <w:t xml:space="preserve">AFTER THIS BATCH: Total industry pages = 400 (target reached)</w:t>
      </w:r>
    </w:p>
    <w:p>
      <w:pPr>
        <w:shd w:fill="F0F0F0" w:val="clear"/>
        <w:spacing w:after="14" w:before="14"/>
        <w:ind w:left="360"/>
      </w:pPr>
      <w:r>
        <w:rPr>
          <w:rFonts w:ascii="Courier New" w:cs="Courier New" w:eastAsia="Courier New" w:hAnsi="Courier New"/>
          <w:color w:val="1B2A4A"/>
          <w:sz w:val="16"/>
          <w:szCs w:val="16"/>
        </w:rPr>
        <w:t xml:space="preserve"/>
      </w:r>
    </w:p>
    <w:p>
      <w:pPr>
        <w:shd w:fill="F0F0F0" w:val="clear"/>
        <w:spacing w:after="14" w:before="14"/>
        <w:ind w:left="360"/>
      </w:pPr>
      <w:r>
        <w:rPr>
          <w:rFonts w:ascii="Courier New" w:cs="Courier New" w:eastAsia="Courier New" w:hAnsi="Courier New"/>
          <w:color w:val="1B2A4A"/>
          <w:sz w:val="16"/>
          <w:szCs w:val="16"/>
        </w:rPr>
        <w:t xml:space="preserve">PAGES TO BUILD:</w:t>
      </w:r>
    </w:p>
    <w:p>
      <w:pPr>
        <w:shd w:fill="F0F0F0" w:val="clear"/>
        <w:spacing w:after="14" w:before="14"/>
        <w:ind w:left="360"/>
      </w:pPr>
      <w:r>
        <w:rPr>
          <w:rFonts w:ascii="Courier New" w:cs="Courier New" w:eastAsia="Courier New" w:hAnsi="Courier New"/>
          <w:color w:val="1B2A4A"/>
          <w:sz w:val="16"/>
          <w:szCs w:val="16"/>
        </w:rPr>
        <w:t xml:space="preserve">   1. [embedded-finance] india-embedded-finance.html</w:t>
      </w:r>
    </w:p>
    <w:p>
      <w:pPr>
        <w:shd w:fill="F0F0F0" w:val="clear"/>
        <w:spacing w:after="14" w:before="14"/>
        <w:ind w:left="360"/>
      </w:pPr>
      <w:r>
        <w:rPr>
          <w:rFonts w:ascii="Courier New" w:cs="Courier New" w:eastAsia="Courier New" w:hAnsi="Courier New"/>
          <w:color w:val="1B2A4A"/>
          <w:sz w:val="16"/>
          <w:szCs w:val="16"/>
        </w:rPr>
        <w:t xml:space="preserve">   2. [embedded-finance] gulf-embedded-finance.html</w:t>
      </w:r>
    </w:p>
    <w:p>
      <w:pPr>
        <w:shd w:fill="F0F0F0" w:val="clear"/>
        <w:spacing w:after="14" w:before="14"/>
        <w:ind w:left="360"/>
      </w:pPr>
      <w:r>
        <w:rPr>
          <w:rFonts w:ascii="Courier New" w:cs="Courier New" w:eastAsia="Courier New" w:hAnsi="Courier New"/>
          <w:color w:val="1B2A4A"/>
          <w:sz w:val="16"/>
          <w:szCs w:val="16"/>
        </w:rPr>
        <w:t xml:space="preserve">   3. [food-beverage] africa-food-beverage.html</w:t>
      </w:r>
    </w:p>
    <w:p>
      <w:pPr>
        <w:shd w:fill="F0F0F0" w:val="clear"/>
        <w:spacing w:after="14" w:before="14"/>
        <w:ind w:left="360"/>
      </w:pPr>
      <w:r>
        <w:rPr>
          <w:rFonts w:ascii="Courier New" w:cs="Courier New" w:eastAsia="Courier New" w:hAnsi="Courier New"/>
          <w:color w:val="1B2A4A"/>
          <w:sz w:val="16"/>
          <w:szCs w:val="16"/>
        </w:rPr>
        <w:t xml:space="preserve">   4. [food-beverage] southeast-asia-food-beverage.html</w:t>
      </w:r>
    </w:p>
    <w:p>
      <w:pPr>
        <w:shd w:fill="F0F0F0" w:val="clear"/>
        <w:spacing w:after="14" w:before="14"/>
        <w:ind w:left="360"/>
      </w:pPr>
      <w:r>
        <w:rPr>
          <w:rFonts w:ascii="Courier New" w:cs="Courier New" w:eastAsia="Courier New" w:hAnsi="Courier New"/>
          <w:color w:val="1B2A4A"/>
          <w:sz w:val="16"/>
          <w:szCs w:val="16"/>
        </w:rPr>
        <w:t xml:space="preserve">   5. [hrtech] africa-hrtech.html</w:t>
      </w:r>
    </w:p>
    <w:p>
      <w:pPr>
        <w:shd w:fill="F0F0F0" w:val="clear"/>
        <w:spacing w:after="14" w:before="14"/>
        <w:ind w:left="360"/>
      </w:pPr>
      <w:r>
        <w:rPr>
          <w:rFonts w:ascii="Courier New" w:cs="Courier New" w:eastAsia="Courier New" w:hAnsi="Courier New"/>
          <w:color w:val="1B2A4A"/>
          <w:sz w:val="16"/>
          <w:szCs w:val="16"/>
        </w:rPr>
        <w:t xml:space="preserve">   6. [hrtech] southeast-asia-hrtech.html</w:t>
      </w:r>
    </w:p>
    <w:p>
      <w:pPr>
        <w:shd w:fill="F0F0F0" w:val="clear"/>
        <w:spacing w:after="14" w:before="14"/>
        <w:ind w:left="360"/>
      </w:pPr>
      <w:r>
        <w:rPr>
          <w:rFonts w:ascii="Courier New" w:cs="Courier New" w:eastAsia="Courier New" w:hAnsi="Courier New"/>
          <w:color w:val="1B2A4A"/>
          <w:sz w:val="16"/>
          <w:szCs w:val="16"/>
        </w:rPr>
        <w:t xml:space="preserve">   7. [wealthtech] africa-wealthtech.html</w:t>
      </w:r>
    </w:p>
    <w:p>
      <w:pPr>
        <w:shd w:fill="F0F0F0" w:val="clear"/>
        <w:spacing w:after="14" w:before="14"/>
        <w:ind w:left="360"/>
      </w:pPr>
      <w:r>
        <w:rPr>
          <w:rFonts w:ascii="Courier New" w:cs="Courier New" w:eastAsia="Courier New" w:hAnsi="Courier New"/>
          <w:color w:val="1B2A4A"/>
          <w:sz w:val="16"/>
          <w:szCs w:val="16"/>
        </w:rPr>
        <w:t xml:space="preserve">   8. [wealthtech] southeast-asia-wealthtech.html</w:t>
      </w:r>
    </w:p>
    <w:p>
      <w:pPr>
        <w:shd w:fill="F0F0F0" w:val="clear"/>
        <w:spacing w:after="14" w:before="14"/>
        <w:ind w:left="360"/>
      </w:pPr>
      <w:r>
        <w:rPr>
          <w:rFonts w:ascii="Courier New" w:cs="Courier New" w:eastAsia="Courier New" w:hAnsi="Courier New"/>
          <w:color w:val="1B2A4A"/>
          <w:sz w:val="16"/>
          <w:szCs w:val="16"/>
        </w:rPr>
        <w:t xml:space="preserve">   9. [medical-devices] gulf-medical-devices.html</w:t>
      </w:r>
    </w:p>
    <w:p>
      <w:pPr>
        <w:shd w:fill="F0F0F0" w:val="clear"/>
        <w:spacing w:after="14" w:before="14"/>
        <w:ind w:left="360"/>
      </w:pPr>
      <w:r>
        <w:rPr>
          <w:rFonts w:ascii="Courier New" w:cs="Courier New" w:eastAsia="Courier New" w:hAnsi="Courier New"/>
          <w:color w:val="1B2A4A"/>
          <w:sz w:val="16"/>
          <w:szCs w:val="16"/>
        </w:rPr>
        <w:t xml:space="preserve">  10. [medical-devices] southeast-asia-medical-devices.html</w:t>
      </w:r>
    </w:p>
    <w:p>
      <w:pPr>
        <w:shd w:fill="F0F0F0" w:val="clear"/>
        <w:spacing w:after="14" w:before="14"/>
        <w:ind w:left="360"/>
      </w:pPr>
      <w:r>
        <w:rPr>
          <w:rFonts w:ascii="Courier New" w:cs="Courier New" w:eastAsia="Courier New" w:hAnsi="Courier New"/>
          <w:color w:val="1B2A4A"/>
          <w:sz w:val="16"/>
          <w:szCs w:val="16"/>
        </w:rPr>
        <w:t xml:space="preserve">  11. [pharma] southeast-asia-pharma.html</w:t>
      </w:r>
    </w:p>
    <w:p>
      <w:pPr>
        <w:shd w:fill="F0F0F0" w:val="clear"/>
        <w:spacing w:after="14" w:before="14"/>
        <w:ind w:left="360"/>
      </w:pPr>
      <w:r>
        <w:rPr>
          <w:rFonts w:ascii="Courier New" w:cs="Courier New" w:eastAsia="Courier New" w:hAnsi="Courier New"/>
          <w:color w:val="1B2A4A"/>
          <w:sz w:val="16"/>
          <w:szCs w:val="16"/>
        </w:rPr>
        <w:t xml:space="preserve">  12. [rare-earth-metals] gulf-rare-earth.html</w:t>
      </w:r>
    </w:p>
    <w:p>
      <w:pPr>
        <w:shd w:fill="F0F0F0" w:val="clear"/>
        <w:spacing w:after="14" w:before="14"/>
        <w:ind w:left="360"/>
      </w:pPr>
      <w:r>
        <w:rPr>
          <w:rFonts w:ascii="Courier New" w:cs="Courier New" w:eastAsia="Courier New" w:hAnsi="Courier New"/>
          <w:color w:val="1B2A4A"/>
          <w:sz w:val="16"/>
          <w:szCs w:val="16"/>
        </w:rPr>
        <w:t xml:space="preserve">  13. [data-centers] africa-data-centre.html</w:t>
      </w:r>
    </w:p>
    <w:p>
      <w:pPr>
        <w:shd w:fill="F0F0F0" w:val="clear"/>
        <w:spacing w:after="14" w:before="14"/>
        <w:ind w:left="360"/>
      </w:pPr>
      <w:r>
        <w:rPr>
          <w:rFonts w:ascii="Courier New" w:cs="Courier New" w:eastAsia="Courier New" w:hAnsi="Courier New"/>
          <w:color w:val="1B2A4A"/>
          <w:sz w:val="16"/>
          <w:szCs w:val="16"/>
        </w:rPr>
        <w:t xml:space="preserve">  14. [cybersecurity] southeast-asia-cybersecurity.html</w:t>
      </w:r>
    </w:p>
    <w:p>
      <w:pPr>
        <w:shd w:fill="F0F0F0" w:val="clear"/>
        <w:spacing w:after="14" w:before="14"/>
        <w:ind w:left="360"/>
      </w:pPr>
      <w:r>
        <w:rPr>
          <w:rFonts w:ascii="Courier New" w:cs="Courier New" w:eastAsia="Courier New" w:hAnsi="Courier New"/>
          <w:color w:val="1B2A4A"/>
          <w:sz w:val="16"/>
          <w:szCs w:val="16"/>
        </w:rPr>
        <w:t xml:space="preserve">  15. [food-beverage] india-food-tech.html</w:t>
      </w:r>
    </w:p>
    <w:p>
      <w:pPr>
        <w:shd w:fill="F0F0F0" w:val="clear"/>
        <w:spacing w:after="14" w:before="14"/>
        <w:ind w:left="360"/>
      </w:pPr>
      <w:r>
        <w:rPr>
          <w:rFonts w:ascii="Courier New" w:cs="Courier New" w:eastAsia="Courier New" w:hAnsi="Courier New"/>
          <w:color w:val="1B2A4A"/>
          <w:sz w:val="16"/>
          <w:szCs w:val="16"/>
        </w:rPr>
        <w:t xml:space="preserve">  16. [last-mile-delivery] africa-last-mile.html</w:t>
      </w:r>
    </w:p>
    <w:p>
      <w:pPr>
        <w:shd w:fill="F0F0F0" w:val="clear"/>
        <w:spacing w:after="14" w:before="14"/>
        <w:ind w:left="360"/>
      </w:pPr>
      <w:r>
        <w:rPr>
          <w:rFonts w:ascii="Courier New" w:cs="Courier New" w:eastAsia="Courier New" w:hAnsi="Courier New"/>
          <w:color w:val="1B2A4A"/>
          <w:sz w:val="16"/>
          <w:szCs w:val="16"/>
        </w:rPr>
        <w:t xml:space="preserve">  17. [corporate-learning] southeast-asia-corporate-learning.html</w:t>
      </w:r>
    </w:p>
    <w:p>
      <w:pPr>
        <w:shd w:fill="F0F0F0" w:val="clear"/>
        <w:spacing w:after="14" w:before="14"/>
        <w:ind w:left="360"/>
      </w:pPr>
      <w:r>
        <w:rPr>
          <w:rFonts w:ascii="Courier New" w:cs="Courier New" w:eastAsia="Courier New" w:hAnsi="Courier New"/>
          <w:color w:val="1B2A4A"/>
          <w:sz w:val="16"/>
          <w:szCs w:val="16"/>
        </w:rPr>
        <w:t xml:space="preserve">  18. [gaming] africa-gaming.html</w:t>
      </w:r>
    </w:p>
    <w:p>
      <w:pPr>
        <w:shd w:fill="F0F0F0" w:val="clear"/>
        <w:spacing w:after="14" w:before="14"/>
        <w:ind w:left="360"/>
      </w:pPr>
      <w:r>
        <w:rPr>
          <w:rFonts w:ascii="Courier New" w:cs="Courier New" w:eastAsia="Courier New" w:hAnsi="Courier New"/>
          <w:color w:val="1B2A4A"/>
          <w:sz w:val="16"/>
          <w:szCs w:val="16"/>
        </w:rPr>
        <w:t xml:space="preserve">  19. [higher-education] africa-higher-education.html</w:t>
      </w:r>
    </w:p>
    <w:p>
      <w:pPr>
        <w:shd w:fill="F0F0F0" w:val="clear"/>
        <w:spacing w:after="14" w:before="14"/>
        <w:ind w:left="360"/>
      </w:pPr>
      <w:r>
        <w:rPr>
          <w:rFonts w:ascii="Courier New" w:cs="Courier New" w:eastAsia="Courier New" w:hAnsi="Courier New"/>
          <w:color w:val="1B2A4A"/>
          <w:sz w:val="16"/>
          <w:szCs w:val="16"/>
        </w:rPr>
        <w:t xml:space="preserve">  20. [higher-education] southeast-asia-higher-education.html</w:t>
      </w:r>
    </w:p>
    <w:p>
      <w:pPr>
        <w:shd w:fill="F0F0F0" w:val="clear"/>
        <w:spacing w:after="14" w:before="14"/>
        <w:ind w:left="360"/>
      </w:pPr>
      <w:r>
        <w:rPr>
          <w:rFonts w:ascii="Courier New" w:cs="Courier New" w:eastAsia="Courier New" w:hAnsi="Courier New"/>
          <w:color w:val="1B2A4A"/>
          <w:sz w:val="16"/>
          <w:szCs w:val="16"/>
        </w:rPr>
        <w:t xml:space="preserve"/>
      </w:r>
    </w:p>
    <w:p>
      <w:pPr>
        <w:shd w:fill="F0F0F0" w:val="clear"/>
        <w:spacing w:after="14" w:before="14"/>
        <w:ind w:left="360"/>
      </w:pPr>
      <w:r>
        <w:rPr>
          <w:rFonts w:ascii="Courier New" w:cs="Courier New" w:eastAsia="Courier New" w:hAnsi="Courier New"/>
          <w:color w:val="1B2A4A"/>
          <w:sz w:val="16"/>
          <w:szCs w:val="16"/>
        </w:rPr>
        <w:t xml:space="preserve">STEP 1 — VERIFY FILES:</w:t>
      </w:r>
    </w:p>
    <w:p>
      <w:pPr>
        <w:shd w:fill="F0F0F0" w:val="clear"/>
        <w:spacing w:after="14" w:before="14"/>
        <w:ind w:left="360"/>
      </w:pPr>
      <w:r>
        <w:rPr>
          <w:rFonts w:ascii="Courier New" w:cs="Courier New" w:eastAsia="Courier New" w:hAnsi="Courier New"/>
          <w:color w:val="1B2A4A"/>
          <w:sz w:val="16"/>
          <w:szCs w:val="16"/>
        </w:rPr>
        <w:t xml:space="preserve">  data/industry-pages-batch22.json</w:t>
      </w:r>
    </w:p>
    <w:p>
      <w:pPr>
        <w:shd w:fill="F0F0F0" w:val="clear"/>
        <w:spacing w:after="14" w:before="14"/>
        <w:ind w:left="360"/>
      </w:pPr>
      <w:r>
        <w:rPr>
          <w:rFonts w:ascii="Courier New" w:cs="Courier New" w:eastAsia="Courier New" w:hAnsi="Courier New"/>
          <w:color w:val="1B2A4A"/>
          <w:sz w:val="16"/>
          <w:szCs w:val="16"/>
        </w:rPr>
        <w:t xml:space="preserve">  templates/industry-page-template.html</w:t>
      </w:r>
    </w:p>
    <w:p>
      <w:pPr>
        <w:shd w:fill="F0F0F0" w:val="clear"/>
        <w:spacing w:after="14" w:before="14"/>
        <w:ind w:left="360"/>
      </w:pPr>
      <w:r>
        <w:rPr>
          <w:rFonts w:ascii="Courier New" w:cs="Courier New" w:eastAsia="Courier New" w:hAnsi="Courier New"/>
          <w:color w:val="1B2A4A"/>
          <w:sz w:val="16"/>
          <w:szCs w:val="16"/>
        </w:rPr>
        <w:t xml:space="preserve"/>
      </w:r>
    </w:p>
    <w:p>
      <w:pPr>
        <w:shd w:fill="F0F0F0" w:val="clear"/>
        <w:spacing w:after="14" w:before="14"/>
        <w:ind w:left="360"/>
      </w:pPr>
      <w:r>
        <w:rPr>
          <w:rFonts w:ascii="Courier New" w:cs="Courier New" w:eastAsia="Courier New" w:hAnsi="Courier New"/>
          <w:color w:val="1B2A4A"/>
          <w:sz w:val="16"/>
          <w:szCs w:val="16"/>
        </w:rPr>
        <w:t xml:space="preserve">STEP 2 — BUILD ALL 20 PAGES</w:t>
      </w:r>
    </w:p>
    <w:p>
      <w:pPr>
        <w:shd w:fill="F0F0F0" w:val="clear"/>
        <w:spacing w:after="14" w:before="14"/>
        <w:ind w:left="360"/>
      </w:pPr>
      <w:r>
        <w:rPr>
          <w:rFonts w:ascii="Courier New" w:cs="Courier New" w:eastAsia="Courier New" w:hAnsi="Courier New"/>
          <w:color w:val="1B2A4A"/>
          <w:sz w:val="16"/>
          <w:szCs w:val="16"/>
        </w:rPr>
        <w:t xml:space="preserve">Same process as all previous batches.</w:t>
      </w:r>
    </w:p>
    <w:p>
      <w:pPr>
        <w:shd w:fill="F0F0F0" w:val="clear"/>
        <w:spacing w:after="14" w:before="14"/>
        <w:ind w:left="360"/>
      </w:pPr>
      <w:r>
        <w:rPr>
          <w:rFonts w:ascii="Courier New" w:cs="Courier New" w:eastAsia="Courier New" w:hAnsi="Courier New"/>
          <w:color w:val="1B2A4A"/>
          <w:sz w:val="16"/>
          <w:szCs w:val="16"/>
        </w:rPr>
        <w:t xml:space="preserve">Read JSON. For each page object:</w:t>
      </w:r>
    </w:p>
    <w:p>
      <w:pPr>
        <w:shd w:fill="F0F0F0" w:val="clear"/>
        <w:spacing w:after="14" w:before="14"/>
        <w:ind w:left="360"/>
      </w:pPr>
      <w:r>
        <w:rPr>
          <w:rFonts w:ascii="Courier New" w:cs="Courier New" w:eastAsia="Courier New" w:hAnsi="Courier New"/>
          <w:color w:val="1B2A4A"/>
          <w:sz w:val="16"/>
          <w:szCs w:val="16"/>
        </w:rPr>
        <w:t xml:space="preserve">  A. mkdir -p industries/[parent]</w:t>
      </w:r>
    </w:p>
    <w:p>
      <w:pPr>
        <w:shd w:fill="F0F0F0" w:val="clear"/>
        <w:spacing w:after="14" w:before="14"/>
        <w:ind w:left="360"/>
      </w:pPr>
      <w:r>
        <w:rPr>
          <w:rFonts w:ascii="Courier New" w:cs="Courier New" w:eastAsia="Courier New" w:hAnsi="Courier New"/>
          <w:color w:val="1B2A4A"/>
          <w:sz w:val="16"/>
          <w:szCs w:val="16"/>
        </w:rPr>
        <w:t xml:space="preserve">  B. Read template fresh</w:t>
      </w:r>
    </w:p>
    <w:p>
      <w:pPr>
        <w:shd w:fill="F0F0F0" w:val="clear"/>
        <w:spacing w:after="14" w:before="14"/>
        <w:ind w:left="360"/>
      </w:pPr>
      <w:r>
        <w:rPr>
          <w:rFonts w:ascii="Courier New" w:cs="Courier New" w:eastAsia="Courier New" w:hAnsi="Courier New"/>
          <w:color w:val="1B2A4A"/>
          <w:sz w:val="16"/>
          <w:szCs w:val="16"/>
        </w:rPr>
        <w:t xml:space="preserve">  C. Replace ALL tokens (same token list as prior batches)</w:t>
      </w:r>
    </w:p>
    <w:p>
      <w:pPr>
        <w:shd w:fill="F0F0F0" w:val="clear"/>
        <w:spacing w:after="14" w:before="14"/>
        <w:ind w:left="360"/>
      </w:pPr>
      <w:r>
        <w:rPr>
          <w:rFonts w:ascii="Courier New" w:cs="Courier New" w:eastAsia="Courier New" w:hAnsi="Courier New"/>
          <w:color w:val="1B2A4A"/>
          <w:sz w:val="16"/>
          <w:szCs w:val="16"/>
        </w:rPr>
        <w:t xml:space="preserve">  D. Write to industries/[parent]/[slug].html</w:t>
      </w:r>
    </w:p>
    <w:p>
      <w:pPr>
        <w:shd w:fill="F0F0F0" w:val="clear"/>
        <w:spacing w:after="14" w:before="14"/>
        <w:ind w:left="360"/>
      </w:pPr>
      <w:r>
        <w:rPr>
          <w:rFonts w:ascii="Courier New" w:cs="Courier New" w:eastAsia="Courier New" w:hAnsi="Courier New"/>
          <w:color w:val="1B2A4A"/>
          <w:sz w:val="16"/>
          <w:szCs w:val="16"/>
        </w:rPr>
        <w:t xml:space="preserve">  E. Log: Created [path]</w:t>
      </w:r>
    </w:p>
    <w:p>
      <w:pPr>
        <w:shd w:fill="F0F0F0" w:val="clear"/>
        <w:spacing w:after="14" w:before="14"/>
        <w:ind w:left="360"/>
      </w:pPr>
      <w:r>
        <w:rPr>
          <w:rFonts w:ascii="Courier New" w:cs="Courier New" w:eastAsia="Courier New" w:hAnsi="Courier New"/>
          <w:color w:val="1B2A4A"/>
          <w:sz w:val="16"/>
          <w:szCs w:val="16"/>
        </w:rPr>
        <w:t xml:space="preserve"/>
      </w:r>
    </w:p>
    <w:p>
      <w:pPr>
        <w:shd w:fill="F0F0F0" w:val="clear"/>
        <w:spacing w:after="14" w:before="14"/>
        <w:ind w:left="360"/>
      </w:pPr>
      <w:r>
        <w:rPr>
          <w:rFonts w:ascii="Courier New" w:cs="Courier New" w:eastAsia="Courier New" w:hAnsi="Courier New"/>
          <w:color w:val="1B2A4A"/>
          <w:sz w:val="16"/>
          <w:szCs w:val="16"/>
        </w:rPr>
        <w:t xml:space="preserve">STEP 3 — UPDATE SITEMAP (priority 0.7, changefreq monthly)</w:t>
      </w:r>
    </w:p>
    <w:p>
      <w:pPr>
        <w:shd w:fill="F0F0F0" w:val="clear"/>
        <w:spacing w:after="14" w:before="14"/>
        <w:ind w:left="360"/>
      </w:pPr>
      <w:r>
        <w:rPr>
          <w:rFonts w:ascii="Courier New" w:cs="Courier New" w:eastAsia="Courier New" w:hAnsi="Courier New"/>
          <w:color w:val="1B2A4A"/>
          <w:sz w:val="16"/>
          <w:szCs w:val="16"/>
        </w:rPr>
        <w:t xml:space="preserve">and nav. Do not remove existing entries.</w:t>
      </w:r>
    </w:p>
    <w:p>
      <w:pPr>
        <w:shd w:fill="F0F0F0" w:val="clear"/>
        <w:spacing w:after="14" w:before="14"/>
        <w:ind w:left="360"/>
      </w:pPr>
      <w:r>
        <w:rPr>
          <w:rFonts w:ascii="Courier New" w:cs="Courier New" w:eastAsia="Courier New" w:hAnsi="Courier New"/>
          <w:color w:val="1B2A4A"/>
          <w:sz w:val="16"/>
          <w:szCs w:val="16"/>
        </w:rPr>
        <w:t xml:space="preserve"/>
      </w:r>
    </w:p>
    <w:p>
      <w:pPr>
        <w:shd w:fill="F0F0F0" w:val="clear"/>
        <w:spacing w:after="14" w:before="14"/>
        <w:ind w:left="360"/>
      </w:pPr>
      <w:r>
        <w:rPr>
          <w:rFonts w:ascii="Courier New" w:cs="Courier New" w:eastAsia="Courier New" w:hAnsi="Courier New"/>
          <w:color w:val="1B2A4A"/>
          <w:sz w:val="16"/>
          <w:szCs w:val="16"/>
        </w:rPr>
        <w:t xml:space="preserve">STEP 4 — CONFIRM</w:t>
      </w:r>
    </w:p>
    <w:p>
      <w:pPr>
        <w:shd w:fill="F0F0F0" w:val="clear"/>
        <w:spacing w:after="14" w:before="14"/>
        <w:ind w:left="360"/>
      </w:pPr>
      <w:r>
        <w:rPr>
          <w:rFonts w:ascii="Courier New" w:cs="Courier New" w:eastAsia="Courier New" w:hAnsi="Courier New"/>
          <w:color w:val="1B2A4A"/>
          <w:sz w:val="16"/>
          <w:szCs w:val="16"/>
        </w:rPr>
        <w:t xml:space="preserve">Total pages created: [N] must equal 20</w:t>
      </w:r>
    </w:p>
    <w:p>
      <w:pPr>
        <w:shd w:fill="F0F0F0" w:val="clear"/>
        <w:spacing w:after="14" w:before="14"/>
        <w:ind w:left="360"/>
      </w:pPr>
      <w:r>
        <w:rPr>
          <w:rFonts w:ascii="Courier New" w:cs="Courier New" w:eastAsia="Courier New" w:hAnsi="Courier New"/>
          <w:color w:val="1B2A4A"/>
          <w:sz w:val="16"/>
          <w:szCs w:val="16"/>
        </w:rPr>
        <w:t xml:space="preserve">List all 20 file paths</w:t>
      </w:r>
    </w:p>
    <w:p>
      <w:pPr>
        <w:shd w:fill="F0F0F0" w:val="clear"/>
        <w:spacing w:after="14" w:before="14"/>
        <w:ind w:left="360"/>
      </w:pPr>
      <w:r>
        <w:rPr>
          <w:rFonts w:ascii="Courier New" w:cs="Courier New" w:eastAsia="Courier New" w:hAnsi="Courier New"/>
          <w:color w:val="1B2A4A"/>
          <w:sz w:val="16"/>
          <w:szCs w:val="16"/>
        </w:rPr>
        <w:t xml:space="preserve">Sitemap updated: yes/no</w:t>
      </w:r>
    </w:p>
    <w:p>
      <w:pPr>
        <w:shd w:fill="F0F0F0" w:val="clear"/>
        <w:spacing w:after="14" w:before="14"/>
        <w:ind w:left="360"/>
      </w:pPr>
      <w:r>
        <w:rPr>
          <w:rFonts w:ascii="Courier New" w:cs="Courier New" w:eastAsia="Courier New" w:hAnsi="Courier New"/>
          <w:color w:val="1B2A4A"/>
          <w:sz w:val="16"/>
          <w:szCs w:val="16"/>
        </w:rPr>
        <w:t xml:space="preserve">Total industry pages now: [N] (should be ~400)</w:t>
      </w:r>
    </w:p>
    <w:p>
      <w:pPr>
        <w:shd w:fill="F0F0F0" w:val="clear"/>
        <w:spacing w:after="14" w:before="14"/>
        <w:ind w:left="360"/>
      </w:pPr>
      <w:r>
        <w:rPr>
          <w:rFonts w:ascii="Courier New" w:cs="Courier New" w:eastAsia="Courier New" w:hAnsi="Courier New"/>
          <w:color w:val="1B2A4A"/>
          <w:sz w:val="16"/>
          <w:szCs w:val="16"/>
        </w:rPr>
        <w:t xml:space="preserve">Any failures: [list]</w:t>
      </w:r>
    </w:p>
    <w:p>
      <w:pPr>
        <w:shd w:fill="F0F0F0" w:val="clear"/>
        <w:spacing w:after="14" w:before="14"/>
        <w:ind w:left="360"/>
      </w:pPr>
      <w:r>
        <w:rPr>
          <w:rFonts w:ascii="Courier New" w:cs="Courier New" w:eastAsia="Courier New" w:hAnsi="Courier New"/>
          <w:color w:val="1B2A4A"/>
          <w:sz w:val="16"/>
          <w:szCs w:val="16"/>
        </w:rPr>
        <w:t xml:space="preserve"/>
      </w:r>
    </w:p>
    <w:p>
      <w:pPr>
        <w:shd w:fill="F0F0F0" w:val="clear"/>
        <w:spacing w:after="14" w:before="14"/>
        <w:ind w:left="360"/>
      </w:pPr>
      <w:r>
        <w:rPr>
          <w:rFonts w:ascii="Courier New" w:cs="Courier New" w:eastAsia="Courier New" w:hAnsi="Courier New"/>
          <w:color w:val="1B2A4A"/>
          <w:sz w:val="16"/>
          <w:szCs w:val="16"/>
        </w:rPr>
        <w:t xml:space="preserve">POST-BUILD SITEMAP CHECK:</w:t>
      </w:r>
    </w:p>
    <w:p>
      <w:pPr>
        <w:shd w:fill="F0F0F0" w:val="clear"/>
        <w:spacing w:after="14" w:before="14"/>
        <w:ind w:left="360"/>
      </w:pPr>
      <w:r>
        <w:rPr>
          <w:rFonts w:ascii="Courier New" w:cs="Courier New" w:eastAsia="Courier New" w:hAnsi="Courier New"/>
          <w:color w:val="1B2A4A"/>
          <w:sz w:val="16"/>
          <w:szCs w:val="16"/>
        </w:rPr>
        <w:t xml:space="preserve">Run: grep -c '&lt;loc&gt;' sitemap.xml</w:t>
      </w:r>
    </w:p>
    <w:p>
      <w:pPr>
        <w:shd w:fill="F0F0F0" w:val="clear"/>
        <w:spacing w:after="14" w:before="14"/>
        <w:ind w:left="360"/>
      </w:pPr>
      <w:r>
        <w:rPr>
          <w:rFonts w:ascii="Courier New" w:cs="Courier New" w:eastAsia="Courier New" w:hAnsi="Courier New"/>
          <w:color w:val="1B2A4A"/>
          <w:sz w:val="16"/>
          <w:szCs w:val="16"/>
        </w:rPr>
        <w:t xml:space="preserve">Should be approximately 402 (382 + 20 new).</w:t>
      </w:r>
    </w:p>
    <w:p>
      <w:pPr>
        <w:shd w:fill="F0F0F0" w:val="clear"/>
        <w:spacing w:after="14" w:before="14"/>
        <w:ind w:left="360"/>
      </w:pPr>
      <w:r>
        <w:rPr>
          <w:rFonts w:ascii="Courier New" w:cs="Courier New" w:eastAsia="Courier New" w:hAnsi="Courier New"/>
          <w:color w:val="1B2A4A"/>
          <w:sz w:val="16"/>
          <w:szCs w:val="16"/>
        </w:rPr>
        <w:t xml:space="preserve"/>
      </w:r>
    </w:p>
    <w:p>
      <w:pPr>
        <w:shd w:fill="F0F0F0" w:val="clear"/>
        <w:spacing w:after="14" w:before="14"/>
        <w:ind w:left="360"/>
      </w:pPr>
      <w:r>
        <w:rPr>
          <w:rFonts w:ascii="Courier New" w:cs="Courier New" w:eastAsia="Courier New" w:hAnsi="Courier New"/>
          <w:color w:val="1B2A4A"/>
          <w:sz w:val="16"/>
          <w:szCs w:val="16"/>
        </w:rPr>
        <w:t xml:space="preserve">===================================================</w:t>
      </w:r>
    </w:p>
    <w:p>
      <w:pPr>
        <w:shd w:fill="F0F0F0" w:val="clear"/>
        <w:spacing w:after="14" w:before="14"/>
        <w:ind w:left="360"/>
      </w:pPr>
      <w:r>
        <w:rPr>
          <w:rFonts w:ascii="Courier New" w:cs="Courier New" w:eastAsia="Courier New" w:hAnsi="Courier New"/>
          <w:color w:val="1B2A4A"/>
          <w:sz w:val="16"/>
          <w:szCs w:val="16"/>
        </w:rPr>
        <w:t xml:space="preserve">DO NOT write scripts. Read JSON. Replace tokens. Write.</w:t>
      </w:r>
    </w:p>
    <w:p>
      <w:pPr>
        <w:shd w:fill="F0F0F0" w:val="clear"/>
        <w:spacing w:after="14" w:before="14"/>
        <w:ind w:left="360"/>
      </w:pPr>
      <w:r>
        <w:rPr>
          <w:rFonts w:ascii="Courier New" w:cs="Courier New" w:eastAsia="Courier New" w:hAnsi="Courier New"/>
          <w:color w:val="1B2A4A"/>
          <w:sz w:val="16"/>
          <w:szCs w:val="16"/>
        </w:rPr>
        <w:t xml:space="preserve">===================================================</w:t>
      </w:r>
    </w:p>
    <w:p>
      <w:pPr>
        <w:pBdr>
          <w:bottom w:val="single" w:color="1B2A4A" w:sz="8" w:space="1"/>
        </w:pBdr>
        <w:spacing w:after="200" w:before="200"/>
      </w:pPr>
      <w:r>
        <w:rPr>
          <w:rFonts w:ascii="Arial" w:cs="Arial" w:eastAsia="Arial" w:hAnsi="Arial"/>
        </w:rPr>
        <w:t xml:space="preserve"/>
      </w:r>
    </w:p>
    <w:p>
      <w:pPr>
        <w:pStyle w:val="Heading1"/>
        <w:spacing w:after="160" w:before="400"/>
      </w:pPr>
      <w:r>
        <w:rPr>
          <w:rFonts w:ascii="Arial" w:cs="Arial" w:eastAsia="Arial" w:hAnsi="Arial"/>
          <w:b/>
          <w:bCs/>
          <w:color w:val="1B2A4A"/>
          <w:sz w:val="32"/>
          <w:szCs w:val="32"/>
        </w:rPr>
        <w:t xml:space="preserve">Section 3: JSON — save as data/industry-pages-batch22.json</w:t>
      </w:r>
    </w:p>
    <w:p>
      <w:pPr>
        <w:spacing w:after="60" w:before="60"/>
      </w:pPr>
      <w:r>
        <w:rPr>
          <w:rFonts w:ascii="Arial" w:cs="Arial" w:eastAsia="Arial" w:hAnsi="Arial"/>
          <w:i/>
          <w:iCs/>
          <w:color w:val="666666"/>
          <w:sz w:val="18"/>
          <w:szCs w:val="18"/>
        </w:rPr>
        <w:t xml:space="preserve">20 page objects. Copy and save as data/industry-pages-batch22.json in Replit before running the prompt.</w:t>
      </w:r>
    </w:p>
    <w:p>
      <w:pPr>
        <w:spacing w:after="40" w:before="80"/>
      </w:pPr>
    </w:p>
    <w:p>
      <w:pPr>
        <w:shd w:fill="F0F0F0" w:val="clear"/>
        <w:spacing w:after="14" w:before="14"/>
        <w:ind w:left="360"/>
      </w:pPr>
      <w:r>
        <w:rPr>
          <w:rFonts w:ascii="Courier New" w:cs="Courier New" w:eastAsia="Courier New" w:hAnsi="Courier New"/>
          <w:color w:val="1B2A4A"/>
          <w:sz w:val="16"/>
          <w:szCs w:val="16"/>
        </w:rPr>
        <w:t xml:space="preserve">[</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"slug": "india-embedded-finance",</w:t>
      </w:r>
    </w:p>
    <w:p>
      <w:pPr>
        <w:shd w:fill="F0F0F0" w:val="clear"/>
        <w:spacing w:after="14" w:before="14"/>
        <w:ind w:left="360"/>
      </w:pPr>
      <w:r>
        <w:rPr>
          <w:rFonts w:ascii="Courier New" w:cs="Courier New" w:eastAsia="Courier New" w:hAnsi="Courier New"/>
          <w:color w:val="1B2A4A"/>
          <w:sz w:val="16"/>
          <w:szCs w:val="16"/>
        </w:rPr>
        <w:t xml:space="preserve">    "parent": "embedded-finance",</w:t>
      </w:r>
    </w:p>
    <w:p>
      <w:pPr>
        <w:shd w:fill="F0F0F0" w:val="clear"/>
        <w:spacing w:after="14" w:before="14"/>
        <w:ind w:left="360"/>
      </w:pPr>
      <w:r>
        <w:rPr>
          <w:rFonts w:ascii="Courier New" w:cs="Courier New" w:eastAsia="Courier New" w:hAnsi="Courier New"/>
          <w:color w:val="1B2A4A"/>
          <w:sz w:val="16"/>
          <w:szCs w:val="16"/>
        </w:rPr>
        <w:t xml:space="preserve">    "title": "India Embedded Finance Market Entry Strategy | GreyRadius",</w:t>
      </w:r>
    </w:p>
    <w:p>
      <w:pPr>
        <w:shd w:fill="F0F0F0" w:val="clear"/>
        <w:spacing w:after="14" w:before="14"/>
        <w:ind w:left="360"/>
      </w:pPr>
      <w:r>
        <w:rPr>
          <w:rFonts w:ascii="Courier New" w:cs="Courier New" w:eastAsia="Courier New" w:hAnsi="Courier New"/>
          <w:color w:val="1B2A4A"/>
          <w:sz w:val="16"/>
          <w:szCs w:val="16"/>
        </w:rPr>
        <w:t xml:space="preserve">    "meta": "GreyRadius helps embedded finance companies enter India with RBI regulatory mapping, Account Aggregator integration, bank partner identification, and GTM strategy.",</w:t>
      </w:r>
    </w:p>
    <w:p>
      <w:pPr>
        <w:shd w:fill="F0F0F0" w:val="clear"/>
        <w:spacing w:after="14" w:before="14"/>
        <w:ind w:left="360"/>
      </w:pPr>
      <w:r>
        <w:rPr>
          <w:rFonts w:ascii="Courier New" w:cs="Courier New" w:eastAsia="Courier New" w:hAnsi="Courier New"/>
          <w:color w:val="1B2A4A"/>
          <w:sz w:val="16"/>
          <w:szCs w:val="16"/>
        </w:rPr>
        <w:t xml:space="preserve">    "h1": "India embedded finance market entry strategy",</w:t>
      </w:r>
    </w:p>
    <w:p>
      <w:pPr>
        <w:shd w:fill="F0F0F0" w:val="clear"/>
        <w:spacing w:after="14" w:before="14"/>
        <w:ind w:left="360"/>
      </w:pPr>
      <w:r>
        <w:rPr>
          <w:rFonts w:ascii="Courier New" w:cs="Courier New" w:eastAsia="Courier New" w:hAnsi="Courier New"/>
          <w:color w:val="1B2A4A"/>
          <w:sz w:val="16"/>
          <w:szCs w:val="16"/>
        </w:rPr>
        <w:t xml:space="preserve">    "tagline": "From embedded finance technology to India's digital lending and payments — strategy for embedded finance companies entering India.",</w:t>
      </w:r>
    </w:p>
    <w:p>
      <w:pPr>
        <w:shd w:fill="F0F0F0" w:val="clear"/>
        <w:spacing w:after="14" w:before="14"/>
        <w:ind w:left="360"/>
      </w:pPr>
      <w:r>
        <w:rPr>
          <w:rFonts w:ascii="Courier New" w:cs="Courier New" w:eastAsia="Courier New" w:hAnsi="Courier New"/>
          <w:color w:val="1B2A4A"/>
          <w:sz w:val="16"/>
          <w:szCs w:val="16"/>
        </w:rPr>
        <w:t xml:space="preserve">    "hero": "India's embedded finance market is growing at extraordinary speed — with 63 million MSMEs creating captive demand for embedded lending, UPI infrastructure enabling embedded payments at scale, RBI's regulatory sandbox creating tested pathways for embedded finance innovation, and Account Aggregator framework enabling consented financial data sharing. International embedded finance companies across BNPL, embedded lending, embedded insurance, and embedded investment platforms are all evaluating India as a priority market. GreyRadius helps embedded finance companies validate Indian demand, navigate RBI and IRDAI regulatory requirements, identify bank and fintech partners, and execute GTM.",</w:t>
      </w:r>
    </w:p>
    <w:p>
      <w:pPr>
        <w:shd w:fill="F0F0F0" w:val="clear"/>
        <w:spacing w:after="14" w:before="14"/>
        <w:ind w:left="360"/>
      </w:pPr>
      <w:r>
        <w:rPr>
          <w:rFonts w:ascii="Courier New" w:cs="Courier New" w:eastAsia="Courier New" w:hAnsi="Courier New"/>
          <w:color w:val="1B2A4A"/>
          <w:sz w:val="16"/>
          <w:szCs w:val="16"/>
        </w:rPr>
        <w:t xml:space="preserve">    "market_timing": "RBI's Account Aggregator framework and ONDC's financial services layer are creating infrastructure for India's embedded finance ecosystem to scale — every merchant and platform with ONDC integration can embed financial products directly into their commerce flow. Embedded finance companies that establish AA and ONDC integration in 2024-2026 will be positioned for distribution that reaches 200M+ Indian users.",</w:t>
      </w:r>
    </w:p>
    <w:p>
      <w:pPr>
        <w:shd w:fill="F0F0F0" w:val="clear"/>
        <w:spacing w:after="14" w:before="14"/>
        <w:ind w:left="360"/>
      </w:pPr>
      <w:r>
        <w:rPr>
          <w:rFonts w:ascii="Courier New" w:cs="Courier New" w:eastAsia="Courier New" w:hAnsi="Courier New"/>
          <w:color w:val="1B2A4A"/>
          <w:sz w:val="16"/>
          <w:szCs w:val="16"/>
        </w:rPr>
        <w:t xml:space="preserve">    "insights": [</w:t>
      </w:r>
    </w:p>
    <w:p>
      <w:pPr>
        <w:shd w:fill="F0F0F0" w:val="clear"/>
        <w:spacing w:after="14" w:before="14"/>
        <w:ind w:left="360"/>
      </w:pPr>
      <w:r>
        <w:rPr>
          <w:rFonts w:ascii="Courier New" w:cs="Courier New" w:eastAsia="Courier New" w:hAnsi="Courier New"/>
          <w:color w:val="1B2A4A"/>
          <w:sz w:val="16"/>
          <w:szCs w:val="16"/>
        </w:rPr>
        <w:t xml:space="preserve">      "India's embedded finance market is projected to reach $20B by 2027 — growing at 40% annually as MSME credit access, UPI infrastructure, and ONDC financial services all scale.",</w:t>
      </w:r>
    </w:p>
    <w:p>
      <w:pPr>
        <w:shd w:fill="F0F0F0" w:val="clear"/>
        <w:spacing w:after="14" w:before="14"/>
        <w:ind w:left="360"/>
      </w:pPr>
      <w:r>
        <w:rPr>
          <w:rFonts w:ascii="Courier New" w:cs="Courier New" w:eastAsia="Courier New" w:hAnsi="Courier New"/>
          <w:color w:val="1B2A4A"/>
          <w:sz w:val="16"/>
          <w:szCs w:val="16"/>
        </w:rPr>
        <w:t xml:space="preserve">      "India's 63 million MSMEs are the largest embedded lending opportunity globally — 80% are credit-underserved creating extraordinary embedded lending demand for platforms serving MSME merchants.",</w:t>
      </w:r>
    </w:p>
    <w:p>
      <w:pPr>
        <w:shd w:fill="F0F0F0" w:val="clear"/>
        <w:spacing w:after="14" w:before="14"/>
        <w:ind w:left="360"/>
      </w:pPr>
      <w:r>
        <w:rPr>
          <w:rFonts w:ascii="Courier New" w:cs="Courier New" w:eastAsia="Courier New" w:hAnsi="Courier New"/>
          <w:color w:val="1B2A4A"/>
          <w:sz w:val="16"/>
          <w:szCs w:val="16"/>
        </w:rPr>
        <w:t xml:space="preserve">      "UPI's 10 billion monthly transactions are creating the world's most active embedded payments substrate — every platform processing UPI can embed financial products into its payment flow.",</w:t>
      </w:r>
    </w:p>
    <w:p>
      <w:pPr>
        <w:shd w:fill="F0F0F0" w:val="clear"/>
        <w:spacing w:after="14" w:before="14"/>
        <w:ind w:left="360"/>
      </w:pPr>
      <w:r>
        <w:rPr>
          <w:rFonts w:ascii="Courier New" w:cs="Courier New" w:eastAsia="Courier New" w:hAnsi="Courier New"/>
          <w:color w:val="1B2A4A"/>
          <w:sz w:val="16"/>
          <w:szCs w:val="16"/>
        </w:rPr>
        <w:t xml:space="preserve">      "RBI's regulatory sandbox has approved 30+ embedded finance innovations — creating a tested regulatory pathway for embedded BNPL, insurance, and investment companies."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"challenges_market": [</w:t>
      </w:r>
    </w:p>
    <w:p>
      <w:pPr>
        <w:shd w:fill="F0F0F0" w:val="clear"/>
        <w:spacing w:after="14" w:before="14"/>
        <w:ind w:left="360"/>
      </w:pPr>
      <w:r>
        <w:rPr>
          <w:rFonts w:ascii="Courier New" w:cs="Courier New" w:eastAsia="Courier New" w:hAnsi="Courier New"/>
          <w:color w:val="1B2A4A"/>
          <w:sz w:val="16"/>
          <w:szCs w:val="16"/>
        </w:rPr>
        <w:t xml:space="preserve">      "RBI NBFC or payment aggregator licence is required for most embedded finance operations — lending, payment aggregation, and insurance distribution all have specific RBI and IRDAI requirements.",</w:t>
      </w:r>
    </w:p>
    <w:p>
      <w:pPr>
        <w:shd w:fill="F0F0F0" w:val="clear"/>
        <w:spacing w:after="14" w:before="14"/>
        <w:ind w:left="360"/>
      </w:pPr>
      <w:r>
        <w:rPr>
          <w:rFonts w:ascii="Courier New" w:cs="Courier New" w:eastAsia="Courier New" w:hAnsi="Courier New"/>
          <w:color w:val="1B2A4A"/>
          <w:sz w:val="16"/>
          <w:szCs w:val="16"/>
        </w:rPr>
        <w:t xml:space="preserve">      "Co-lending bank partnerships require careful commercial and regulatory structuring — RBI co-lending guidelines govern bank-NBFC partnership terms creating compliance requirements.",</w:t>
      </w:r>
    </w:p>
    <w:p>
      <w:pPr>
        <w:shd w:fill="F0F0F0" w:val="clear"/>
        <w:spacing w:after="14" w:before="14"/>
        <w:ind w:left="360"/>
      </w:pPr>
      <w:r>
        <w:rPr>
          <w:rFonts w:ascii="Courier New" w:cs="Courier New" w:eastAsia="Courier New" w:hAnsi="Courier New"/>
          <w:color w:val="1B2A4A"/>
          <w:sz w:val="16"/>
          <w:szCs w:val="16"/>
        </w:rPr>
        <w:t xml:space="preserve">      "India embedded finance competition is intense — BNPL and embedded lending is contested among Simpl, LazyPay, and bank co-lending partnerships.",</w:t>
      </w:r>
    </w:p>
    <w:p>
      <w:pPr>
        <w:shd w:fill="F0F0F0" w:val="clear"/>
        <w:spacing w:after="14" w:before="14"/>
        <w:ind w:left="360"/>
      </w:pPr>
      <w:r>
        <w:rPr>
          <w:rFonts w:ascii="Courier New" w:cs="Courier New" w:eastAsia="Courier New" w:hAnsi="Courier New"/>
          <w:color w:val="1B2A4A"/>
          <w:sz w:val="16"/>
          <w:szCs w:val="16"/>
        </w:rPr>
        <w:t xml:space="preserve">      "Data localisation under DPDP affects embedded finance data architecture — customer financial data must comply with India data localisation requirements."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"challenges_we_solve": [</w:t>
      </w:r>
    </w:p>
    <w:p>
      <w:pPr>
        <w:shd w:fill="F0F0F0" w:val="clear"/>
        <w:spacing w:after="14" w:before="14"/>
        <w:ind w:left="360"/>
      </w:pPr>
      <w:r>
        <w:rPr>
          <w:rFonts w:ascii="Courier New" w:cs="Courier New" w:eastAsia="Courier New" w:hAnsi="Courier New"/>
          <w:color w:val="1B2A4A"/>
          <w:sz w:val="16"/>
          <w:szCs w:val="16"/>
        </w:rPr>
        <w:t xml:space="preserve">      "India embedded finance demand validation|You need to validate Indian merchant and consumer demand for your embedded finance product and understand RBI and IRDAI regulatory requirements.",</w:t>
      </w:r>
    </w:p>
    <w:p>
      <w:pPr>
        <w:shd w:fill="F0F0F0" w:val="clear"/>
        <w:spacing w:after="14" w:before="14"/>
        <w:ind w:left="360"/>
      </w:pPr>
      <w:r>
        <w:rPr>
          <w:rFonts w:ascii="Courier New" w:cs="Courier New" w:eastAsia="Courier New" w:hAnsi="Courier New"/>
          <w:color w:val="1B2A4A"/>
          <w:sz w:val="16"/>
          <w:szCs w:val="16"/>
        </w:rPr>
        <w:t xml:space="preserve">      "RBI NBFC and payment aggregator regulatory pathway|You need to understand NBFC registration, PA licence, and RBI co-lending guidelines for your embedded finance model.",</w:t>
      </w:r>
    </w:p>
    <w:p>
      <w:pPr>
        <w:shd w:fill="F0F0F0" w:val="clear"/>
        <w:spacing w:after="14" w:before="14"/>
        <w:ind w:left="360"/>
      </w:pPr>
      <w:r>
        <w:rPr>
          <w:rFonts w:ascii="Courier New" w:cs="Courier New" w:eastAsia="Courier New" w:hAnsi="Courier New"/>
          <w:color w:val="1B2A4A"/>
          <w:sz w:val="16"/>
          <w:szCs w:val="16"/>
        </w:rPr>
        <w:t xml:space="preserve">      "India embedded finance bank and fintech partner identification|You need bank co-lending partners, AA ecosystem partners, and ONDC financial services integration contacts.",</w:t>
      </w:r>
    </w:p>
    <w:p>
      <w:pPr>
        <w:shd w:fill="F0F0F0" w:val="clear"/>
        <w:spacing w:after="14" w:before="14"/>
        <w:ind w:left="360"/>
      </w:pPr>
      <w:r>
        <w:rPr>
          <w:rFonts w:ascii="Courier New" w:cs="Courier New" w:eastAsia="Courier New" w:hAnsi="Courier New"/>
          <w:color w:val="1B2A4A"/>
          <w:sz w:val="16"/>
          <w:szCs w:val="16"/>
        </w:rPr>
        <w:t xml:space="preserve">      "India embedded finance GTM strategy|You need a go-to-market plan covering MSME merchant embedded lending, consumer BNPL, and platform payment integration.",</w:t>
      </w:r>
    </w:p>
    <w:p>
      <w:pPr>
        <w:shd w:fill="F0F0F0" w:val="clear"/>
        <w:spacing w:after="14" w:before="14"/>
        <w:ind w:left="360"/>
      </w:pPr>
      <w:r>
        <w:rPr>
          <w:rFonts w:ascii="Courier New" w:cs="Courier New" w:eastAsia="Courier New" w:hAnsi="Courier New"/>
          <w:color w:val="1B2A4A"/>
          <w:sz w:val="16"/>
          <w:szCs w:val="16"/>
        </w:rPr>
        <w:t xml:space="preserve">      "Raising capital for India embedded finance investment|You need a pitch book grounded in India embedded finance market data and AA and ONDC distribution analysis.",</w:t>
      </w:r>
    </w:p>
    <w:p>
      <w:pPr>
        <w:shd w:fill="F0F0F0" w:val="clear"/>
        <w:spacing w:after="14" w:before="14"/>
        <w:ind w:left="360"/>
      </w:pPr>
      <w:r>
        <w:rPr>
          <w:rFonts w:ascii="Courier New" w:cs="Courier New" w:eastAsia="Courier New" w:hAnsi="Courier New"/>
          <w:color w:val="1B2A4A"/>
          <w:sz w:val="16"/>
          <w:szCs w:val="16"/>
        </w:rPr>
        <w:t xml:space="preserve">      "RBI regulatory sandbox application|You need an RBI sandbox application strategy for your embedded finance innovation."</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"service_angles": [</w:t>
      </w:r>
    </w:p>
    <w:p>
      <w:pPr>
        <w:shd w:fill="F0F0F0" w:val="clear"/>
        <w:spacing w:after="14" w:before="14"/>
        <w:ind w:left="360"/>
      </w:pPr>
      <w:r>
        <w:rPr>
          <w:rFonts w:ascii="Courier New" w:cs="Courier New" w:eastAsia="Courier New" w:hAnsi="Courier New"/>
          <w:color w:val="1B2A4A"/>
          <w:sz w:val="16"/>
          <w:szCs w:val="16"/>
        </w:rPr>
        <w:t xml:space="preserve">      "Validate Indian merchant and consumer demand for your embedded finance product with platform and user research.",</w:t>
      </w:r>
    </w:p>
    <w:p>
      <w:pPr>
        <w:shd w:fill="F0F0F0" w:val="clear"/>
        <w:spacing w:after="14" w:before="14"/>
        <w:ind w:left="360"/>
      </w:pPr>
      <w:r>
        <w:rPr>
          <w:rFonts w:ascii="Courier New" w:cs="Courier New" w:eastAsia="Courier New" w:hAnsi="Courier New"/>
          <w:color w:val="1B2A4A"/>
          <w:sz w:val="16"/>
          <w:szCs w:val="16"/>
        </w:rPr>
        <w:t xml:space="preserve">      "Full financial feasibility for India embedded finance investment covering NBFC licence cost and co-lending economics.",</w:t>
      </w:r>
    </w:p>
    <w:p>
      <w:pPr>
        <w:shd w:fill="F0F0F0" w:val="clear"/>
        <w:spacing w:after="14" w:before="14"/>
        <w:ind w:left="360"/>
      </w:pPr>
      <w:r>
        <w:rPr>
          <w:rFonts w:ascii="Courier New" w:cs="Courier New" w:eastAsia="Courier New" w:hAnsi="Courier New"/>
          <w:color w:val="1B2A4A"/>
          <w:sz w:val="16"/>
          <w:szCs w:val="16"/>
        </w:rPr>
        <w:t xml:space="preserve">      "End-to-end India embedded finance market entry including RBI pathway, bank partner identification, and first-disbursement milestone.",</w:t>
      </w:r>
    </w:p>
    <w:p>
      <w:pPr>
        <w:shd w:fill="F0F0F0" w:val="clear"/>
        <w:spacing w:after="14" w:before="14"/>
        <w:ind w:left="360"/>
      </w:pPr>
      <w:r>
        <w:rPr>
          <w:rFonts w:ascii="Courier New" w:cs="Courier New" w:eastAsia="Courier New" w:hAnsi="Courier New"/>
          <w:color w:val="1B2A4A"/>
          <w:sz w:val="16"/>
          <w:szCs w:val="16"/>
        </w:rPr>
        <w:t xml:space="preserve">      "Embedded India embedded finance GTM team covering bank partnership and platform integration outreach.",</w:t>
      </w:r>
    </w:p>
    <w:p>
      <w:pPr>
        <w:shd w:fill="F0F0F0" w:val="clear"/>
        <w:spacing w:after="14" w:before="14"/>
        <w:ind w:left="360"/>
      </w:pPr>
      <w:r>
        <w:rPr>
          <w:rFonts w:ascii="Courier New" w:cs="Courier New" w:eastAsia="Courier New" w:hAnsi="Courier New"/>
          <w:color w:val="1B2A4A"/>
          <w:sz w:val="16"/>
          <w:szCs w:val="16"/>
        </w:rPr>
        <w:t xml:space="preserve">      "Investor-ready pitch books for India embedded finance investment with AA and ONDC infrastructure narrative.",</w:t>
      </w:r>
    </w:p>
    <w:p>
      <w:pPr>
        <w:shd w:fill="F0F0F0" w:val="clear"/>
        <w:spacing w:after="14" w:before="14"/>
        <w:ind w:left="360"/>
      </w:pPr>
      <w:r>
        <w:rPr>
          <w:rFonts w:ascii="Courier New" w:cs="Courier New" w:eastAsia="Courier New" w:hAnsi="Courier New"/>
          <w:color w:val="1B2A4A"/>
          <w:sz w:val="16"/>
          <w:szCs w:val="16"/>
        </w:rPr>
        <w:t xml:space="preserve">      "AI use-case identification — from AI-powered India MSME credit scoring to embedded insurance underwriting automation."</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"faq": [</w:t>
      </w:r>
    </w:p>
    <w:p>
      <w:pPr>
        <w:shd w:fill="F0F0F0" w:val="clear"/>
        <w:spacing w:after="14" w:before="14"/>
        <w:ind w:left="360"/>
      </w:pPr>
      <w:r>
        <w:rPr>
          <w:rFonts w:ascii="Courier New" w:cs="Courier New" w:eastAsia="Courier New" w:hAnsi="Courier New"/>
          <w:color w:val="1B2A4A"/>
          <w:sz w:val="16"/>
          <w:szCs w:val="16"/>
        </w:rPr>
        <w:t xml:space="preserve">      "Does GreyRadius work with BNPL companies or also with embedded lending, insurance, and investment companies entering India?|All embedded finance categories.",</w:t>
      </w:r>
    </w:p>
    <w:p>
      <w:pPr>
        <w:shd w:fill="F0F0F0" w:val="clear"/>
        <w:spacing w:after="14" w:before="14"/>
        <w:ind w:left="360"/>
      </w:pPr>
      <w:r>
        <w:rPr>
          <w:rFonts w:ascii="Courier New" w:cs="Courier New" w:eastAsia="Courier New" w:hAnsi="Courier New"/>
          <w:color w:val="1B2A4A"/>
          <w:sz w:val="16"/>
          <w:szCs w:val="16"/>
        </w:rPr>
        <w:t xml:space="preserve">      "How long does an India embedded finance engagement take?|Typically 8-12 weeks for demand research, RBI regulatory mapping, and bank partner identification.",</w:t>
      </w:r>
    </w:p>
    <w:p>
      <w:pPr>
        <w:shd w:fill="F0F0F0" w:val="clear"/>
        <w:spacing w:after="14" w:before="14"/>
        <w:ind w:left="360"/>
      </w:pPr>
      <w:r>
        <w:rPr>
          <w:rFonts w:ascii="Courier New" w:cs="Courier New" w:eastAsia="Courier New" w:hAnsi="Courier New"/>
          <w:color w:val="1B2A4A"/>
          <w:sz w:val="16"/>
          <w:szCs w:val="16"/>
        </w:rPr>
        <w:t xml:space="preserve">      "Can GreyRadius identify RBI-approved bank co-lending partners?|Yes.",</w:t>
      </w:r>
    </w:p>
    <w:p>
      <w:pPr>
        <w:shd w:fill="F0F0F0" w:val="clear"/>
        <w:spacing w:after="14" w:before="14"/>
        <w:ind w:left="360"/>
      </w:pPr>
      <w:r>
        <w:rPr>
          <w:rFonts w:ascii="Courier New" w:cs="Courier New" w:eastAsia="Courier New" w:hAnsi="Courier New"/>
          <w:color w:val="1B2A4A"/>
          <w:sz w:val="16"/>
          <w:szCs w:val="16"/>
        </w:rPr>
        <w:t xml:space="preserve">      "What RBI licence is required for embedded lending in India?|NBFC registration is required for lending — we map the specific licence for every embedded finance model."</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"keywords": "India embedded finance market entry, RBI NBFC consulting, India BNPL GTM strategy, Account Aggregator advisory, India embedded lending market entry",</w:t>
      </w:r>
    </w:p>
    <w:p>
      <w:pPr>
        <w:shd w:fill="F0F0F0" w:val="clear"/>
        <w:spacing w:after="14" w:before="14"/>
        <w:ind w:left="360"/>
      </w:pPr>
      <w:r>
        <w:rPr>
          <w:rFonts w:ascii="Courier New" w:cs="Courier New" w:eastAsia="Courier New" w:hAnsi="Courier New"/>
          <w:color w:val="1B2A4A"/>
          <w:sz w:val="16"/>
          <w:szCs w:val="16"/>
        </w:rPr>
        <w:t xml:space="preserve">    "regions": "India — Bengaluru, Mumbai, Delhi NCR fintech ecosystem; pan-India MSME merchant embedded finance via ONDC and UPI",</w:t>
      </w:r>
    </w:p>
    <w:p>
      <w:pPr>
        <w:shd w:fill="F0F0F0" w:val="clear"/>
        <w:spacing w:after="14" w:before="14"/>
        <w:ind w:left="360"/>
      </w:pPr>
      <w:r>
        <w:rPr>
          <w:rFonts w:ascii="Courier New" w:cs="Courier New" w:eastAsia="Courier New" w:hAnsi="Courier New"/>
          <w:color w:val="1B2A4A"/>
          <w:sz w:val="16"/>
          <w:szCs w:val="16"/>
        </w:rPr>
        <w:t xml:space="preserve">    "stat1n": "$20B",</w:t>
      </w:r>
    </w:p>
    <w:p>
      <w:pPr>
        <w:shd w:fill="F0F0F0" w:val="clear"/>
        <w:spacing w:after="14" w:before="14"/>
        <w:ind w:left="360"/>
      </w:pPr>
      <w:r>
        <w:rPr>
          <w:rFonts w:ascii="Courier New" w:cs="Courier New" w:eastAsia="Courier New" w:hAnsi="Courier New"/>
          <w:color w:val="1B2A4A"/>
          <w:sz w:val="16"/>
          <w:szCs w:val="16"/>
        </w:rPr>
        <w:t xml:space="preserve">    "stat1l": "India embedded finance market by 2027",</w:t>
      </w:r>
    </w:p>
    <w:p>
      <w:pPr>
        <w:shd w:fill="F0F0F0" w:val="clear"/>
        <w:spacing w:after="14" w:before="14"/>
        <w:ind w:left="360"/>
      </w:pPr>
      <w:r>
        <w:rPr>
          <w:rFonts w:ascii="Courier New" w:cs="Courier New" w:eastAsia="Courier New" w:hAnsi="Courier New"/>
          <w:color w:val="1B2A4A"/>
          <w:sz w:val="16"/>
          <w:szCs w:val="16"/>
        </w:rPr>
        <w:t xml:space="preserve">    "stat1b": "MSME credit demand, UPI infrastructure, and ONDC financial services driving 40% annual embedded finance market growth.",</w:t>
      </w:r>
    </w:p>
    <w:p>
      <w:pPr>
        <w:shd w:fill="F0F0F0" w:val="clear"/>
        <w:spacing w:after="14" w:before="14"/>
        <w:ind w:left="360"/>
      </w:pPr>
      <w:r>
        <w:rPr>
          <w:rFonts w:ascii="Courier New" w:cs="Courier New" w:eastAsia="Courier New" w:hAnsi="Courier New"/>
          <w:color w:val="1B2A4A"/>
          <w:sz w:val="16"/>
          <w:szCs w:val="16"/>
        </w:rPr>
        <w:t xml:space="preserve">    "stat2n": "30+",</w:t>
      </w:r>
    </w:p>
    <w:p>
      <w:pPr>
        <w:shd w:fill="F0F0F0" w:val="clear"/>
        <w:spacing w:after="14" w:before="14"/>
        <w:ind w:left="360"/>
      </w:pPr>
      <w:r>
        <w:rPr>
          <w:rFonts w:ascii="Courier New" w:cs="Courier New" w:eastAsia="Courier New" w:hAnsi="Courier New"/>
          <w:color w:val="1B2A4A"/>
          <w:sz w:val="16"/>
          <w:szCs w:val="16"/>
        </w:rPr>
        <w:t xml:space="preserve">    "stat2l": "Primary interviews per India embedded finance mandate",</w:t>
      </w:r>
    </w:p>
    <w:p>
      <w:pPr>
        <w:shd w:fill="F0F0F0" w:val="clear"/>
        <w:spacing w:after="14" w:before="14"/>
        <w:ind w:left="360"/>
      </w:pPr>
      <w:r>
        <w:rPr>
          <w:rFonts w:ascii="Courier New" w:cs="Courier New" w:eastAsia="Courier New" w:hAnsi="Courier New"/>
          <w:color w:val="1B2A4A"/>
          <w:sz w:val="16"/>
          <w:szCs w:val="16"/>
        </w:rPr>
        <w:t xml:space="preserve">    "stat2b": "Indian platform operators, bank partnership heads, and RBI regulatory contacts — every engagement grounded in direct primary research.",</w:t>
      </w:r>
    </w:p>
    <w:p>
      <w:pPr>
        <w:shd w:fill="F0F0F0" w:val="clear"/>
        <w:spacing w:after="14" w:before="14"/>
        <w:ind w:left="360"/>
      </w:pPr>
      <w:r>
        <w:rPr>
          <w:rFonts w:ascii="Courier New" w:cs="Courier New" w:eastAsia="Courier New" w:hAnsi="Courier New"/>
          <w:color w:val="1B2A4A"/>
          <w:sz w:val="16"/>
          <w:szCs w:val="16"/>
        </w:rPr>
        <w:t xml:space="preserve">    "stat3n": "8 weeks",</w:t>
      </w:r>
    </w:p>
    <w:p>
      <w:pPr>
        <w:shd w:fill="F0F0F0" w:val="clear"/>
        <w:spacing w:after="14" w:before="14"/>
        <w:ind w:left="360"/>
      </w:pPr>
      <w:r>
        <w:rPr>
          <w:rFonts w:ascii="Courier New" w:cs="Courier New" w:eastAsia="Courier New" w:hAnsi="Courier New"/>
          <w:color w:val="1B2A4A"/>
          <w:sz w:val="16"/>
          <w:szCs w:val="16"/>
        </w:rPr>
        <w:t xml:space="preserve">    "stat3l": "India embedded finance market entry strategy",</w:t>
      </w:r>
    </w:p>
    <w:p>
      <w:pPr>
        <w:shd w:fill="F0F0F0" w:val="clear"/>
        <w:spacing w:after="14" w:before="14"/>
        <w:ind w:left="360"/>
      </w:pPr>
      <w:r>
        <w:rPr>
          <w:rFonts w:ascii="Courier New" w:cs="Courier New" w:eastAsia="Courier New" w:hAnsi="Courier New"/>
          <w:color w:val="1B2A4A"/>
          <w:sz w:val="16"/>
          <w:szCs w:val="16"/>
        </w:rPr>
        <w:t xml:space="preserve">    "stat3b": "AI-augmented RBI regulatory mapping and platform demand research delivers India embedded finance strategies efficiently."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"slug": "gulf-embedded-finance",</w:t>
      </w:r>
    </w:p>
    <w:p>
      <w:pPr>
        <w:shd w:fill="F0F0F0" w:val="clear"/>
        <w:spacing w:after="14" w:before="14"/>
        <w:ind w:left="360"/>
      </w:pPr>
      <w:r>
        <w:rPr>
          <w:rFonts w:ascii="Courier New" w:cs="Courier New" w:eastAsia="Courier New" w:hAnsi="Courier New"/>
          <w:color w:val="1B2A4A"/>
          <w:sz w:val="16"/>
          <w:szCs w:val="16"/>
        </w:rPr>
        <w:t xml:space="preserve">    "parent": "embedded-finance",</w:t>
      </w:r>
    </w:p>
    <w:p>
      <w:pPr>
        <w:shd w:fill="F0F0F0" w:val="clear"/>
        <w:spacing w:after="14" w:before="14"/>
        <w:ind w:left="360"/>
      </w:pPr>
      <w:r>
        <w:rPr>
          <w:rFonts w:ascii="Courier New" w:cs="Courier New" w:eastAsia="Courier New" w:hAnsi="Courier New"/>
          <w:color w:val="1B2A4A"/>
          <w:sz w:val="16"/>
          <w:szCs w:val="16"/>
        </w:rPr>
        <w:t xml:space="preserve">    "title": "Gulf Embedded Finance Market Entry Strategy | GreyRadius",</w:t>
      </w:r>
    </w:p>
    <w:p>
      <w:pPr>
        <w:shd w:fill="F0F0F0" w:val="clear"/>
        <w:spacing w:after="14" w:before="14"/>
        <w:ind w:left="360"/>
      </w:pPr>
      <w:r>
        <w:rPr>
          <w:rFonts w:ascii="Courier New" w:cs="Courier New" w:eastAsia="Courier New" w:hAnsi="Courier New"/>
          <w:color w:val="1B2A4A"/>
          <w:sz w:val="16"/>
          <w:szCs w:val="16"/>
        </w:rPr>
        <w:t xml:space="preserve">    "meta": "GreyRadius helps embedded finance companies enter Gulf markets with CBUAE Open Finance mapping, DFSA regulatory pathway, bank partner identification, and GTM strategy.",</w:t>
      </w:r>
    </w:p>
    <w:p>
      <w:pPr>
        <w:shd w:fill="F0F0F0" w:val="clear"/>
        <w:spacing w:after="14" w:before="14"/>
        <w:ind w:left="360"/>
      </w:pPr>
      <w:r>
        <w:rPr>
          <w:rFonts w:ascii="Courier New" w:cs="Courier New" w:eastAsia="Courier New" w:hAnsi="Courier New"/>
          <w:color w:val="1B2A4A"/>
          <w:sz w:val="16"/>
          <w:szCs w:val="16"/>
        </w:rPr>
        <w:t xml:space="preserve">    "h1": "Gulf embedded finance market entry strategy",</w:t>
      </w:r>
    </w:p>
    <w:p>
      <w:pPr>
        <w:shd w:fill="F0F0F0" w:val="clear"/>
        <w:spacing w:after="14" w:before="14"/>
        <w:ind w:left="360"/>
      </w:pPr>
      <w:r>
        <w:rPr>
          <w:rFonts w:ascii="Courier New" w:cs="Courier New" w:eastAsia="Courier New" w:hAnsi="Courier New"/>
          <w:color w:val="1B2A4A"/>
          <w:sz w:val="16"/>
          <w:szCs w:val="16"/>
        </w:rPr>
        <w:t xml:space="preserve">    "tagline": "From embedded finance technology to Gulf digital payments and lending — strategy for embedded finance companies entering the GCC.",</w:t>
      </w:r>
    </w:p>
    <w:p>
      <w:pPr>
        <w:shd w:fill="F0F0F0" w:val="clear"/>
        <w:spacing w:after="14" w:before="14"/>
        <w:ind w:left="360"/>
      </w:pPr>
      <w:r>
        <w:rPr>
          <w:rFonts w:ascii="Courier New" w:cs="Courier New" w:eastAsia="Courier New" w:hAnsi="Courier New"/>
          <w:color w:val="1B2A4A"/>
          <w:sz w:val="16"/>
          <w:szCs w:val="16"/>
        </w:rPr>
        <w:t xml:space="preserve">    "hero": "The Gulf's embedded finance market is emerging as one of the world's most commercially attractive — with UAE's CBUAE Open Finance framework creating data sharing infrastructure for embedded finance, Saudi Arabia's Vision 2030 financial inclusion targets driving embedded lending demand, Gulf's high smartphone penetration enabling embedded financial product delivery, and DIFC's FinTech Hive creating regulatory innovation space. International embedded finance companies across BNPL, embedded insurance, embedded lending, and embedded investment are all evaluating Gulf market entry. GreyRadius helps embedded finance companies validate Gulf demand, navigate CBUAE and DFSA regulatory requirements, identify platform and bank partners, and execute GTM.",</w:t>
      </w:r>
    </w:p>
    <w:p>
      <w:pPr>
        <w:shd w:fill="F0F0F0" w:val="clear"/>
        <w:spacing w:after="14" w:before="14"/>
        <w:ind w:left="360"/>
      </w:pPr>
      <w:r>
        <w:rPr>
          <w:rFonts w:ascii="Courier New" w:cs="Courier New" w:eastAsia="Courier New" w:hAnsi="Courier New"/>
          <w:color w:val="1B2A4A"/>
          <w:sz w:val="16"/>
          <w:szCs w:val="16"/>
        </w:rPr>
        <w:t xml:space="preserve">    "market_timing": "CBUAE's Open Finance framework is creating the Gulf's Account Aggregator equivalent — standardised financial data sharing APIs that enable embedded finance products built on Gulf banking infrastructure. Embedded finance companies that establish CBUAE Open Finance integration in 2024-2026 will access customer financial data sharing that was not possible before, enabling embedded credit scoring and product personalisation at Gulf scale.",</w:t>
      </w:r>
    </w:p>
    <w:p>
      <w:pPr>
        <w:shd w:fill="F0F0F0" w:val="clear"/>
        <w:spacing w:after="14" w:before="14"/>
        <w:ind w:left="360"/>
      </w:pPr>
      <w:r>
        <w:rPr>
          <w:rFonts w:ascii="Courier New" w:cs="Courier New" w:eastAsia="Courier New" w:hAnsi="Courier New"/>
          <w:color w:val="1B2A4A"/>
          <w:sz w:val="16"/>
          <w:szCs w:val="16"/>
        </w:rPr>
        <w:t xml:space="preserve">    "insights": [</w:t>
      </w:r>
    </w:p>
    <w:p>
      <w:pPr>
        <w:shd w:fill="F0F0F0" w:val="clear"/>
        <w:spacing w:after="14" w:before="14"/>
        <w:ind w:left="360"/>
      </w:pPr>
      <w:r>
        <w:rPr>
          <w:rFonts w:ascii="Courier New" w:cs="Courier New" w:eastAsia="Courier New" w:hAnsi="Courier New"/>
          <w:color w:val="1B2A4A"/>
          <w:sz w:val="16"/>
          <w:szCs w:val="16"/>
        </w:rPr>
        <w:t xml:space="preserve">      "Gulf embedded finance market is projected to reach $3B by 2027 — growing at 30% annually as CBUAE Open Finance, BNPL adoption, and Vision 2030 financial inclusion all scale.",</w:t>
      </w:r>
    </w:p>
    <w:p>
      <w:pPr>
        <w:shd w:fill="F0F0F0" w:val="clear"/>
        <w:spacing w:after="14" w:before="14"/>
        <w:ind w:left="360"/>
      </w:pPr>
      <w:r>
        <w:rPr>
          <w:rFonts w:ascii="Courier New" w:cs="Courier New" w:eastAsia="Courier New" w:hAnsi="Courier New"/>
          <w:color w:val="1B2A4A"/>
          <w:sz w:val="16"/>
          <w:szCs w:val="16"/>
        </w:rPr>
        <w:t xml:space="preserve">      "UAE BNPL adoption is growing at 40% annually — Tamara, Tabby, and Spotii demonstrating Gulf consumer appetite for embedded payment solutions.",</w:t>
      </w:r>
    </w:p>
    <w:p>
      <w:pPr>
        <w:shd w:fill="F0F0F0" w:val="clear"/>
        <w:spacing w:after="14" w:before="14"/>
        <w:ind w:left="360"/>
      </w:pPr>
      <w:r>
        <w:rPr>
          <w:rFonts w:ascii="Courier New" w:cs="Courier New" w:eastAsia="Courier New" w:hAnsi="Courier New"/>
          <w:color w:val="1B2A4A"/>
          <w:sz w:val="16"/>
          <w:szCs w:val="16"/>
        </w:rPr>
        <w:t xml:space="preserve">      "Saudi Arabia's Vision 2030 financial inclusion target of 70% adults financially included is creating embedded lending demand across MSME and consumer segments.",</w:t>
      </w:r>
    </w:p>
    <w:p>
      <w:pPr>
        <w:shd w:fill="F0F0F0" w:val="clear"/>
        <w:spacing w:after="14" w:before="14"/>
        <w:ind w:left="360"/>
      </w:pPr>
      <w:r>
        <w:rPr>
          <w:rFonts w:ascii="Courier New" w:cs="Courier New" w:eastAsia="Courier New" w:hAnsi="Courier New"/>
          <w:color w:val="1B2A4A"/>
          <w:sz w:val="16"/>
          <w:szCs w:val="16"/>
        </w:rPr>
        <w:t xml:space="preserve">      "DIFC's FinTech Hive regulatory sandbox has approved 50+ fintech innovations including embedded finance companies — creating a tested Gulf regulatory pathway."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"challenges_market": [</w:t>
      </w:r>
    </w:p>
    <w:p>
      <w:pPr>
        <w:shd w:fill="F0F0F0" w:val="clear"/>
        <w:spacing w:after="14" w:before="14"/>
        <w:ind w:left="360"/>
      </w:pPr>
      <w:r>
        <w:rPr>
          <w:rFonts w:ascii="Courier New" w:cs="Courier New" w:eastAsia="Courier New" w:hAnsi="Courier New"/>
          <w:color w:val="1B2A4A"/>
          <w:sz w:val="16"/>
          <w:szCs w:val="16"/>
        </w:rPr>
        <w:t xml:space="preserve">      "CBUAE and DFSA licensing requirements are significant — payment services, lending, and insurance distribution all have specific licence requirements.",</w:t>
      </w:r>
    </w:p>
    <w:p>
      <w:pPr>
        <w:shd w:fill="F0F0F0" w:val="clear"/>
        <w:spacing w:after="14" w:before="14"/>
        <w:ind w:left="360"/>
      </w:pPr>
      <w:r>
        <w:rPr>
          <w:rFonts w:ascii="Courier New" w:cs="Courier New" w:eastAsia="Courier New" w:hAnsi="Courier New"/>
          <w:color w:val="1B2A4A"/>
          <w:sz w:val="16"/>
          <w:szCs w:val="16"/>
        </w:rPr>
        <w:t xml:space="preserve">      "Gulf BNPL regulation is evolving — CBUAE's consumer protection framework for buy-now-pay-later creates regulatory uncertainty that companies must navigate.",</w:t>
      </w:r>
    </w:p>
    <w:p>
      <w:pPr>
        <w:shd w:fill="F0F0F0" w:val="clear"/>
        <w:spacing w:after="14" w:before="14"/>
        <w:ind w:left="360"/>
      </w:pPr>
      <w:r>
        <w:rPr>
          <w:rFonts w:ascii="Courier New" w:cs="Courier New" w:eastAsia="Courier New" w:hAnsi="Courier New"/>
          <w:color w:val="1B2A4A"/>
          <w:sz w:val="16"/>
          <w:szCs w:val="16"/>
        </w:rPr>
        <w:t xml:space="preserve">      "Islamic finance compatibility is often required — Gulf consumer preference for Shariah-compliant financial products affects embedded finance product structure.",</w:t>
      </w:r>
    </w:p>
    <w:p>
      <w:pPr>
        <w:shd w:fill="F0F0F0" w:val="clear"/>
        <w:spacing w:after="14" w:before="14"/>
        <w:ind w:left="360"/>
      </w:pPr>
      <w:r>
        <w:rPr>
          <w:rFonts w:ascii="Courier New" w:cs="Courier New" w:eastAsia="Courier New" w:hAnsi="Courier New"/>
          <w:color w:val="1B2A4A"/>
          <w:sz w:val="16"/>
          <w:szCs w:val="16"/>
        </w:rPr>
        <w:t xml:space="preserve">      "Competition from established Gulf embedded finance operators — Tamara and Tabby — with existing merchant relationships is intense in BNPL."</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"challenges_we_solve": [</w:t>
      </w:r>
    </w:p>
    <w:p>
      <w:pPr>
        <w:shd w:fill="F0F0F0" w:val="clear"/>
        <w:spacing w:after="14" w:before="14"/>
        <w:ind w:left="360"/>
      </w:pPr>
      <w:r>
        <w:rPr>
          <w:rFonts w:ascii="Courier New" w:cs="Courier New" w:eastAsia="Courier New" w:hAnsi="Courier New"/>
          <w:color w:val="1B2A4A"/>
          <w:sz w:val="16"/>
          <w:szCs w:val="16"/>
        </w:rPr>
        <w:t xml:space="preserve">      "Gulf embedded finance demand validation|You need to validate Gulf merchant and consumer demand and understand CBUAE and DFSA regulatory requirements.",</w:t>
      </w:r>
    </w:p>
    <w:p>
      <w:pPr>
        <w:shd w:fill="F0F0F0" w:val="clear"/>
        <w:spacing w:after="14" w:before="14"/>
        <w:ind w:left="360"/>
      </w:pPr>
      <w:r>
        <w:rPr>
          <w:rFonts w:ascii="Courier New" w:cs="Courier New" w:eastAsia="Courier New" w:hAnsi="Courier New"/>
          <w:color w:val="1B2A4A"/>
          <w:sz w:val="16"/>
          <w:szCs w:val="16"/>
        </w:rPr>
        <w:t xml:space="preserve">      "CBUAE and DFSA regulatory pathway|You need to understand UAE payment services licence, DFSA financial services permission, and CBUAE Open Finance framework integration.",</w:t>
      </w:r>
    </w:p>
    <w:p>
      <w:pPr>
        <w:shd w:fill="F0F0F0" w:val="clear"/>
        <w:spacing w:after="14" w:before="14"/>
        <w:ind w:left="360"/>
      </w:pPr>
      <w:r>
        <w:rPr>
          <w:rFonts w:ascii="Courier New" w:cs="Courier New" w:eastAsia="Courier New" w:hAnsi="Courier New"/>
          <w:color w:val="1B2A4A"/>
          <w:sz w:val="16"/>
          <w:szCs w:val="16"/>
        </w:rPr>
        <w:t xml:space="preserve">      "Gulf embedded finance platform and bank partner identification|You need CBUAE Open Finance bank API partners, Gulf e-commerce platform integration contacts, and Islamic finance structuring advisors.",</w:t>
      </w:r>
    </w:p>
    <w:p>
      <w:pPr>
        <w:shd w:fill="F0F0F0" w:val="clear"/>
        <w:spacing w:after="14" w:before="14"/>
        <w:ind w:left="360"/>
      </w:pPr>
      <w:r>
        <w:rPr>
          <w:rFonts w:ascii="Courier New" w:cs="Courier New" w:eastAsia="Courier New" w:hAnsi="Courier New"/>
          <w:color w:val="1B2A4A"/>
          <w:sz w:val="16"/>
          <w:szCs w:val="16"/>
        </w:rPr>
        <w:t xml:space="preserve">      "Gulf embedded finance GTM strategy|You need a go-to-market plan covering BNPL merchant integration, embedded lending platform distribution, and Shariah-compliant product structuring.",</w:t>
      </w:r>
    </w:p>
    <w:p>
      <w:pPr>
        <w:shd w:fill="F0F0F0" w:val="clear"/>
        <w:spacing w:after="14" w:before="14"/>
        <w:ind w:left="360"/>
      </w:pPr>
      <w:r>
        <w:rPr>
          <w:rFonts w:ascii="Courier New" w:cs="Courier New" w:eastAsia="Courier New" w:hAnsi="Courier New"/>
          <w:color w:val="1B2A4A"/>
          <w:sz w:val="16"/>
          <w:szCs w:val="16"/>
        </w:rPr>
        <w:t xml:space="preserve">      "Raising capital for Gulf embedded finance investment|You need a pitch book grounded in Gulf embedded finance market data and CBUAE Open Finance infrastructure analysis.",</w:t>
      </w:r>
    </w:p>
    <w:p>
      <w:pPr>
        <w:shd w:fill="F0F0F0" w:val="clear"/>
        <w:spacing w:after="14" w:before="14"/>
        <w:ind w:left="360"/>
      </w:pPr>
      <w:r>
        <w:rPr>
          <w:rFonts w:ascii="Courier New" w:cs="Courier New" w:eastAsia="Courier New" w:hAnsi="Courier New"/>
          <w:color w:val="1B2A4A"/>
          <w:sz w:val="16"/>
          <w:szCs w:val="16"/>
        </w:rPr>
        <w:t xml:space="preserve">      "Islamic finance structuring|You need a Shariah-compliant embedded finance product structure that satisfies Gulf consumer preferences and regulatory expectations."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"service_angles": [</w:t>
      </w:r>
    </w:p>
    <w:p>
      <w:pPr>
        <w:shd w:fill="F0F0F0" w:val="clear"/>
        <w:spacing w:after="14" w:before="14"/>
        <w:ind w:left="360"/>
      </w:pPr>
      <w:r>
        <w:rPr>
          <w:rFonts w:ascii="Courier New" w:cs="Courier New" w:eastAsia="Courier New" w:hAnsi="Courier New"/>
          <w:color w:val="1B2A4A"/>
          <w:sz w:val="16"/>
          <w:szCs w:val="16"/>
        </w:rPr>
        <w:t xml:space="preserve">      "Validate Gulf merchant and consumer demand for your embedded finance product with platform research and CBUAE regulatory mapping.",</w:t>
      </w:r>
    </w:p>
    <w:p>
      <w:pPr>
        <w:shd w:fill="F0F0F0" w:val="clear"/>
        <w:spacing w:after="14" w:before="14"/>
        <w:ind w:left="360"/>
      </w:pPr>
      <w:r>
        <w:rPr>
          <w:rFonts w:ascii="Courier New" w:cs="Courier New" w:eastAsia="Courier New" w:hAnsi="Courier New"/>
          <w:color w:val="1B2A4A"/>
          <w:sz w:val="16"/>
          <w:szCs w:val="16"/>
        </w:rPr>
        <w:t xml:space="preserve">      "Full financial feasibility for Gulf embedded finance investment covering CBUAE licence cost and merchant integration economics.",</w:t>
      </w:r>
    </w:p>
    <w:p>
      <w:pPr>
        <w:shd w:fill="F0F0F0" w:val="clear"/>
        <w:spacing w:after="14" w:before="14"/>
        <w:ind w:left="360"/>
      </w:pPr>
      <w:r>
        <w:rPr>
          <w:rFonts w:ascii="Courier New" w:cs="Courier New" w:eastAsia="Courier New" w:hAnsi="Courier New"/>
          <w:color w:val="1B2A4A"/>
          <w:sz w:val="16"/>
          <w:szCs w:val="16"/>
        </w:rPr>
        <w:t xml:space="preserve">      "End-to-end Gulf embedded finance market entry including CBUAE pathway, bank partner identification, and first-merchant-integration milestone.",</w:t>
      </w:r>
    </w:p>
    <w:p>
      <w:pPr>
        <w:shd w:fill="F0F0F0" w:val="clear"/>
        <w:spacing w:after="14" w:before="14"/>
        <w:ind w:left="360"/>
      </w:pPr>
      <w:r>
        <w:rPr>
          <w:rFonts w:ascii="Courier New" w:cs="Courier New" w:eastAsia="Courier New" w:hAnsi="Courier New"/>
          <w:color w:val="1B2A4A"/>
          <w:sz w:val="16"/>
          <w:szCs w:val="16"/>
        </w:rPr>
        <w:t xml:space="preserve">      "Embedded Gulf embedded finance GTM team covering e-commerce platform and bank partnership outreach.",</w:t>
      </w:r>
    </w:p>
    <w:p>
      <w:pPr>
        <w:shd w:fill="F0F0F0" w:val="clear"/>
        <w:spacing w:after="14" w:before="14"/>
        <w:ind w:left="360"/>
      </w:pPr>
      <w:r>
        <w:rPr>
          <w:rFonts w:ascii="Courier New" w:cs="Courier New" w:eastAsia="Courier New" w:hAnsi="Courier New"/>
          <w:color w:val="1B2A4A"/>
          <w:sz w:val="16"/>
          <w:szCs w:val="16"/>
        </w:rPr>
        <w:t xml:space="preserve">      "Investor-ready pitch books for Gulf embedded finance investment with CBUAE Open Finance and BNPL adoption narrative.",</w:t>
      </w:r>
    </w:p>
    <w:p>
      <w:pPr>
        <w:shd w:fill="F0F0F0" w:val="clear"/>
        <w:spacing w:after="14" w:before="14"/>
        <w:ind w:left="360"/>
      </w:pPr>
      <w:r>
        <w:rPr>
          <w:rFonts w:ascii="Courier New" w:cs="Courier New" w:eastAsia="Courier New" w:hAnsi="Courier New"/>
          <w:color w:val="1B2A4A"/>
          <w:sz w:val="16"/>
          <w:szCs w:val="16"/>
        </w:rPr>
        <w:t xml:space="preserve">      "Shariah-compliant product structuring — from Murabaha BNPL to Takaful-compliant embedded insurance."</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"faq": [</w:t>
      </w:r>
    </w:p>
    <w:p>
      <w:pPr>
        <w:shd w:fill="F0F0F0" w:val="clear"/>
        <w:spacing w:after="14" w:before="14"/>
        <w:ind w:left="360"/>
      </w:pPr>
      <w:r>
        <w:rPr>
          <w:rFonts w:ascii="Courier New" w:cs="Courier New" w:eastAsia="Courier New" w:hAnsi="Courier New"/>
          <w:color w:val="1B2A4A"/>
          <w:sz w:val="16"/>
          <w:szCs w:val="16"/>
        </w:rPr>
        <w:t xml:space="preserve">      "Does GreyRadius work with BNPL companies or also with embedded lending, insurance, and investment companies entering the Gulf?|All embedded finance categories.",</w:t>
      </w:r>
    </w:p>
    <w:p>
      <w:pPr>
        <w:shd w:fill="F0F0F0" w:val="clear"/>
        <w:spacing w:after="14" w:before="14"/>
        <w:ind w:left="360"/>
      </w:pPr>
      <w:r>
        <w:rPr>
          <w:rFonts w:ascii="Courier New" w:cs="Courier New" w:eastAsia="Courier New" w:hAnsi="Courier New"/>
          <w:color w:val="1B2A4A"/>
          <w:sz w:val="16"/>
          <w:szCs w:val="16"/>
        </w:rPr>
        <w:t xml:space="preserve">      "How long does a Gulf embedded finance engagement take?|Typically 8-12 weeks for demand research, CBUAE regulatory mapping, and bank partner identification.",</w:t>
      </w:r>
    </w:p>
    <w:p>
      <w:pPr>
        <w:shd w:fill="F0F0F0" w:val="clear"/>
        <w:spacing w:after="14" w:before="14"/>
        <w:ind w:left="360"/>
      </w:pPr>
      <w:r>
        <w:rPr>
          <w:rFonts w:ascii="Courier New" w:cs="Courier New" w:eastAsia="Courier New" w:hAnsi="Courier New"/>
          <w:color w:val="1B2A4A"/>
          <w:sz w:val="16"/>
          <w:szCs w:val="16"/>
        </w:rPr>
        <w:t xml:space="preserve">      "Can GreyRadius identify CBUAE Open Finance bank API partners?|Yes.",</w:t>
      </w:r>
    </w:p>
    <w:p>
      <w:pPr>
        <w:shd w:fill="F0F0F0" w:val="clear"/>
        <w:spacing w:after="14" w:before="14"/>
        <w:ind w:left="360"/>
      </w:pPr>
      <w:r>
        <w:rPr>
          <w:rFonts w:ascii="Courier New" w:cs="Courier New" w:eastAsia="Courier New" w:hAnsi="Courier New"/>
          <w:color w:val="1B2A4A"/>
          <w:sz w:val="16"/>
          <w:szCs w:val="16"/>
        </w:rPr>
        <w:t xml:space="preserve">      "What CBUAE licence is required for embedded lending in the Gulf?|Payment services or retail banking licence depending on the model — we map the specific requirement in every engagement."</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"keywords": "Gulf embedded finance market entry, CBUAE Open Finance consulting, UAE BNPL GTM strategy, DFSA fintech advisory, Gulf embedded lending market entry",</w:t>
      </w:r>
    </w:p>
    <w:p>
      <w:pPr>
        <w:shd w:fill="F0F0F0" w:val="clear"/>
        <w:spacing w:after="14" w:before="14"/>
        <w:ind w:left="360"/>
      </w:pPr>
      <w:r>
        <w:rPr>
          <w:rFonts w:ascii="Courier New" w:cs="Courier New" w:eastAsia="Courier New" w:hAnsi="Courier New"/>
          <w:color w:val="1B2A4A"/>
          <w:sz w:val="16"/>
          <w:szCs w:val="16"/>
        </w:rPr>
        <w:t xml:space="preserve">    "regions": "UAE — DIFC Dubai CBUAE-regulated embedded finance; Saudi Arabia — Vision 2030 financial inclusion embedded finance",</w:t>
      </w:r>
    </w:p>
    <w:p>
      <w:pPr>
        <w:shd w:fill="F0F0F0" w:val="clear"/>
        <w:spacing w:after="14" w:before="14"/>
        <w:ind w:left="360"/>
      </w:pPr>
      <w:r>
        <w:rPr>
          <w:rFonts w:ascii="Courier New" w:cs="Courier New" w:eastAsia="Courier New" w:hAnsi="Courier New"/>
          <w:color w:val="1B2A4A"/>
          <w:sz w:val="16"/>
          <w:szCs w:val="16"/>
        </w:rPr>
        <w:t xml:space="preserve">    "stat1n": "$3B",</w:t>
      </w:r>
    </w:p>
    <w:p>
      <w:pPr>
        <w:shd w:fill="F0F0F0" w:val="clear"/>
        <w:spacing w:after="14" w:before="14"/>
        <w:ind w:left="360"/>
      </w:pPr>
      <w:r>
        <w:rPr>
          <w:rFonts w:ascii="Courier New" w:cs="Courier New" w:eastAsia="Courier New" w:hAnsi="Courier New"/>
          <w:color w:val="1B2A4A"/>
          <w:sz w:val="16"/>
          <w:szCs w:val="16"/>
        </w:rPr>
        <w:t xml:space="preserve">    "stat1l": "Gulf embedded finance market by 2027",</w:t>
      </w:r>
    </w:p>
    <w:p>
      <w:pPr>
        <w:shd w:fill="F0F0F0" w:val="clear"/>
        <w:spacing w:after="14" w:before="14"/>
        <w:ind w:left="360"/>
      </w:pPr>
      <w:r>
        <w:rPr>
          <w:rFonts w:ascii="Courier New" w:cs="Courier New" w:eastAsia="Courier New" w:hAnsi="Courier New"/>
          <w:color w:val="1B2A4A"/>
          <w:sz w:val="16"/>
          <w:szCs w:val="16"/>
        </w:rPr>
        <w:t xml:space="preserve">    "stat1b": "CBUAE Open Finance framework, BNPL adoption, and Vision 2030 financial inclusion driving 30% annual embedded finance growth.",</w:t>
      </w:r>
    </w:p>
    <w:p>
      <w:pPr>
        <w:shd w:fill="F0F0F0" w:val="clear"/>
        <w:spacing w:after="14" w:before="14"/>
        <w:ind w:left="360"/>
      </w:pPr>
      <w:r>
        <w:rPr>
          <w:rFonts w:ascii="Courier New" w:cs="Courier New" w:eastAsia="Courier New" w:hAnsi="Courier New"/>
          <w:color w:val="1B2A4A"/>
          <w:sz w:val="16"/>
          <w:szCs w:val="16"/>
        </w:rPr>
        <w:t xml:space="preserve">    "stat2n": "30+",</w:t>
      </w:r>
    </w:p>
    <w:p>
      <w:pPr>
        <w:shd w:fill="F0F0F0" w:val="clear"/>
        <w:spacing w:after="14" w:before="14"/>
        <w:ind w:left="360"/>
      </w:pPr>
      <w:r>
        <w:rPr>
          <w:rFonts w:ascii="Courier New" w:cs="Courier New" w:eastAsia="Courier New" w:hAnsi="Courier New"/>
          <w:color w:val="1B2A4A"/>
          <w:sz w:val="16"/>
          <w:szCs w:val="16"/>
        </w:rPr>
        <w:t xml:space="preserve">    "stat2l": "Primary interviews per Gulf embedded finance mandate",</w:t>
      </w:r>
    </w:p>
    <w:p>
      <w:pPr>
        <w:shd w:fill="F0F0F0" w:val="clear"/>
        <w:spacing w:after="14" w:before="14"/>
        <w:ind w:left="360"/>
      </w:pPr>
      <w:r>
        <w:rPr>
          <w:rFonts w:ascii="Courier New" w:cs="Courier New" w:eastAsia="Courier New" w:hAnsi="Courier New"/>
          <w:color w:val="1B2A4A"/>
          <w:sz w:val="16"/>
          <w:szCs w:val="16"/>
        </w:rPr>
        <w:t xml:space="preserve">    "stat2b": "Gulf platform operators, CBUAE officials, and bank partnership heads — every engagement grounded in direct primary research.",</w:t>
      </w:r>
    </w:p>
    <w:p>
      <w:pPr>
        <w:shd w:fill="F0F0F0" w:val="clear"/>
        <w:spacing w:after="14" w:before="14"/>
        <w:ind w:left="360"/>
      </w:pPr>
      <w:r>
        <w:rPr>
          <w:rFonts w:ascii="Courier New" w:cs="Courier New" w:eastAsia="Courier New" w:hAnsi="Courier New"/>
          <w:color w:val="1B2A4A"/>
          <w:sz w:val="16"/>
          <w:szCs w:val="16"/>
        </w:rPr>
        <w:t xml:space="preserve">    "stat3n": "8 weeks",</w:t>
      </w:r>
    </w:p>
    <w:p>
      <w:pPr>
        <w:shd w:fill="F0F0F0" w:val="clear"/>
        <w:spacing w:after="14" w:before="14"/>
        <w:ind w:left="360"/>
      </w:pPr>
      <w:r>
        <w:rPr>
          <w:rFonts w:ascii="Courier New" w:cs="Courier New" w:eastAsia="Courier New" w:hAnsi="Courier New"/>
          <w:color w:val="1B2A4A"/>
          <w:sz w:val="16"/>
          <w:szCs w:val="16"/>
        </w:rPr>
        <w:t xml:space="preserve">    "stat3l": "Gulf embedded finance market entry strategy",</w:t>
      </w:r>
    </w:p>
    <w:p>
      <w:pPr>
        <w:shd w:fill="F0F0F0" w:val="clear"/>
        <w:spacing w:after="14" w:before="14"/>
        <w:ind w:left="360"/>
      </w:pPr>
      <w:r>
        <w:rPr>
          <w:rFonts w:ascii="Courier New" w:cs="Courier New" w:eastAsia="Courier New" w:hAnsi="Courier New"/>
          <w:color w:val="1B2A4A"/>
          <w:sz w:val="16"/>
          <w:szCs w:val="16"/>
        </w:rPr>
        <w:t xml:space="preserve">    "stat3b": "AI-augmented CBUAE regulatory mapping and platform demand research delivers Gulf embedded finance strategies efficiently."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"slug": "africa-food-beverage",</w:t>
      </w:r>
    </w:p>
    <w:p>
      <w:pPr>
        <w:shd w:fill="F0F0F0" w:val="clear"/>
        <w:spacing w:after="14" w:before="14"/>
        <w:ind w:left="360"/>
      </w:pPr>
      <w:r>
        <w:rPr>
          <w:rFonts w:ascii="Courier New" w:cs="Courier New" w:eastAsia="Courier New" w:hAnsi="Courier New"/>
          <w:color w:val="1B2A4A"/>
          <w:sz w:val="16"/>
          <w:szCs w:val="16"/>
        </w:rPr>
        <w:t xml:space="preserve">    "parent": "food-beverage",</w:t>
      </w:r>
    </w:p>
    <w:p>
      <w:pPr>
        <w:shd w:fill="F0F0F0" w:val="clear"/>
        <w:spacing w:after="14" w:before="14"/>
        <w:ind w:left="360"/>
      </w:pPr>
      <w:r>
        <w:rPr>
          <w:rFonts w:ascii="Courier New" w:cs="Courier New" w:eastAsia="Courier New" w:hAnsi="Courier New"/>
          <w:color w:val="1B2A4A"/>
          <w:sz w:val="16"/>
          <w:szCs w:val="16"/>
        </w:rPr>
        <w:t xml:space="preserve">    "title": "Africa Food &amp; Beverage Market Entry Strategy | GreyRadius",</w:t>
      </w:r>
    </w:p>
    <w:p>
      <w:pPr>
        <w:shd w:fill="F0F0F0" w:val="clear"/>
        <w:spacing w:after="14" w:before="14"/>
        <w:ind w:left="360"/>
      </w:pPr>
      <w:r>
        <w:rPr>
          <w:rFonts w:ascii="Courier New" w:cs="Courier New" w:eastAsia="Courier New" w:hAnsi="Courier New"/>
          <w:color w:val="1B2A4A"/>
          <w:sz w:val="16"/>
          <w:szCs w:val="16"/>
        </w:rPr>
        <w:t xml:space="preserve">    "meta": "GreyRadius helps international food and beverage companies enter Africa with NAFDAC and KEBS regulatory mapping, modern trade distribution, and consumer demand validation across Nigeria, South Africa, and Kenya.",</w:t>
      </w:r>
    </w:p>
    <w:p>
      <w:pPr>
        <w:shd w:fill="F0F0F0" w:val="clear"/>
        <w:spacing w:after="14" w:before="14"/>
        <w:ind w:left="360"/>
      </w:pPr>
      <w:r>
        <w:rPr>
          <w:rFonts w:ascii="Courier New" w:cs="Courier New" w:eastAsia="Courier New" w:hAnsi="Courier New"/>
          <w:color w:val="1B2A4A"/>
          <w:sz w:val="16"/>
          <w:szCs w:val="16"/>
        </w:rPr>
        <w:t xml:space="preserve">    "h1": "Africa food and beverage market entry strategy",</w:t>
      </w:r>
    </w:p>
    <w:p>
      <w:pPr>
        <w:shd w:fill="F0F0F0" w:val="clear"/>
        <w:spacing w:after="14" w:before="14"/>
        <w:ind w:left="360"/>
      </w:pPr>
      <w:r>
        <w:rPr>
          <w:rFonts w:ascii="Courier New" w:cs="Courier New" w:eastAsia="Courier New" w:hAnsi="Courier New"/>
          <w:color w:val="1B2A4A"/>
          <w:sz w:val="16"/>
          <w:szCs w:val="16"/>
        </w:rPr>
        <w:t xml:space="preserve">    "tagline": "From international food brand to African consumer — strategy for food and beverage companies entering Africa.",</w:t>
      </w:r>
    </w:p>
    <w:p>
      <w:pPr>
        <w:shd w:fill="F0F0F0" w:val="clear"/>
        <w:spacing w:after="14" w:before="14"/>
        <w:ind w:left="360"/>
      </w:pPr>
      <w:r>
        <w:rPr>
          <w:rFonts w:ascii="Courier New" w:cs="Courier New" w:eastAsia="Courier New" w:hAnsi="Courier New"/>
          <w:color w:val="1B2A4A"/>
          <w:sz w:val="16"/>
          <w:szCs w:val="16"/>
        </w:rPr>
        <w:t xml:space="preserve">    "hero": "Africa's food and beverage market is one of the world's most significant long-term growth opportunities — with 1.4 billion consumers, Africa's growing middle class spending increasingly on packaged food and beverages, informal food trade representing 70% of African food volume, and government food security investment creating new food technology partnership opportunities. International food and beverage companies across packaged foods, beverages, health foods, and food technology are all evaluating Africa as a priority market. GreyRadius helps food companies validate African consumer demand, navigate NAFDAC, KEBS, and country-specific regulatory requirements, identify distribution partners, and execute market entry.",</w:t>
      </w:r>
    </w:p>
    <w:p>
      <w:pPr>
        <w:shd w:fill="F0F0F0" w:val="clear"/>
        <w:spacing w:after="14" w:before="14"/>
        <w:ind w:left="360"/>
      </w:pPr>
      <w:r>
        <w:rPr>
          <w:rFonts w:ascii="Courier New" w:cs="Courier New" w:eastAsia="Courier New" w:hAnsi="Courier New"/>
          <w:color w:val="1B2A4A"/>
          <w:sz w:val="16"/>
          <w:szCs w:val="16"/>
        </w:rPr>
        <w:t xml:space="preserve">    "market_timing": "Africa's packaged food market is at a formalisation inflection — modern trade share is growing as urban African consumers shift purchasing from informal market traders to modern supermarkets and convenience stores. International food brands establishing modern trade distribution relationships in Nigeria, Kenya, and South Africa in 2024-2027 will capture the formalisation premium as African packaged food trade structures mature.",</w:t>
      </w:r>
    </w:p>
    <w:p>
      <w:pPr>
        <w:shd w:fill="F0F0F0" w:val="clear"/>
        <w:spacing w:after="14" w:before="14"/>
        <w:ind w:left="360"/>
      </w:pPr>
      <w:r>
        <w:rPr>
          <w:rFonts w:ascii="Courier New" w:cs="Courier New" w:eastAsia="Courier New" w:hAnsi="Courier New"/>
          <w:color w:val="1B2A4A"/>
          <w:sz w:val="16"/>
          <w:szCs w:val="16"/>
        </w:rPr>
        <w:t xml:space="preserve">    "insights": [</w:t>
      </w:r>
    </w:p>
    <w:p>
      <w:pPr>
        <w:shd w:fill="F0F0F0" w:val="clear"/>
        <w:spacing w:after="14" w:before="14"/>
        <w:ind w:left="360"/>
      </w:pPr>
      <w:r>
        <w:rPr>
          <w:rFonts w:ascii="Courier New" w:cs="Courier New" w:eastAsia="Courier New" w:hAnsi="Courier New"/>
          <w:color w:val="1B2A4A"/>
          <w:sz w:val="16"/>
          <w:szCs w:val="16"/>
        </w:rPr>
        <w:t xml:space="preserve">      "Africa's food and beverage market is projected to reach $1 trillion by 2030 — growing at 8% annually as population growth, urbanisation, and middle class food spending all scale.",</w:t>
      </w:r>
    </w:p>
    <w:p>
      <w:pPr>
        <w:shd w:fill="F0F0F0" w:val="clear"/>
        <w:spacing w:after="14" w:before="14"/>
        <w:ind w:left="360"/>
      </w:pPr>
      <w:r>
        <w:rPr>
          <w:rFonts w:ascii="Courier New" w:cs="Courier New" w:eastAsia="Courier New" w:hAnsi="Courier New"/>
          <w:color w:val="1B2A4A"/>
          <w:sz w:val="16"/>
          <w:szCs w:val="16"/>
        </w:rPr>
        <w:t xml:space="preserve">      "Nigeria is Africa's largest food market by value — 220 million consumers, Lagos as the continent's most dynamic packaged food market, and Shoprite and Spar creating accessible international brand entry routes.",</w:t>
      </w:r>
    </w:p>
    <w:p>
      <w:pPr>
        <w:shd w:fill="F0F0F0" w:val="clear"/>
        <w:spacing w:after="14" w:before="14"/>
        <w:ind w:left="360"/>
      </w:pPr>
      <w:r>
        <w:rPr>
          <w:rFonts w:ascii="Courier New" w:cs="Courier New" w:eastAsia="Courier New" w:hAnsi="Courier New"/>
          <w:color w:val="1B2A4A"/>
          <w:sz w:val="16"/>
          <w:szCs w:val="16"/>
        </w:rPr>
        <w:t xml:space="preserve">      "East Africa's health food market is growing at 20% annually — Kenyan and Ugandan consumers increasingly seeking fortified, organic, and health-positioned food products.",</w:t>
      </w:r>
    </w:p>
    <w:p>
      <w:pPr>
        <w:shd w:fill="F0F0F0" w:val="clear"/>
        <w:spacing w:after="14" w:before="14"/>
        <w:ind w:left="360"/>
      </w:pPr>
      <w:r>
        <w:rPr>
          <w:rFonts w:ascii="Courier New" w:cs="Courier New" w:eastAsia="Courier New" w:hAnsi="Courier New"/>
          <w:color w:val="1B2A4A"/>
          <w:sz w:val="16"/>
          <w:szCs w:val="16"/>
        </w:rPr>
        <w:t xml:space="preserve">      "Africa's beverage market is one of the world's most underpenetrated — per-capita packaged beverage consumption at 5-10% of Western benchmarks creating extraordinary long-term opportunity."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"challenges_market": [</w:t>
      </w:r>
    </w:p>
    <w:p>
      <w:pPr>
        <w:shd w:fill="F0F0F0" w:val="clear"/>
        <w:spacing w:after="14" w:before="14"/>
        <w:ind w:left="360"/>
      </w:pPr>
      <w:r>
        <w:rPr>
          <w:rFonts w:ascii="Courier New" w:cs="Courier New" w:eastAsia="Courier New" w:hAnsi="Courier New"/>
          <w:color w:val="1B2A4A"/>
          <w:sz w:val="16"/>
          <w:szCs w:val="16"/>
        </w:rPr>
        <w:t xml:space="preserve">      "NAFDAC food registration in Nigeria requires product testing, local agent, and documentation with 12-18 month timelines for full registration.",</w:t>
      </w:r>
    </w:p>
    <w:p>
      <w:pPr>
        <w:shd w:fill="F0F0F0" w:val="clear"/>
        <w:spacing w:after="14" w:before="14"/>
        <w:ind w:left="360"/>
      </w:pPr>
      <w:r>
        <w:rPr>
          <w:rFonts w:ascii="Courier New" w:cs="Courier New" w:eastAsia="Courier New" w:hAnsi="Courier New"/>
          <w:color w:val="1B2A4A"/>
          <w:sz w:val="16"/>
          <w:szCs w:val="16"/>
        </w:rPr>
        <w:t xml:space="preserve">      "Informal trade channel dominance requires investment in traditional trade distribution that international food brands are not structured for.",</w:t>
      </w:r>
    </w:p>
    <w:p>
      <w:pPr>
        <w:shd w:fill="F0F0F0" w:val="clear"/>
        <w:spacing w:after="14" w:before="14"/>
        <w:ind w:left="360"/>
      </w:pPr>
      <w:r>
        <w:rPr>
          <w:rFonts w:ascii="Courier New" w:cs="Courier New" w:eastAsia="Courier New" w:hAnsi="Courier New"/>
          <w:color w:val="1B2A4A"/>
          <w:sz w:val="16"/>
          <w:szCs w:val="16"/>
        </w:rPr>
        <w:t xml:space="preserve">      "Cold chain infrastructure outside major African cities is severely limited affecting chilled and frozen product market access.",</w:t>
      </w:r>
    </w:p>
    <w:p>
      <w:pPr>
        <w:shd w:fill="F0F0F0" w:val="clear"/>
        <w:spacing w:after="14" w:before="14"/>
        <w:ind w:left="360"/>
      </w:pPr>
      <w:r>
        <w:rPr>
          <w:rFonts w:ascii="Courier New" w:cs="Courier New" w:eastAsia="Courier New" w:hAnsi="Courier New"/>
          <w:color w:val="1B2A4A"/>
          <w:sz w:val="16"/>
          <w:szCs w:val="16"/>
        </w:rPr>
        <w:t xml:space="preserve">      "Currency risk in Nigeria (Naira) and other African markets creates pricing volatility affecting branded food company margin management."</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"challenges_we_solve": [</w:t>
      </w:r>
    </w:p>
    <w:p>
      <w:pPr>
        <w:shd w:fill="F0F0F0" w:val="clear"/>
        <w:spacing w:after="14" w:before="14"/>
        <w:ind w:left="360"/>
      </w:pPr>
      <w:r>
        <w:rPr>
          <w:rFonts w:ascii="Courier New" w:cs="Courier New" w:eastAsia="Courier New" w:hAnsi="Courier New"/>
          <w:color w:val="1B2A4A"/>
          <w:sz w:val="16"/>
          <w:szCs w:val="16"/>
        </w:rPr>
        <w:t xml:space="preserve">      "Africa food consumer demand validation|You need to validate African consumer demand and taste preferences for your food product across target markets.",</w:t>
      </w:r>
    </w:p>
    <w:p>
      <w:pPr>
        <w:shd w:fill="F0F0F0" w:val="clear"/>
        <w:spacing w:after="14" w:before="14"/>
        <w:ind w:left="360"/>
      </w:pPr>
      <w:r>
        <w:rPr>
          <w:rFonts w:ascii="Courier New" w:cs="Courier New" w:eastAsia="Courier New" w:hAnsi="Courier New"/>
          <w:color w:val="1B2A4A"/>
          <w:sz w:val="16"/>
          <w:szCs w:val="16"/>
        </w:rPr>
        <w:t xml:space="preserve">      "NAFDAC and KEBS regulatory pathway|You need to understand NAFDAC food registration, Kenya KEBS certification, and country-specific food import requirements.",</w:t>
      </w:r>
    </w:p>
    <w:p>
      <w:pPr>
        <w:shd w:fill="F0F0F0" w:val="clear"/>
        <w:spacing w:after="14" w:before="14"/>
        <w:ind w:left="360"/>
      </w:pPr>
      <w:r>
        <w:rPr>
          <w:rFonts w:ascii="Courier New" w:cs="Courier New" w:eastAsia="Courier New" w:hAnsi="Courier New"/>
          <w:color w:val="1B2A4A"/>
          <w:sz w:val="16"/>
          <w:szCs w:val="16"/>
        </w:rPr>
        <w:t xml:space="preserve">      "Africa food distribution partner identification|You need distributors with Shoprite, Spar, and modern trade relationships and traditional trade reach.",</w:t>
      </w:r>
    </w:p>
    <w:p>
      <w:pPr>
        <w:shd w:fill="F0F0F0" w:val="clear"/>
        <w:spacing w:after="14" w:before="14"/>
        <w:ind w:left="360"/>
      </w:pPr>
      <w:r>
        <w:rPr>
          <w:rFonts w:ascii="Courier New" w:cs="Courier New" w:eastAsia="Courier New" w:hAnsi="Courier New"/>
          <w:color w:val="1B2A4A"/>
          <w:sz w:val="16"/>
          <w:szCs w:val="16"/>
        </w:rPr>
        <w:t xml:space="preserve">      "Africa food GTM strategy|You need a market-prioritisation and distribution channel sequencing plan for Africa entry.",</w:t>
      </w:r>
    </w:p>
    <w:p>
      <w:pPr>
        <w:shd w:fill="F0F0F0" w:val="clear"/>
        <w:spacing w:after="14" w:before="14"/>
        <w:ind w:left="360"/>
      </w:pPr>
      <w:r>
        <w:rPr>
          <w:rFonts w:ascii="Courier New" w:cs="Courier New" w:eastAsia="Courier New" w:hAnsi="Courier New"/>
          <w:color w:val="1B2A4A"/>
          <w:sz w:val="16"/>
          <w:szCs w:val="16"/>
        </w:rPr>
        <w:t xml:space="preserve">      "Raising capital for Africa food investment|You need a pitch book grounded in Africa food market data and middle class consumer growth analysis.",</w:t>
      </w:r>
    </w:p>
    <w:p>
      <w:pPr>
        <w:shd w:fill="F0F0F0" w:val="clear"/>
        <w:spacing w:after="14" w:before="14"/>
        <w:ind w:left="360"/>
      </w:pPr>
      <w:r>
        <w:rPr>
          <w:rFonts w:ascii="Courier New" w:cs="Courier New" w:eastAsia="Courier New" w:hAnsi="Courier New"/>
          <w:color w:val="1B2A4A"/>
          <w:sz w:val="16"/>
          <w:szCs w:val="16"/>
        </w:rPr>
        <w:t xml:space="preserve">      "Traditional trade distribution strategy|You need a traditional market and informal trade distribution approach for African food volume."</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"service_angles": [</w:t>
      </w:r>
    </w:p>
    <w:p>
      <w:pPr>
        <w:shd w:fill="F0F0F0" w:val="clear"/>
        <w:spacing w:after="14" w:before="14"/>
        <w:ind w:left="360"/>
      </w:pPr>
      <w:r>
        <w:rPr>
          <w:rFonts w:ascii="Courier New" w:cs="Courier New" w:eastAsia="Courier New" w:hAnsi="Courier New"/>
          <w:color w:val="1B2A4A"/>
          <w:sz w:val="16"/>
          <w:szCs w:val="16"/>
        </w:rPr>
        <w:t xml:space="preserve">      "Validate African consumer demand for your food product with taste research and NAFDAC regulatory mapping.",</w:t>
      </w:r>
    </w:p>
    <w:p>
      <w:pPr>
        <w:shd w:fill="F0F0F0" w:val="clear"/>
        <w:spacing w:after="14" w:before="14"/>
        <w:ind w:left="360"/>
      </w:pPr>
      <w:r>
        <w:rPr>
          <w:rFonts w:ascii="Courier New" w:cs="Courier New" w:eastAsia="Courier New" w:hAnsi="Courier New"/>
          <w:color w:val="1B2A4A"/>
          <w:sz w:val="16"/>
          <w:szCs w:val="16"/>
        </w:rPr>
        <w:t xml:space="preserve">      "Full financial feasibility for Africa food investment covering registration cost and distribution economics.",</w:t>
      </w:r>
    </w:p>
    <w:p>
      <w:pPr>
        <w:shd w:fill="F0F0F0" w:val="clear"/>
        <w:spacing w:after="14" w:before="14"/>
        <w:ind w:left="360"/>
      </w:pPr>
      <w:r>
        <w:rPr>
          <w:rFonts w:ascii="Courier New" w:cs="Courier New" w:eastAsia="Courier New" w:hAnsi="Courier New"/>
          <w:color w:val="1B2A4A"/>
          <w:sz w:val="16"/>
          <w:szCs w:val="16"/>
        </w:rPr>
        <w:t xml:space="preserve">      "End-to-end Africa food market entry including NAFDAC pathway, modern trade distributor identification, and first-revenue milestone.",</w:t>
      </w:r>
    </w:p>
    <w:p>
      <w:pPr>
        <w:shd w:fill="F0F0F0" w:val="clear"/>
        <w:spacing w:after="14" w:before="14"/>
        <w:ind w:left="360"/>
      </w:pPr>
      <w:r>
        <w:rPr>
          <w:rFonts w:ascii="Courier New" w:cs="Courier New" w:eastAsia="Courier New" w:hAnsi="Courier New"/>
          <w:color w:val="1B2A4A"/>
          <w:sz w:val="16"/>
          <w:szCs w:val="16"/>
        </w:rPr>
        <w:t xml:space="preserve">      "Embedded Africa food GTM team covering modern trade buyer and distributor outreach.",</w:t>
      </w:r>
    </w:p>
    <w:p>
      <w:pPr>
        <w:shd w:fill="F0F0F0" w:val="clear"/>
        <w:spacing w:after="14" w:before="14"/>
        <w:ind w:left="360"/>
      </w:pPr>
      <w:r>
        <w:rPr>
          <w:rFonts w:ascii="Courier New" w:cs="Courier New" w:eastAsia="Courier New" w:hAnsi="Courier New"/>
          <w:color w:val="1B2A4A"/>
          <w:sz w:val="16"/>
          <w:szCs w:val="16"/>
        </w:rPr>
        <w:t xml:space="preserve">      "Investor-ready pitch books for Africa food investment with population growth and urbanisation narrative.",</w:t>
      </w:r>
    </w:p>
    <w:p>
      <w:pPr>
        <w:shd w:fill="F0F0F0" w:val="clear"/>
        <w:spacing w:after="14" w:before="14"/>
        <w:ind w:left="360"/>
      </w:pPr>
      <w:r>
        <w:rPr>
          <w:rFonts w:ascii="Courier New" w:cs="Courier New" w:eastAsia="Courier New" w:hAnsi="Courier New"/>
          <w:color w:val="1B2A4A"/>
          <w:sz w:val="16"/>
          <w:szCs w:val="16"/>
        </w:rPr>
        <w:t xml:space="preserve">      "AI use-case identification — from African consumer taste preference prediction to supply chain optimisation for African food distribution."</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"faq": [</w:t>
      </w:r>
    </w:p>
    <w:p>
      <w:pPr>
        <w:shd w:fill="F0F0F0" w:val="clear"/>
        <w:spacing w:after="14" w:before="14"/>
        <w:ind w:left="360"/>
      </w:pPr>
      <w:r>
        <w:rPr>
          <w:rFonts w:ascii="Courier New" w:cs="Courier New" w:eastAsia="Courier New" w:hAnsi="Courier New"/>
          <w:color w:val="1B2A4A"/>
          <w:sz w:val="16"/>
          <w:szCs w:val="16"/>
        </w:rPr>
        <w:t xml:space="preserve">      "Does GreyRadius work with packaged food companies or also with beverage, health food, and food technology companies entering Africa?|All food categories.",</w:t>
      </w:r>
    </w:p>
    <w:p>
      <w:pPr>
        <w:shd w:fill="F0F0F0" w:val="clear"/>
        <w:spacing w:after="14" w:before="14"/>
        <w:ind w:left="360"/>
      </w:pPr>
      <w:r>
        <w:rPr>
          <w:rFonts w:ascii="Courier New" w:cs="Courier New" w:eastAsia="Courier New" w:hAnsi="Courier New"/>
          <w:color w:val="1B2A4A"/>
          <w:sz w:val="16"/>
          <w:szCs w:val="16"/>
        </w:rPr>
        <w:t xml:space="preserve">      "Which African food markets does GreyRadius prioritise?|Nigeria for largest volume; South Africa for most sophisticated modern trade; Kenya for East Africa hub.",</w:t>
      </w:r>
    </w:p>
    <w:p>
      <w:pPr>
        <w:shd w:fill="F0F0F0" w:val="clear"/>
        <w:spacing w:after="14" w:before="14"/>
        <w:ind w:left="360"/>
      </w:pPr>
      <w:r>
        <w:rPr>
          <w:rFonts w:ascii="Courier New" w:cs="Courier New" w:eastAsia="Courier New" w:hAnsi="Courier New"/>
          <w:color w:val="1B2A4A"/>
          <w:sz w:val="16"/>
          <w:szCs w:val="16"/>
        </w:rPr>
        <w:t xml:space="preserve">      "How long does an Africa food engagement take?|Typically 8-12 weeks for consumer research, NAFDAC regulatory mapping, and distributor identification.",</w:t>
      </w:r>
    </w:p>
    <w:p>
      <w:pPr>
        <w:shd w:fill="F0F0F0" w:val="clear"/>
        <w:spacing w:after="14" w:before="14"/>
        <w:ind w:left="360"/>
      </w:pPr>
      <w:r>
        <w:rPr>
          <w:rFonts w:ascii="Courier New" w:cs="Courier New" w:eastAsia="Courier New" w:hAnsi="Courier New"/>
          <w:color w:val="1B2A4A"/>
          <w:sz w:val="16"/>
          <w:szCs w:val="16"/>
        </w:rPr>
        <w:t xml:space="preserve">      "Can GreyRadius identify Shoprite and Spar category buyer contacts for food brands entering Africa?|Yes."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"keywords": "Africa food and beverage market entry, NAFDAC food registration consulting, Nigeria food GTM strategy, South Africa food advisory, Africa packaged food market entry",</w:t>
      </w:r>
    </w:p>
    <w:p>
      <w:pPr>
        <w:shd w:fill="F0F0F0" w:val="clear"/>
        <w:spacing w:after="14" w:before="14"/>
        <w:ind w:left="360"/>
      </w:pPr>
      <w:r>
        <w:rPr>
          <w:rFonts w:ascii="Courier New" w:cs="Courier New" w:eastAsia="Courier New" w:hAnsi="Courier New"/>
          <w:color w:val="1B2A4A"/>
          <w:sz w:val="16"/>
          <w:szCs w:val="16"/>
        </w:rPr>
        <w:t xml:space="preserve">    "regions": "Nigeria — NAFDAC-registered across Lagos, Abuja modern trade; South Africa — Shoprite and Spar retail; Kenya — Nairobi modern trade and East Africa distribution",</w:t>
      </w:r>
    </w:p>
    <w:p>
      <w:pPr>
        <w:shd w:fill="F0F0F0" w:val="clear"/>
        <w:spacing w:after="14" w:before="14"/>
        <w:ind w:left="360"/>
      </w:pPr>
      <w:r>
        <w:rPr>
          <w:rFonts w:ascii="Courier New" w:cs="Courier New" w:eastAsia="Courier New" w:hAnsi="Courier New"/>
          <w:color w:val="1B2A4A"/>
          <w:sz w:val="16"/>
          <w:szCs w:val="16"/>
        </w:rPr>
        <w:t xml:space="preserve">    "stat1n": "$1T",</w:t>
      </w:r>
    </w:p>
    <w:p>
      <w:pPr>
        <w:shd w:fill="F0F0F0" w:val="clear"/>
        <w:spacing w:after="14" w:before="14"/>
        <w:ind w:left="360"/>
      </w:pPr>
      <w:r>
        <w:rPr>
          <w:rFonts w:ascii="Courier New" w:cs="Courier New" w:eastAsia="Courier New" w:hAnsi="Courier New"/>
          <w:color w:val="1B2A4A"/>
          <w:sz w:val="16"/>
          <w:szCs w:val="16"/>
        </w:rPr>
        <w:t xml:space="preserve">    "stat1l": "Africa food market by 2030",</w:t>
      </w:r>
    </w:p>
    <w:p>
      <w:pPr>
        <w:shd w:fill="F0F0F0" w:val="clear"/>
        <w:spacing w:after="14" w:before="14"/>
        <w:ind w:left="360"/>
      </w:pPr>
      <w:r>
        <w:rPr>
          <w:rFonts w:ascii="Courier New" w:cs="Courier New" w:eastAsia="Courier New" w:hAnsi="Courier New"/>
          <w:color w:val="1B2A4A"/>
          <w:sz w:val="16"/>
          <w:szCs w:val="16"/>
        </w:rPr>
        <w:t xml:space="preserve">    "stat1b": "Population growth, urbanisation, and middle class food spending driving 8% annual Africa food and beverage market growth.",</w:t>
      </w:r>
    </w:p>
    <w:p>
      <w:pPr>
        <w:shd w:fill="F0F0F0" w:val="clear"/>
        <w:spacing w:after="14" w:before="14"/>
        <w:ind w:left="360"/>
      </w:pPr>
      <w:r>
        <w:rPr>
          <w:rFonts w:ascii="Courier New" w:cs="Courier New" w:eastAsia="Courier New" w:hAnsi="Courier New"/>
          <w:color w:val="1B2A4A"/>
          <w:sz w:val="16"/>
          <w:szCs w:val="16"/>
        </w:rPr>
        <w:t xml:space="preserve">    "stat2n": "30+",</w:t>
      </w:r>
    </w:p>
    <w:p>
      <w:pPr>
        <w:shd w:fill="F0F0F0" w:val="clear"/>
        <w:spacing w:after="14" w:before="14"/>
        <w:ind w:left="360"/>
      </w:pPr>
      <w:r>
        <w:rPr>
          <w:rFonts w:ascii="Courier New" w:cs="Courier New" w:eastAsia="Courier New" w:hAnsi="Courier New"/>
          <w:color w:val="1B2A4A"/>
          <w:sz w:val="16"/>
          <w:szCs w:val="16"/>
        </w:rPr>
        <w:t xml:space="preserve">    "stat2l": "Primary interviews per Africa food mandate",</w:t>
      </w:r>
    </w:p>
    <w:p>
      <w:pPr>
        <w:shd w:fill="F0F0F0" w:val="clear"/>
        <w:spacing w:after="14" w:before="14"/>
        <w:ind w:left="360"/>
      </w:pPr>
      <w:r>
        <w:rPr>
          <w:rFonts w:ascii="Courier New" w:cs="Courier New" w:eastAsia="Courier New" w:hAnsi="Courier New"/>
          <w:color w:val="1B2A4A"/>
          <w:sz w:val="16"/>
          <w:szCs w:val="16"/>
        </w:rPr>
        <w:t xml:space="preserve">    "stat2b": "African consumers, modern trade buyers, and food distributors — every engagement grounded in direct primary research.",</w:t>
      </w:r>
    </w:p>
    <w:p>
      <w:pPr>
        <w:shd w:fill="F0F0F0" w:val="clear"/>
        <w:spacing w:after="14" w:before="14"/>
        <w:ind w:left="360"/>
      </w:pPr>
      <w:r>
        <w:rPr>
          <w:rFonts w:ascii="Courier New" w:cs="Courier New" w:eastAsia="Courier New" w:hAnsi="Courier New"/>
          <w:color w:val="1B2A4A"/>
          <w:sz w:val="16"/>
          <w:szCs w:val="16"/>
        </w:rPr>
        <w:t xml:space="preserve">    "stat3n": "8 weeks",</w:t>
      </w:r>
    </w:p>
    <w:p>
      <w:pPr>
        <w:shd w:fill="F0F0F0" w:val="clear"/>
        <w:spacing w:after="14" w:before="14"/>
        <w:ind w:left="360"/>
      </w:pPr>
      <w:r>
        <w:rPr>
          <w:rFonts w:ascii="Courier New" w:cs="Courier New" w:eastAsia="Courier New" w:hAnsi="Courier New"/>
          <w:color w:val="1B2A4A"/>
          <w:sz w:val="16"/>
          <w:szCs w:val="16"/>
        </w:rPr>
        <w:t xml:space="preserve">    "stat3l": "Africa food and beverage market entry strategy",</w:t>
      </w:r>
    </w:p>
    <w:p>
      <w:pPr>
        <w:shd w:fill="F0F0F0" w:val="clear"/>
        <w:spacing w:after="14" w:before="14"/>
        <w:ind w:left="360"/>
      </w:pPr>
      <w:r>
        <w:rPr>
          <w:rFonts w:ascii="Courier New" w:cs="Courier New" w:eastAsia="Courier New" w:hAnsi="Courier New"/>
          <w:color w:val="1B2A4A"/>
          <w:sz w:val="16"/>
          <w:szCs w:val="16"/>
        </w:rPr>
        <w:t xml:space="preserve">    "stat3b": "AI-augmented consumer demand research and NAFDAC regulatory mapping delivers Africa food strategies efficiently."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"slug": "southeast-asia-food-beverage",</w:t>
      </w:r>
    </w:p>
    <w:p>
      <w:pPr>
        <w:shd w:fill="F0F0F0" w:val="clear"/>
        <w:spacing w:after="14" w:before="14"/>
        <w:ind w:left="360"/>
      </w:pPr>
      <w:r>
        <w:rPr>
          <w:rFonts w:ascii="Courier New" w:cs="Courier New" w:eastAsia="Courier New" w:hAnsi="Courier New"/>
          <w:color w:val="1B2A4A"/>
          <w:sz w:val="16"/>
          <w:szCs w:val="16"/>
        </w:rPr>
        <w:t xml:space="preserve">    "parent": "food-beverage",</w:t>
      </w:r>
    </w:p>
    <w:p>
      <w:pPr>
        <w:shd w:fill="F0F0F0" w:val="clear"/>
        <w:spacing w:after="14" w:before="14"/>
        <w:ind w:left="360"/>
      </w:pPr>
      <w:r>
        <w:rPr>
          <w:rFonts w:ascii="Courier New" w:cs="Courier New" w:eastAsia="Courier New" w:hAnsi="Courier New"/>
          <w:color w:val="1B2A4A"/>
          <w:sz w:val="16"/>
          <w:szCs w:val="16"/>
        </w:rPr>
        <w:t xml:space="preserve">    "title": "Southeast Asia Food &amp; Beverage Market Entry | GreyRadius",</w:t>
      </w:r>
    </w:p>
    <w:p>
      <w:pPr>
        <w:shd w:fill="F0F0F0" w:val="clear"/>
        <w:spacing w:after="14" w:before="14"/>
        <w:ind w:left="360"/>
      </w:pPr>
      <w:r>
        <w:rPr>
          <w:rFonts w:ascii="Courier New" w:cs="Courier New" w:eastAsia="Courier New" w:hAnsi="Courier New"/>
          <w:color w:val="1B2A4A"/>
          <w:sz w:val="16"/>
          <w:szCs w:val="16"/>
        </w:rPr>
        <w:t xml:space="preserve">    "meta": "GreyRadius helps international food and beverage companies enter Southeast Asia with Indonesia BPJPH halal certification, BPOM regulatory mapping, and modern trade distribution strategy.",</w:t>
      </w:r>
    </w:p>
    <w:p>
      <w:pPr>
        <w:shd w:fill="F0F0F0" w:val="clear"/>
        <w:spacing w:after="14" w:before="14"/>
        <w:ind w:left="360"/>
      </w:pPr>
      <w:r>
        <w:rPr>
          <w:rFonts w:ascii="Courier New" w:cs="Courier New" w:eastAsia="Courier New" w:hAnsi="Courier New"/>
          <w:color w:val="1B2A4A"/>
          <w:sz w:val="16"/>
          <w:szCs w:val="16"/>
        </w:rPr>
        <w:t xml:space="preserve">    "h1": "Southeast Asia food and beverage market entry strategy",</w:t>
      </w:r>
    </w:p>
    <w:p>
      <w:pPr>
        <w:shd w:fill="F0F0F0" w:val="clear"/>
        <w:spacing w:after="14" w:before="14"/>
        <w:ind w:left="360"/>
      </w:pPr>
      <w:r>
        <w:rPr>
          <w:rFonts w:ascii="Courier New" w:cs="Courier New" w:eastAsia="Courier New" w:hAnsi="Courier New"/>
          <w:color w:val="1B2A4A"/>
          <w:sz w:val="16"/>
          <w:szCs w:val="16"/>
        </w:rPr>
        <w:t xml:space="preserve">    "tagline": "From international food brand to Southeast Asian consumer — strategy for food and beverage companies entering ASEAN.",</w:t>
      </w:r>
    </w:p>
    <w:p>
      <w:pPr>
        <w:shd w:fill="F0F0F0" w:val="clear"/>
        <w:spacing w:after="14" w:before="14"/>
        <w:ind w:left="360"/>
      </w:pPr>
      <w:r>
        <w:rPr>
          <w:rFonts w:ascii="Courier New" w:cs="Courier New" w:eastAsia="Courier New" w:hAnsi="Courier New"/>
          <w:color w:val="1B2A4A"/>
          <w:sz w:val="16"/>
          <w:szCs w:val="16"/>
        </w:rPr>
        <w:t xml:space="preserve">    "hero": "Southeast Asia's food and beverage market is one of the world's most commercially attractive — with 700 million consumers, Southeast Asia's growing middle class increasing packaged food and premium beverage spending, halal certification creating a quality signal for 240 million Muslim consumers across Indonesia and Malaysia, and food e-commerce creating accessible distribution infrastructure. International food and beverage companies across packaged foods, beverages, health foods, and food technology are all evaluating Southeast Asia as a priority market. GreyRadius helps food companies validate ASEAN consumer demand, navigate Indonesia BPOM, Singapore AVA, and country-specific regulatory requirements, identify distribution partners, and execute market entry.",</w:t>
      </w:r>
    </w:p>
    <w:p>
      <w:pPr>
        <w:shd w:fill="F0F0F0" w:val="clear"/>
        <w:spacing w:after="14" w:before="14"/>
        <w:ind w:left="360"/>
      </w:pPr>
      <w:r>
        <w:rPr>
          <w:rFonts w:ascii="Courier New" w:cs="Courier New" w:eastAsia="Courier New" w:hAnsi="Courier New"/>
          <w:color w:val="1B2A4A"/>
          <w:sz w:val="16"/>
          <w:szCs w:val="16"/>
        </w:rPr>
        <w:t xml:space="preserve">    "market_timing": "Indonesia's halal certification requirement under Law 33/2014 is creating mandatory halal compliance for all food products sold in Indonesia — international food brands that achieve Indonesia BPJPH halal certification now will avoid certification backlog as enforcement tightens. Halal-certified brands also gain a quality trust signal among Indonesian and Malaysian Muslim consumers that accelerates modern trade adoption.",</w:t>
      </w:r>
    </w:p>
    <w:p>
      <w:pPr>
        <w:shd w:fill="F0F0F0" w:val="clear"/>
        <w:spacing w:after="14" w:before="14"/>
        <w:ind w:left="360"/>
      </w:pPr>
      <w:r>
        <w:rPr>
          <w:rFonts w:ascii="Courier New" w:cs="Courier New" w:eastAsia="Courier New" w:hAnsi="Courier New"/>
          <w:color w:val="1B2A4A"/>
          <w:sz w:val="16"/>
          <w:szCs w:val="16"/>
        </w:rPr>
        <w:t xml:space="preserve">    "insights": [</w:t>
      </w:r>
    </w:p>
    <w:p>
      <w:pPr>
        <w:shd w:fill="F0F0F0" w:val="clear"/>
        <w:spacing w:after="14" w:before="14"/>
        <w:ind w:left="360"/>
      </w:pPr>
      <w:r>
        <w:rPr>
          <w:rFonts w:ascii="Courier New" w:cs="Courier New" w:eastAsia="Courier New" w:hAnsi="Courier New"/>
          <w:color w:val="1B2A4A"/>
          <w:sz w:val="16"/>
          <w:szCs w:val="16"/>
        </w:rPr>
        <w:t xml:space="preserve">      "Southeast Asia food market is projected to reach $800B by 2030 — growing at 8% annually as middle class expansion, modern trade growth, and food premiumisation all drive demand.",</w:t>
      </w:r>
    </w:p>
    <w:p>
      <w:pPr>
        <w:shd w:fill="F0F0F0" w:val="clear"/>
        <w:spacing w:after="14" w:before="14"/>
        <w:ind w:left="360"/>
      </w:pPr>
      <w:r>
        <w:rPr>
          <w:rFonts w:ascii="Courier New" w:cs="Courier New" w:eastAsia="Courier New" w:hAnsi="Courier New"/>
          <w:color w:val="1B2A4A"/>
          <w:sz w:val="16"/>
          <w:szCs w:val="16"/>
        </w:rPr>
        <w:t xml:space="preserve">      "Indonesia is Southeast Asia's largest food market — 270 million consumers, Indomaret and Alfamart modern trade networks reaching every city, and halal certification creating the essential compliance requirement.",</w:t>
      </w:r>
    </w:p>
    <w:p>
      <w:pPr>
        <w:shd w:fill="F0F0F0" w:val="clear"/>
        <w:spacing w:after="14" w:before="14"/>
        <w:ind w:left="360"/>
      </w:pPr>
      <w:r>
        <w:rPr>
          <w:rFonts w:ascii="Courier New" w:cs="Courier New" w:eastAsia="Courier New" w:hAnsi="Courier New"/>
          <w:color w:val="1B2A4A"/>
          <w:sz w:val="16"/>
          <w:szCs w:val="16"/>
        </w:rPr>
        <w:t xml:space="preserve">      "Singapore is Southeast Asia's premium food gateway — AVA-regulated import standards, sophisticated consumer preferences, and regional brand launch platform making Singapore the first entry point for premium international food brands.",</w:t>
      </w:r>
    </w:p>
    <w:p>
      <w:pPr>
        <w:shd w:fill="F0F0F0" w:val="clear"/>
        <w:spacing w:after="14" w:before="14"/>
        <w:ind w:left="360"/>
      </w:pPr>
      <w:r>
        <w:rPr>
          <w:rFonts w:ascii="Courier New" w:cs="Courier New" w:eastAsia="Courier New" w:hAnsi="Courier New"/>
          <w:color w:val="1B2A4A"/>
          <w:sz w:val="16"/>
          <w:szCs w:val="16"/>
        </w:rPr>
        <w:t xml:space="preserve">      "Health food is growing at 20% in Southeast Asia — fortified foods, plant-based products, and functional beverages all seeing rapid adoption as middle class consumers prioritise health."</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"challenges_market": [</w:t>
      </w:r>
    </w:p>
    <w:p>
      <w:pPr>
        <w:shd w:fill="F0F0F0" w:val="clear"/>
        <w:spacing w:after="14" w:before="14"/>
        <w:ind w:left="360"/>
      </w:pPr>
      <w:r>
        <w:rPr>
          <w:rFonts w:ascii="Courier New" w:cs="Courier New" w:eastAsia="Courier New" w:hAnsi="Courier New"/>
          <w:color w:val="1B2A4A"/>
          <w:sz w:val="16"/>
          <w:szCs w:val="16"/>
        </w:rPr>
        <w:t xml:space="preserve">      "BPJPH halal certification in Indonesia is mandatory for food products — certification process requires product testing, facility inspection, and ongoing renewal.",</w:t>
      </w:r>
    </w:p>
    <w:p>
      <w:pPr>
        <w:shd w:fill="F0F0F0" w:val="clear"/>
        <w:spacing w:after="14" w:before="14"/>
        <w:ind w:left="360"/>
      </w:pPr>
      <w:r>
        <w:rPr>
          <w:rFonts w:ascii="Courier New" w:cs="Courier New" w:eastAsia="Courier New" w:hAnsi="Courier New"/>
          <w:color w:val="1B2A4A"/>
          <w:sz w:val="16"/>
          <w:szCs w:val="16"/>
        </w:rPr>
        <w:t xml:space="preserve">      "Food product registration requirements vary across ASEAN — Indonesia BPOM, Singapore AVA, Thailand FDA, and Vietnam MARD all have different import registration processes.",</w:t>
      </w:r>
    </w:p>
    <w:p>
      <w:pPr>
        <w:shd w:fill="F0F0F0" w:val="clear"/>
        <w:spacing w:after="14" w:before="14"/>
        <w:ind w:left="360"/>
      </w:pPr>
      <w:r>
        <w:rPr>
          <w:rFonts w:ascii="Courier New" w:cs="Courier New" w:eastAsia="Courier New" w:hAnsi="Courier New"/>
          <w:color w:val="1B2A4A"/>
          <w:sz w:val="16"/>
          <w:szCs w:val="16"/>
        </w:rPr>
        <w:t xml:space="preserve">      "Modern trade distributor relationships are key — Indomaret in Indonesia, Lotus's in Thailand, and Cold Storage in Singapore all require established distributor relationships.",</w:t>
      </w:r>
    </w:p>
    <w:p>
      <w:pPr>
        <w:shd w:fill="F0F0F0" w:val="clear"/>
        <w:spacing w:after="14" w:before="14"/>
        <w:ind w:left="360"/>
      </w:pPr>
      <w:r>
        <w:rPr>
          <w:rFonts w:ascii="Courier New" w:cs="Courier New" w:eastAsia="Courier New" w:hAnsi="Courier New"/>
          <w:color w:val="1B2A4A"/>
          <w:sz w:val="16"/>
          <w:szCs w:val="16"/>
        </w:rPr>
        <w:t xml:space="preserve">      "Southeast Asian taste preferences differ significantly by market — Indonesian, Thai, Vietnamese, and Filipino preferences each require market-specific product adaptation."</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"challenges_we_solve": [</w:t>
      </w:r>
    </w:p>
    <w:p>
      <w:pPr>
        <w:shd w:fill="F0F0F0" w:val="clear"/>
        <w:spacing w:after="14" w:before="14"/>
        <w:ind w:left="360"/>
      </w:pPr>
      <w:r>
        <w:rPr>
          <w:rFonts w:ascii="Courier New" w:cs="Courier New" w:eastAsia="Courier New" w:hAnsi="Courier New"/>
          <w:color w:val="1B2A4A"/>
          <w:sz w:val="16"/>
          <w:szCs w:val="16"/>
        </w:rPr>
        <w:t xml:space="preserve">      "Southeast Asia food consumer demand validation|You need to validate ASEAN consumer demand and taste preferences for your food product across target markets.",</w:t>
      </w:r>
    </w:p>
    <w:p>
      <w:pPr>
        <w:shd w:fill="F0F0F0" w:val="clear"/>
        <w:spacing w:after="14" w:before="14"/>
        <w:ind w:left="360"/>
      </w:pPr>
      <w:r>
        <w:rPr>
          <w:rFonts w:ascii="Courier New" w:cs="Courier New" w:eastAsia="Courier New" w:hAnsi="Courier New"/>
          <w:color w:val="1B2A4A"/>
          <w:sz w:val="16"/>
          <w:szCs w:val="16"/>
        </w:rPr>
        <w:t xml:space="preserve">      "BPJPH halal and country food regulatory pathway|You need to understand Indonesia BPJPH halal certification, BPOM registration, and country-specific food import requirements.",</w:t>
      </w:r>
    </w:p>
    <w:p>
      <w:pPr>
        <w:shd w:fill="F0F0F0" w:val="clear"/>
        <w:spacing w:after="14" w:before="14"/>
        <w:ind w:left="360"/>
      </w:pPr>
      <w:r>
        <w:rPr>
          <w:rFonts w:ascii="Courier New" w:cs="Courier New" w:eastAsia="Courier New" w:hAnsi="Courier New"/>
          <w:color w:val="1B2A4A"/>
          <w:sz w:val="16"/>
          <w:szCs w:val="16"/>
        </w:rPr>
        <w:t xml:space="preserve">      "Southeast Asia food distribution partner identification|You need distributors with Indomaret, Lotus's, and Cold Storage relationships in target markets.",</w:t>
      </w:r>
    </w:p>
    <w:p>
      <w:pPr>
        <w:shd w:fill="F0F0F0" w:val="clear"/>
        <w:spacing w:after="14" w:before="14"/>
        <w:ind w:left="360"/>
      </w:pPr>
      <w:r>
        <w:rPr>
          <w:rFonts w:ascii="Courier New" w:cs="Courier New" w:eastAsia="Courier New" w:hAnsi="Courier New"/>
          <w:color w:val="1B2A4A"/>
          <w:sz w:val="16"/>
          <w:szCs w:val="16"/>
        </w:rPr>
        <w:t xml:space="preserve">      "Southeast Asia food GTM strategy|You need a Singapore-first premium positioning or Indonesia-first volume strategy for ASEAN food entry.",</w:t>
      </w:r>
    </w:p>
    <w:p>
      <w:pPr>
        <w:shd w:fill="F0F0F0" w:val="clear"/>
        <w:spacing w:after="14" w:before="14"/>
        <w:ind w:left="360"/>
      </w:pPr>
      <w:r>
        <w:rPr>
          <w:rFonts w:ascii="Courier New" w:cs="Courier New" w:eastAsia="Courier New" w:hAnsi="Courier New"/>
          <w:color w:val="1B2A4A"/>
          <w:sz w:val="16"/>
          <w:szCs w:val="16"/>
        </w:rPr>
        <w:t xml:space="preserve">      "Raising capital for Southeast Asia food investment|You need a pitch book grounded in ASEAN food market data and halal consumer demand analysis.",</w:t>
      </w:r>
    </w:p>
    <w:p>
      <w:pPr>
        <w:shd w:fill="F0F0F0" w:val="clear"/>
        <w:spacing w:after="14" w:before="14"/>
        <w:ind w:left="360"/>
      </w:pPr>
      <w:r>
        <w:rPr>
          <w:rFonts w:ascii="Courier New" w:cs="Courier New" w:eastAsia="Courier New" w:hAnsi="Courier New"/>
          <w:color w:val="1B2A4A"/>
          <w:sz w:val="16"/>
          <w:szCs w:val="16"/>
        </w:rPr>
        <w:t xml:space="preserve">      "Halal certification strategy|You need an Indonesia BPJPH halal certification pathway that also satisfies Malaysia JAKIM requirements."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"service_angles": [</w:t>
      </w:r>
    </w:p>
    <w:p>
      <w:pPr>
        <w:shd w:fill="F0F0F0" w:val="clear"/>
        <w:spacing w:after="14" w:before="14"/>
        <w:ind w:left="360"/>
      </w:pPr>
      <w:r>
        <w:rPr>
          <w:rFonts w:ascii="Courier New" w:cs="Courier New" w:eastAsia="Courier New" w:hAnsi="Courier New"/>
          <w:color w:val="1B2A4A"/>
          <w:sz w:val="16"/>
          <w:szCs w:val="16"/>
        </w:rPr>
        <w:t xml:space="preserve">      "Validate Southeast Asian consumer demand for your food product with taste research and BPJPH regulatory mapping.",</w:t>
      </w:r>
    </w:p>
    <w:p>
      <w:pPr>
        <w:shd w:fill="F0F0F0" w:val="clear"/>
        <w:spacing w:after="14" w:before="14"/>
        <w:ind w:left="360"/>
      </w:pPr>
      <w:r>
        <w:rPr>
          <w:rFonts w:ascii="Courier New" w:cs="Courier New" w:eastAsia="Courier New" w:hAnsi="Courier New"/>
          <w:color w:val="1B2A4A"/>
          <w:sz w:val="16"/>
          <w:szCs w:val="16"/>
        </w:rPr>
        <w:t xml:space="preserve">      "Full financial feasibility for Southeast Asia food investment covering halal certification cost and modern trade distribution economics.",</w:t>
      </w:r>
    </w:p>
    <w:p>
      <w:pPr>
        <w:shd w:fill="F0F0F0" w:val="clear"/>
        <w:spacing w:after="14" w:before="14"/>
        <w:ind w:left="360"/>
      </w:pPr>
      <w:r>
        <w:rPr>
          <w:rFonts w:ascii="Courier New" w:cs="Courier New" w:eastAsia="Courier New" w:hAnsi="Courier New"/>
          <w:color w:val="1B2A4A"/>
          <w:sz w:val="16"/>
          <w:szCs w:val="16"/>
        </w:rPr>
        <w:t xml:space="preserve">      "End-to-end Southeast Asia food market entry including BPJPH pathway, modern trade distributor identification, and first-revenue milestone.",</w:t>
      </w:r>
    </w:p>
    <w:p>
      <w:pPr>
        <w:shd w:fill="F0F0F0" w:val="clear"/>
        <w:spacing w:after="14" w:before="14"/>
        <w:ind w:left="360"/>
      </w:pPr>
      <w:r>
        <w:rPr>
          <w:rFonts w:ascii="Courier New" w:cs="Courier New" w:eastAsia="Courier New" w:hAnsi="Courier New"/>
          <w:color w:val="1B2A4A"/>
          <w:sz w:val="16"/>
          <w:szCs w:val="16"/>
        </w:rPr>
        <w:t xml:space="preserve">      "Embedded Southeast Asia food GTM team covering modern trade buyer and halal certification outreach.",</w:t>
      </w:r>
    </w:p>
    <w:p>
      <w:pPr>
        <w:shd w:fill="F0F0F0" w:val="clear"/>
        <w:spacing w:after="14" w:before="14"/>
        <w:ind w:left="360"/>
      </w:pPr>
      <w:r>
        <w:rPr>
          <w:rFonts w:ascii="Courier New" w:cs="Courier New" w:eastAsia="Courier New" w:hAnsi="Courier New"/>
          <w:color w:val="1B2A4A"/>
          <w:sz w:val="16"/>
          <w:szCs w:val="16"/>
        </w:rPr>
        <w:t xml:space="preserve">      "Investor-ready pitch books for Southeast Asia food investment with halal market and middle class growth narrative.",</w:t>
      </w:r>
    </w:p>
    <w:p>
      <w:pPr>
        <w:shd w:fill="F0F0F0" w:val="clear"/>
        <w:spacing w:after="14" w:before="14"/>
        <w:ind w:left="360"/>
      </w:pPr>
      <w:r>
        <w:rPr>
          <w:rFonts w:ascii="Courier New" w:cs="Courier New" w:eastAsia="Courier New" w:hAnsi="Courier New"/>
          <w:color w:val="1B2A4A"/>
          <w:sz w:val="16"/>
          <w:szCs w:val="16"/>
        </w:rPr>
        <w:t xml:space="preserve">      "AI use-case identification — from halal supply chain traceability to Southeast Asian consumer taste preference prediction."</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"faq": [</w:t>
      </w:r>
    </w:p>
    <w:p>
      <w:pPr>
        <w:shd w:fill="F0F0F0" w:val="clear"/>
        <w:spacing w:after="14" w:before="14"/>
        <w:ind w:left="360"/>
      </w:pPr>
      <w:r>
        <w:rPr>
          <w:rFonts w:ascii="Courier New" w:cs="Courier New" w:eastAsia="Courier New" w:hAnsi="Courier New"/>
          <w:color w:val="1B2A4A"/>
          <w:sz w:val="16"/>
          <w:szCs w:val="16"/>
        </w:rPr>
        <w:t xml:space="preserve">      "Does GreyRadius work with packaged food companies or also with beverage, health food, and food technology companies entering Southeast Asia?|All food categories.",</w:t>
      </w:r>
    </w:p>
    <w:p>
      <w:pPr>
        <w:shd w:fill="F0F0F0" w:val="clear"/>
        <w:spacing w:after="14" w:before="14"/>
        <w:ind w:left="360"/>
      </w:pPr>
      <w:r>
        <w:rPr>
          <w:rFonts w:ascii="Courier New" w:cs="Courier New" w:eastAsia="Courier New" w:hAnsi="Courier New"/>
          <w:color w:val="1B2A4A"/>
          <w:sz w:val="16"/>
          <w:szCs w:val="16"/>
        </w:rPr>
        <w:t xml:space="preserve">      "Which Southeast Asian food markets does GreyRadius prioritise?|Indonesia for halal volume; Singapore for premium launch; Thailand for ASEAN regional distribution hub.",</w:t>
      </w:r>
    </w:p>
    <w:p>
      <w:pPr>
        <w:shd w:fill="F0F0F0" w:val="clear"/>
        <w:spacing w:after="14" w:before="14"/>
        <w:ind w:left="360"/>
      </w:pPr>
      <w:r>
        <w:rPr>
          <w:rFonts w:ascii="Courier New" w:cs="Courier New" w:eastAsia="Courier New" w:hAnsi="Courier New"/>
          <w:color w:val="1B2A4A"/>
          <w:sz w:val="16"/>
          <w:szCs w:val="16"/>
        </w:rPr>
        <w:t xml:space="preserve">      "How long does a Southeast Asia food engagement take?|Typically 8-12 weeks for consumer research, BPJPH regulatory mapping, and distributor identification.",</w:t>
      </w:r>
    </w:p>
    <w:p>
      <w:pPr>
        <w:shd w:fill="F0F0F0" w:val="clear"/>
        <w:spacing w:after="14" w:before="14"/>
        <w:ind w:left="360"/>
      </w:pPr>
      <w:r>
        <w:rPr>
          <w:rFonts w:ascii="Courier New" w:cs="Courier New" w:eastAsia="Courier New" w:hAnsi="Courier New"/>
          <w:color w:val="1B2A4A"/>
          <w:sz w:val="16"/>
          <w:szCs w:val="16"/>
        </w:rPr>
        <w:t xml:space="preserve">      "Can GreyRadius identify Indomaret and Lotus's category buyer contacts for food brands?|Yes."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"keywords": "Southeast Asia food and beverage market entry, Indonesia BPJPH halal consulting, ASEAN food GTM strategy, Singapore food advisory, Southeast Asia packaged food market entry",</w:t>
      </w:r>
    </w:p>
    <w:p>
      <w:pPr>
        <w:shd w:fill="F0F0F0" w:val="clear"/>
        <w:spacing w:after="14" w:before="14"/>
        <w:ind w:left="360"/>
      </w:pPr>
      <w:r>
        <w:rPr>
          <w:rFonts w:ascii="Courier New" w:cs="Courier New" w:eastAsia="Courier New" w:hAnsi="Courier New"/>
          <w:color w:val="1B2A4A"/>
          <w:sz w:val="16"/>
          <w:szCs w:val="16"/>
        </w:rPr>
        <w:t xml:space="preserve">    "regions": "Indonesia — BPJPH halal certified across Indomaret and Alfamart; Singapore — AVA-registered premium food import; Thailand — Lotus's and Big C modern trade",</w:t>
      </w:r>
    </w:p>
    <w:p>
      <w:pPr>
        <w:shd w:fill="F0F0F0" w:val="clear"/>
        <w:spacing w:after="14" w:before="14"/>
        <w:ind w:left="360"/>
      </w:pPr>
      <w:r>
        <w:rPr>
          <w:rFonts w:ascii="Courier New" w:cs="Courier New" w:eastAsia="Courier New" w:hAnsi="Courier New"/>
          <w:color w:val="1B2A4A"/>
          <w:sz w:val="16"/>
          <w:szCs w:val="16"/>
        </w:rPr>
        <w:t xml:space="preserve">    "stat1n": "$800B",</w:t>
      </w:r>
    </w:p>
    <w:p>
      <w:pPr>
        <w:shd w:fill="F0F0F0" w:val="clear"/>
        <w:spacing w:after="14" w:before="14"/>
        <w:ind w:left="360"/>
      </w:pPr>
      <w:r>
        <w:rPr>
          <w:rFonts w:ascii="Courier New" w:cs="Courier New" w:eastAsia="Courier New" w:hAnsi="Courier New"/>
          <w:color w:val="1B2A4A"/>
          <w:sz w:val="16"/>
          <w:szCs w:val="16"/>
        </w:rPr>
        <w:t xml:space="preserve">    "stat1l": "Southeast Asia food market by 2030",</w:t>
      </w:r>
    </w:p>
    <w:p>
      <w:pPr>
        <w:shd w:fill="F0F0F0" w:val="clear"/>
        <w:spacing w:after="14" w:before="14"/>
        <w:ind w:left="360"/>
      </w:pPr>
      <w:r>
        <w:rPr>
          <w:rFonts w:ascii="Courier New" w:cs="Courier New" w:eastAsia="Courier New" w:hAnsi="Courier New"/>
          <w:color w:val="1B2A4A"/>
          <w:sz w:val="16"/>
          <w:szCs w:val="16"/>
        </w:rPr>
        <w:t xml:space="preserve">    "stat1b": "Middle class expansion, modern trade growth, and halal consumer demand driving 8% annual ASEAN food market growth.",</w:t>
      </w:r>
    </w:p>
    <w:p>
      <w:pPr>
        <w:shd w:fill="F0F0F0" w:val="clear"/>
        <w:spacing w:after="14" w:before="14"/>
        <w:ind w:left="360"/>
      </w:pPr>
      <w:r>
        <w:rPr>
          <w:rFonts w:ascii="Courier New" w:cs="Courier New" w:eastAsia="Courier New" w:hAnsi="Courier New"/>
          <w:color w:val="1B2A4A"/>
          <w:sz w:val="16"/>
          <w:szCs w:val="16"/>
        </w:rPr>
        <w:t xml:space="preserve">    "stat2n": "30+",</w:t>
      </w:r>
    </w:p>
    <w:p>
      <w:pPr>
        <w:shd w:fill="F0F0F0" w:val="clear"/>
        <w:spacing w:after="14" w:before="14"/>
        <w:ind w:left="360"/>
      </w:pPr>
      <w:r>
        <w:rPr>
          <w:rFonts w:ascii="Courier New" w:cs="Courier New" w:eastAsia="Courier New" w:hAnsi="Courier New"/>
          <w:color w:val="1B2A4A"/>
          <w:sz w:val="16"/>
          <w:szCs w:val="16"/>
        </w:rPr>
        <w:t xml:space="preserve">    "stat2l": "Primary interviews per Southeast Asia food mandate",</w:t>
      </w:r>
    </w:p>
    <w:p>
      <w:pPr>
        <w:shd w:fill="F0F0F0" w:val="clear"/>
        <w:spacing w:after="14" w:before="14"/>
        <w:ind w:left="360"/>
      </w:pPr>
      <w:r>
        <w:rPr>
          <w:rFonts w:ascii="Courier New" w:cs="Courier New" w:eastAsia="Courier New" w:hAnsi="Courier New"/>
          <w:color w:val="1B2A4A"/>
          <w:sz w:val="16"/>
          <w:szCs w:val="16"/>
        </w:rPr>
        <w:t xml:space="preserve">    "stat2b": "ASEAN consumers, modern trade buyers, and halal certification contacts — every engagement grounded in direct primary research.",</w:t>
      </w:r>
    </w:p>
    <w:p>
      <w:pPr>
        <w:shd w:fill="F0F0F0" w:val="clear"/>
        <w:spacing w:after="14" w:before="14"/>
        <w:ind w:left="360"/>
      </w:pPr>
      <w:r>
        <w:rPr>
          <w:rFonts w:ascii="Courier New" w:cs="Courier New" w:eastAsia="Courier New" w:hAnsi="Courier New"/>
          <w:color w:val="1B2A4A"/>
          <w:sz w:val="16"/>
          <w:szCs w:val="16"/>
        </w:rPr>
        <w:t xml:space="preserve">    "stat3n": "8 weeks",</w:t>
      </w:r>
    </w:p>
    <w:p>
      <w:pPr>
        <w:shd w:fill="F0F0F0" w:val="clear"/>
        <w:spacing w:after="14" w:before="14"/>
        <w:ind w:left="360"/>
      </w:pPr>
      <w:r>
        <w:rPr>
          <w:rFonts w:ascii="Courier New" w:cs="Courier New" w:eastAsia="Courier New" w:hAnsi="Courier New"/>
          <w:color w:val="1B2A4A"/>
          <w:sz w:val="16"/>
          <w:szCs w:val="16"/>
        </w:rPr>
        <w:t xml:space="preserve">    "stat3l": "Southeast Asia food and beverage market entry strategy",</w:t>
      </w:r>
    </w:p>
    <w:p>
      <w:pPr>
        <w:shd w:fill="F0F0F0" w:val="clear"/>
        <w:spacing w:after="14" w:before="14"/>
        <w:ind w:left="360"/>
      </w:pPr>
      <w:r>
        <w:rPr>
          <w:rFonts w:ascii="Courier New" w:cs="Courier New" w:eastAsia="Courier New" w:hAnsi="Courier New"/>
          <w:color w:val="1B2A4A"/>
          <w:sz w:val="16"/>
          <w:szCs w:val="16"/>
        </w:rPr>
        <w:t xml:space="preserve">    "stat3b": "AI-augmented halal regulatory mapping and consumer demand research delivers Southeast Asia food strategies efficiently."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"slug": "africa-hrtech",</w:t>
      </w:r>
    </w:p>
    <w:p>
      <w:pPr>
        <w:shd w:fill="F0F0F0" w:val="clear"/>
        <w:spacing w:after="14" w:before="14"/>
        <w:ind w:left="360"/>
      </w:pPr>
      <w:r>
        <w:rPr>
          <w:rFonts w:ascii="Courier New" w:cs="Courier New" w:eastAsia="Courier New" w:hAnsi="Courier New"/>
          <w:color w:val="1B2A4A"/>
          <w:sz w:val="16"/>
          <w:szCs w:val="16"/>
        </w:rPr>
        <w:t xml:space="preserve">    "parent": "hrtech",</w:t>
      </w:r>
    </w:p>
    <w:p>
      <w:pPr>
        <w:shd w:fill="F0F0F0" w:val="clear"/>
        <w:spacing w:after="14" w:before="14"/>
        <w:ind w:left="360"/>
      </w:pPr>
      <w:r>
        <w:rPr>
          <w:rFonts w:ascii="Courier New" w:cs="Courier New" w:eastAsia="Courier New" w:hAnsi="Courier New"/>
          <w:color w:val="1B2A4A"/>
          <w:sz w:val="16"/>
          <w:szCs w:val="16"/>
        </w:rPr>
        <w:t xml:space="preserve">    "title": "Africa HRtech Market Entry Strategy | GreyRadius",</w:t>
      </w:r>
    </w:p>
    <w:p>
      <w:pPr>
        <w:shd w:fill="F0F0F0" w:val="clear"/>
        <w:spacing w:after="14" w:before="14"/>
        <w:ind w:left="360"/>
      </w:pPr>
      <w:r>
        <w:rPr>
          <w:rFonts w:ascii="Courier New" w:cs="Courier New" w:eastAsia="Courier New" w:hAnsi="Courier New"/>
          <w:color w:val="1B2A4A"/>
          <w:sz w:val="16"/>
          <w:szCs w:val="16"/>
        </w:rPr>
        <w:t xml:space="preserve">    "meta": "GreyRadius helps HRtech companies enter Africa with market entry strategy, SARS payroll compliance mapping, BBBEE administration gap assessment, and enterprise buyer identification across South Africa and Nigeria.",</w:t>
      </w:r>
    </w:p>
    <w:p>
      <w:pPr>
        <w:shd w:fill="F0F0F0" w:val="clear"/>
        <w:spacing w:after="14" w:before="14"/>
        <w:ind w:left="360"/>
      </w:pPr>
      <w:r>
        <w:rPr>
          <w:rFonts w:ascii="Courier New" w:cs="Courier New" w:eastAsia="Courier New" w:hAnsi="Courier New"/>
          <w:color w:val="1B2A4A"/>
          <w:sz w:val="16"/>
          <w:szCs w:val="16"/>
        </w:rPr>
        <w:t xml:space="preserve">    "h1": "Africa HRtech market entry strategy",</w:t>
      </w:r>
    </w:p>
    <w:p>
      <w:pPr>
        <w:shd w:fill="F0F0F0" w:val="clear"/>
        <w:spacing w:after="14" w:before="14"/>
        <w:ind w:left="360"/>
      </w:pPr>
      <w:r>
        <w:rPr>
          <w:rFonts w:ascii="Courier New" w:cs="Courier New" w:eastAsia="Courier New" w:hAnsi="Courier New"/>
          <w:color w:val="1B2A4A"/>
          <w:sz w:val="16"/>
          <w:szCs w:val="16"/>
        </w:rPr>
        <w:t xml:space="preserve">    "tagline": "From international HR technology to African enterprise workforce management — strategy for HRtech companies entering Africa.",</w:t>
      </w:r>
    </w:p>
    <w:p>
      <w:pPr>
        <w:shd w:fill="F0F0F0" w:val="clear"/>
        <w:spacing w:after="14" w:before="14"/>
        <w:ind w:left="360"/>
      </w:pPr>
      <w:r>
        <w:rPr>
          <w:rFonts w:ascii="Courier New" w:cs="Courier New" w:eastAsia="Courier New" w:hAnsi="Courier New"/>
          <w:color w:val="1B2A4A"/>
          <w:sz w:val="16"/>
          <w:szCs w:val="16"/>
        </w:rPr>
        <w:t xml:space="preserve">    "hero": "Africa's HRtech market is growing at extraordinary pace — driven by Africa's formalising workforce requiring payroll, compliance, and talent management technology, South Africa's SARS-compliant payroll and BBBEE compliance creating mandatory HR technology requirements, Nigeria's large corporate workforce requiring modern HRMS, and Africa's mobile-first internet access creating mobile HRtech delivery infrastructure. International HRtech companies across HRMS, payroll, talent acquisition, and workforce management are all evaluating Africa as a priority market. GreyRadius helps HRtech companies validate African enterprise demand, navigate SARS, SETA, and country-specific regulatory requirements, identify channel partners, and execute GTM.",</w:t>
      </w:r>
    </w:p>
    <w:p>
      <w:pPr>
        <w:shd w:fill="F0F0F0" w:val="clear"/>
        <w:spacing w:after="14" w:before="14"/>
        <w:ind w:left="360"/>
      </w:pPr>
      <w:r>
        <w:rPr>
          <w:rFonts w:ascii="Courier New" w:cs="Courier New" w:eastAsia="Courier New" w:hAnsi="Courier New"/>
          <w:color w:val="1B2A4A"/>
          <w:sz w:val="16"/>
          <w:szCs w:val="16"/>
        </w:rPr>
        <w:t xml:space="preserve">    "market_timing": "South Africa's BBBEE compliance reporting and SETA skills levy administration are creating mandatory HR data management requirements that HRMS platforms can serve — companies that position as BBBEE compliance and SDL management platforms access mandatory enterprise spending that is independent of discretionary HR technology budgets.",</w:t>
      </w:r>
    </w:p>
    <w:p>
      <w:pPr>
        <w:shd w:fill="F0F0F0" w:val="clear"/>
        <w:spacing w:after="14" w:before="14"/>
        <w:ind w:left="360"/>
      </w:pPr>
      <w:r>
        <w:rPr>
          <w:rFonts w:ascii="Courier New" w:cs="Courier New" w:eastAsia="Courier New" w:hAnsi="Courier New"/>
          <w:color w:val="1B2A4A"/>
          <w:sz w:val="16"/>
          <w:szCs w:val="16"/>
        </w:rPr>
        <w:t xml:space="preserve">    "insights": [</w:t>
      </w:r>
    </w:p>
    <w:p>
      <w:pPr>
        <w:shd w:fill="F0F0F0" w:val="clear"/>
        <w:spacing w:after="14" w:before="14"/>
        <w:ind w:left="360"/>
      </w:pPr>
      <w:r>
        <w:rPr>
          <w:rFonts w:ascii="Courier New" w:cs="Courier New" w:eastAsia="Courier New" w:hAnsi="Courier New"/>
          <w:color w:val="1B2A4A"/>
          <w:sz w:val="16"/>
          <w:szCs w:val="16"/>
        </w:rPr>
        <w:t xml:space="preserve">      "Africa HRtech market is projected to reach $2B by 2027 — growing at 20% annually as workforce formalisation, payroll compliance, and enterprise talent management all drive adoption.",</w:t>
      </w:r>
    </w:p>
    <w:p>
      <w:pPr>
        <w:shd w:fill="F0F0F0" w:val="clear"/>
        <w:spacing w:after="14" w:before="14"/>
        <w:ind w:left="360"/>
      </w:pPr>
      <w:r>
        <w:rPr>
          <w:rFonts w:ascii="Courier New" w:cs="Courier New" w:eastAsia="Courier New" w:hAnsi="Courier New"/>
          <w:color w:val="1B2A4A"/>
          <w:sz w:val="16"/>
          <w:szCs w:val="16"/>
        </w:rPr>
        <w:t xml:space="preserve">      "South Africa has Africa's most sophisticated HRtech market — SARS payroll compliance, BBBEE administration, and SETA skills levy management all creating mandatory HR technology requirements.",</w:t>
      </w:r>
    </w:p>
    <w:p>
      <w:pPr>
        <w:shd w:fill="F0F0F0" w:val="clear"/>
        <w:spacing w:after="14" w:before="14"/>
        <w:ind w:left="360"/>
      </w:pPr>
      <w:r>
        <w:rPr>
          <w:rFonts w:ascii="Courier New" w:cs="Courier New" w:eastAsia="Courier New" w:hAnsi="Courier New"/>
          <w:color w:val="1B2A4A"/>
          <w:sz w:val="16"/>
          <w:szCs w:val="16"/>
        </w:rPr>
        <w:t xml:space="preserve">      "Nigeria's large corporate workforce is increasingly adopting modern payroll — CBN financial system formalisation and FIRS tax compliance creating digital payroll adoption demand.",</w:t>
      </w:r>
    </w:p>
    <w:p>
      <w:pPr>
        <w:shd w:fill="F0F0F0" w:val="clear"/>
        <w:spacing w:after="14" w:before="14"/>
        <w:ind w:left="360"/>
      </w:pPr>
      <w:r>
        <w:rPr>
          <w:rFonts w:ascii="Courier New" w:cs="Courier New" w:eastAsia="Courier New" w:hAnsi="Courier New"/>
          <w:color w:val="1B2A4A"/>
          <w:sz w:val="16"/>
          <w:szCs w:val="16"/>
        </w:rPr>
        <w:t xml:space="preserve">      "Mobile-first HRtech is growing across Africa — mobile self-service for leave, payslips, and performance creating engagement with African employees who access everything on mobile."</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"challenges_market": [</w:t>
      </w:r>
    </w:p>
    <w:p>
      <w:pPr>
        <w:shd w:fill="F0F0F0" w:val="clear"/>
        <w:spacing w:after="14" w:before="14"/>
        <w:ind w:left="360"/>
      </w:pPr>
      <w:r>
        <w:rPr>
          <w:rFonts w:ascii="Courier New" w:cs="Courier New" w:eastAsia="Courier New" w:hAnsi="Courier New"/>
          <w:color w:val="1B2A4A"/>
          <w:sz w:val="16"/>
          <w:szCs w:val="16"/>
        </w:rPr>
        <w:t xml:space="preserve">      "South Africa SARS payroll compliance is complex — PAYE, UIF, SDL, and IRP5 certificate requirements all need SARS integration that international HRMS platforms rarely have built in.",</w:t>
      </w:r>
    </w:p>
    <w:p>
      <w:pPr>
        <w:shd w:fill="F0F0F0" w:val="clear"/>
        <w:spacing w:after="14" w:before="14"/>
        <w:ind w:left="360"/>
      </w:pPr>
      <w:r>
        <w:rPr>
          <w:rFonts w:ascii="Courier New" w:cs="Courier New" w:eastAsia="Courier New" w:hAnsi="Courier New"/>
          <w:color w:val="1B2A4A"/>
          <w:sz w:val="16"/>
          <w:szCs w:val="16"/>
        </w:rPr>
        <w:t xml:space="preserve">      "Nigeria payroll complexity requires local expertise — PAYE across 36 states with different rates, pension fund administration, and NSITF compliance require Nigeria-specific capability.",</w:t>
      </w:r>
    </w:p>
    <w:p>
      <w:pPr>
        <w:shd w:fill="F0F0F0" w:val="clear"/>
        <w:spacing w:after="14" w:before="14"/>
        <w:ind w:left="360"/>
      </w:pPr>
      <w:r>
        <w:rPr>
          <w:rFonts w:ascii="Courier New" w:cs="Courier New" w:eastAsia="Courier New" w:hAnsi="Courier New"/>
          <w:color w:val="1B2A4A"/>
          <w:sz w:val="16"/>
          <w:szCs w:val="16"/>
        </w:rPr>
        <w:t xml:space="preserve">      "Competition from established Africa HRtech companies — Sage HR Africa, People Dynamics — with deep compliance knowledge is intense.",</w:t>
      </w:r>
    </w:p>
    <w:p>
      <w:pPr>
        <w:shd w:fill="F0F0F0" w:val="clear"/>
        <w:spacing w:after="14" w:before="14"/>
        <w:ind w:left="360"/>
      </w:pPr>
      <w:r>
        <w:rPr>
          <w:rFonts w:ascii="Courier New" w:cs="Courier New" w:eastAsia="Courier New" w:hAnsi="Courier New"/>
          <w:color w:val="1B2A4A"/>
          <w:sz w:val="16"/>
          <w:szCs w:val="16"/>
        </w:rPr>
        <w:t xml:space="preserve">      "Africa HRtech price sensitivity requires Africa-specific commercial models — enterprise pricing at African budget levels requires significant localisation."</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"challenges_we_solve": [</w:t>
      </w:r>
    </w:p>
    <w:p>
      <w:pPr>
        <w:shd w:fill="F0F0F0" w:val="clear"/>
        <w:spacing w:after="14" w:before="14"/>
        <w:ind w:left="360"/>
      </w:pPr>
      <w:r>
        <w:rPr>
          <w:rFonts w:ascii="Courier New" w:cs="Courier New" w:eastAsia="Courier New" w:hAnsi="Courier New"/>
          <w:color w:val="1B2A4A"/>
          <w:sz w:val="16"/>
          <w:szCs w:val="16"/>
        </w:rPr>
        <w:t xml:space="preserve">      "Africa HRtech demand validation|You need to validate African enterprise HR buyer demand and understand SARS and FIRS compliance requirements.",</w:t>
      </w:r>
    </w:p>
    <w:p>
      <w:pPr>
        <w:shd w:fill="F0F0F0" w:val="clear"/>
        <w:spacing w:after="14" w:before="14"/>
        <w:ind w:left="360"/>
      </w:pPr>
      <w:r>
        <w:rPr>
          <w:rFonts w:ascii="Courier New" w:cs="Courier New" w:eastAsia="Courier New" w:hAnsi="Courier New"/>
          <w:color w:val="1B2A4A"/>
          <w:sz w:val="16"/>
          <w:szCs w:val="16"/>
        </w:rPr>
        <w:t xml:space="preserve">      "South Africa SARS and BBBEE compliance gap assessment|You need to understand PAYE, SDL, BBBEE compliance gaps in your platform for South Africa market readiness.",</w:t>
      </w:r>
    </w:p>
    <w:p>
      <w:pPr>
        <w:shd w:fill="F0F0F0" w:val="clear"/>
        <w:spacing w:after="14" w:before="14"/>
        <w:ind w:left="360"/>
      </w:pPr>
      <w:r>
        <w:rPr>
          <w:rFonts w:ascii="Courier New" w:cs="Courier New" w:eastAsia="Courier New" w:hAnsi="Courier New"/>
          <w:color w:val="1B2A4A"/>
          <w:sz w:val="16"/>
          <w:szCs w:val="16"/>
        </w:rPr>
        <w:t xml:space="preserve">      "Africa HRtech channel partner identification|You need payroll bureau partners, HR consulting firms, and SETA-accredited training companies as channels.",</w:t>
      </w:r>
    </w:p>
    <w:p>
      <w:pPr>
        <w:shd w:fill="F0F0F0" w:val="clear"/>
        <w:spacing w:after="14" w:before="14"/>
        <w:ind w:left="360"/>
      </w:pPr>
      <w:r>
        <w:rPr>
          <w:rFonts w:ascii="Courier New" w:cs="Courier New" w:eastAsia="Courier New" w:hAnsi="Courier New"/>
          <w:color w:val="1B2A4A"/>
          <w:sz w:val="16"/>
          <w:szCs w:val="16"/>
        </w:rPr>
        <w:t xml:space="preserve">      "Africa HRtech GTM strategy|You need a South Africa-first BBBEE compliance positioning and Nigeria corporate payroll expansion plan.",</w:t>
      </w:r>
    </w:p>
    <w:p>
      <w:pPr>
        <w:shd w:fill="F0F0F0" w:val="clear"/>
        <w:spacing w:after="14" w:before="14"/>
        <w:ind w:left="360"/>
      </w:pPr>
      <w:r>
        <w:rPr>
          <w:rFonts w:ascii="Courier New" w:cs="Courier New" w:eastAsia="Courier New" w:hAnsi="Courier New"/>
          <w:color w:val="1B2A4A"/>
          <w:sz w:val="16"/>
          <w:szCs w:val="16"/>
        </w:rPr>
        <w:t xml:space="preserve">      "Raising capital for Africa HRtech investment|You need a pitch book grounded in Africa HRtech market data and payroll compliance driver analysis.",</w:t>
      </w:r>
    </w:p>
    <w:p>
      <w:pPr>
        <w:shd w:fill="F0F0F0" w:val="clear"/>
        <w:spacing w:after="14" w:before="14"/>
        <w:ind w:left="360"/>
      </w:pPr>
      <w:r>
        <w:rPr>
          <w:rFonts w:ascii="Courier New" w:cs="Courier New" w:eastAsia="Courier New" w:hAnsi="Courier New"/>
          <w:color w:val="1B2A4A"/>
          <w:sz w:val="16"/>
          <w:szCs w:val="16"/>
        </w:rPr>
        <w:t xml:space="preserve">      "SARS and FIRS compliance integration roadmap|You need a specific technical roadmap for implementing South Africa and Nigeria payroll compliance."</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"service_angles": [</w:t>
      </w:r>
    </w:p>
    <w:p>
      <w:pPr>
        <w:shd w:fill="F0F0F0" w:val="clear"/>
        <w:spacing w:after="14" w:before="14"/>
        <w:ind w:left="360"/>
      </w:pPr>
      <w:r>
        <w:rPr>
          <w:rFonts w:ascii="Courier New" w:cs="Courier New" w:eastAsia="Courier New" w:hAnsi="Courier New"/>
          <w:color w:val="1B2A4A"/>
          <w:sz w:val="16"/>
          <w:szCs w:val="16"/>
        </w:rPr>
        <w:t xml:space="preserve">      "Validate African enterprise HR buyer demand with CHRO interviews and SARS compliance assessment.",</w:t>
      </w:r>
    </w:p>
    <w:p>
      <w:pPr>
        <w:shd w:fill="F0F0F0" w:val="clear"/>
        <w:spacing w:after="14" w:before="14"/>
        <w:ind w:left="360"/>
      </w:pPr>
      <w:r>
        <w:rPr>
          <w:rFonts w:ascii="Courier New" w:cs="Courier New" w:eastAsia="Courier New" w:hAnsi="Courier New"/>
          <w:color w:val="1B2A4A"/>
          <w:sz w:val="16"/>
          <w:szCs w:val="16"/>
        </w:rPr>
        <w:t xml:space="preserve">      "Full financial feasibility for Africa HRtech investment covering compliance development and enterprise sales economics.",</w:t>
      </w:r>
    </w:p>
    <w:p>
      <w:pPr>
        <w:shd w:fill="F0F0F0" w:val="clear"/>
        <w:spacing w:after="14" w:before="14"/>
        <w:ind w:left="360"/>
      </w:pPr>
      <w:r>
        <w:rPr>
          <w:rFonts w:ascii="Courier New" w:cs="Courier New" w:eastAsia="Courier New" w:hAnsi="Courier New"/>
          <w:color w:val="1B2A4A"/>
          <w:sz w:val="16"/>
          <w:szCs w:val="16"/>
        </w:rPr>
        <w:t xml:space="preserve">      "End-to-end Africa HRtech market entry including compliance roadmap, channel partner identification, and first-enterprise-ARR milestone.",</w:t>
      </w:r>
    </w:p>
    <w:p>
      <w:pPr>
        <w:shd w:fill="F0F0F0" w:val="clear"/>
        <w:spacing w:after="14" w:before="14"/>
        <w:ind w:left="360"/>
      </w:pPr>
      <w:r>
        <w:rPr>
          <w:rFonts w:ascii="Courier New" w:cs="Courier New" w:eastAsia="Courier New" w:hAnsi="Courier New"/>
          <w:color w:val="1B2A4A"/>
          <w:sz w:val="16"/>
          <w:szCs w:val="16"/>
        </w:rPr>
        <w:t xml:space="preserve">      "Embedded Africa HRtech GTM team covering corporate HR and compliance partner outreach.",</w:t>
      </w:r>
    </w:p>
    <w:p>
      <w:pPr>
        <w:shd w:fill="F0F0F0" w:val="clear"/>
        <w:spacing w:after="14" w:before="14"/>
        <w:ind w:left="360"/>
      </w:pPr>
      <w:r>
        <w:rPr>
          <w:rFonts w:ascii="Courier New" w:cs="Courier New" w:eastAsia="Courier New" w:hAnsi="Courier New"/>
          <w:color w:val="1B2A4A"/>
          <w:sz w:val="16"/>
          <w:szCs w:val="16"/>
        </w:rPr>
        <w:t xml:space="preserve">      "Investor-ready pitch books for Africa HRtech investment with BBBEE compliance and payroll formalisation narrative.",</w:t>
      </w:r>
    </w:p>
    <w:p>
      <w:pPr>
        <w:shd w:fill="F0F0F0" w:val="clear"/>
        <w:spacing w:after="14" w:before="14"/>
        <w:ind w:left="360"/>
      </w:pPr>
      <w:r>
        <w:rPr>
          <w:rFonts w:ascii="Courier New" w:cs="Courier New" w:eastAsia="Courier New" w:hAnsi="Courier New"/>
          <w:color w:val="1B2A4A"/>
          <w:sz w:val="16"/>
          <w:szCs w:val="16"/>
        </w:rPr>
        <w:t xml:space="preserve">      "AI use-case identification — from African payroll compliance automation to mobile-first employee self-service."</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"faq": [</w:t>
      </w:r>
    </w:p>
    <w:p>
      <w:pPr>
        <w:shd w:fill="F0F0F0" w:val="clear"/>
        <w:spacing w:after="14" w:before="14"/>
        <w:ind w:left="360"/>
      </w:pPr>
      <w:r>
        <w:rPr>
          <w:rFonts w:ascii="Courier New" w:cs="Courier New" w:eastAsia="Courier New" w:hAnsi="Courier New"/>
          <w:color w:val="1B2A4A"/>
          <w:sz w:val="16"/>
          <w:szCs w:val="16"/>
        </w:rPr>
        <w:t xml:space="preserve">      "Does GreyRadius work with HRMS companies or also with talent acquisition, payroll, and performance management companies entering Africa?|All HRtech categories.",</w:t>
      </w:r>
    </w:p>
    <w:p>
      <w:pPr>
        <w:shd w:fill="F0F0F0" w:val="clear"/>
        <w:spacing w:after="14" w:before="14"/>
        <w:ind w:left="360"/>
      </w:pPr>
      <w:r>
        <w:rPr>
          <w:rFonts w:ascii="Courier New" w:cs="Courier New" w:eastAsia="Courier New" w:hAnsi="Courier New"/>
          <w:color w:val="1B2A4A"/>
          <w:sz w:val="16"/>
          <w:szCs w:val="16"/>
        </w:rPr>
        <w:t xml:space="preserve">      "Which African HRtech markets does GreyRadius prioritise?|South Africa for SARS and BBBEE compliance drivers; Nigeria for corporate payroll volume; Kenya for East Africa hub.",</w:t>
      </w:r>
    </w:p>
    <w:p>
      <w:pPr>
        <w:shd w:fill="F0F0F0" w:val="clear"/>
        <w:spacing w:after="14" w:before="14"/>
        <w:ind w:left="360"/>
      </w:pPr>
      <w:r>
        <w:rPr>
          <w:rFonts w:ascii="Courier New" w:cs="Courier New" w:eastAsia="Courier New" w:hAnsi="Courier New"/>
          <w:color w:val="1B2A4A"/>
          <w:sz w:val="16"/>
          <w:szCs w:val="16"/>
        </w:rPr>
        <w:t xml:space="preserve">      "How long does an Africa HRtech engagement take?|Typically 8-10 weeks for enterprise demand research, SARS compliance assessment, and channel partner identification.",</w:t>
      </w:r>
    </w:p>
    <w:p>
      <w:pPr>
        <w:shd w:fill="F0F0F0" w:val="clear"/>
        <w:spacing w:after="14" w:before="14"/>
        <w:ind w:left="360"/>
      </w:pPr>
      <w:r>
        <w:rPr>
          <w:rFonts w:ascii="Courier New" w:cs="Courier New" w:eastAsia="Courier New" w:hAnsi="Courier New"/>
          <w:color w:val="1B2A4A"/>
          <w:sz w:val="16"/>
          <w:szCs w:val="16"/>
        </w:rPr>
        <w:t xml:space="preserve">      "What South Africa payroll compliance features are mandatory?|PAYE, UIF, SDL, and IRP5 integration with SARS are minimum requirements for South Africa enterprise adoption."</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"keywords": "Africa HRtech market entry, South Africa SARS payroll consulting, Nigeria HRMS GTM strategy, BBBEE compliance HRtech advisory, Africa workforce management market entry",</w:t>
      </w:r>
    </w:p>
    <w:p>
      <w:pPr>
        <w:shd w:fill="F0F0F0" w:val="clear"/>
        <w:spacing w:after="14" w:before="14"/>
        <w:ind w:left="360"/>
      </w:pPr>
      <w:r>
        <w:rPr>
          <w:rFonts w:ascii="Courier New" w:cs="Courier New" w:eastAsia="Courier New" w:hAnsi="Courier New"/>
          <w:color w:val="1B2A4A"/>
          <w:sz w:val="16"/>
          <w:szCs w:val="16"/>
        </w:rPr>
        <w:t xml:space="preserve">    "regions": "South Africa — SARS-compliant HRMS across Johannesburg, Cape Town, Durban enterprise; Nigeria — Lagos corporate payroll; Kenya — Nairobi financial services HR",</w:t>
      </w:r>
    </w:p>
    <w:p>
      <w:pPr>
        <w:shd w:fill="F0F0F0" w:val="clear"/>
        <w:spacing w:after="14" w:before="14"/>
        <w:ind w:left="360"/>
      </w:pPr>
      <w:r>
        <w:rPr>
          <w:rFonts w:ascii="Courier New" w:cs="Courier New" w:eastAsia="Courier New" w:hAnsi="Courier New"/>
          <w:color w:val="1B2A4A"/>
          <w:sz w:val="16"/>
          <w:szCs w:val="16"/>
        </w:rPr>
        <w:t xml:space="preserve">    "stat1n": "$2B",</w:t>
      </w:r>
    </w:p>
    <w:p>
      <w:pPr>
        <w:shd w:fill="F0F0F0" w:val="clear"/>
        <w:spacing w:after="14" w:before="14"/>
        <w:ind w:left="360"/>
      </w:pPr>
      <w:r>
        <w:rPr>
          <w:rFonts w:ascii="Courier New" w:cs="Courier New" w:eastAsia="Courier New" w:hAnsi="Courier New"/>
          <w:color w:val="1B2A4A"/>
          <w:sz w:val="16"/>
          <w:szCs w:val="16"/>
        </w:rPr>
        <w:t xml:space="preserve">    "stat1l": "Africa HRtech market by 2027",</w:t>
      </w:r>
    </w:p>
    <w:p>
      <w:pPr>
        <w:shd w:fill="F0F0F0" w:val="clear"/>
        <w:spacing w:after="14" w:before="14"/>
        <w:ind w:left="360"/>
      </w:pPr>
      <w:r>
        <w:rPr>
          <w:rFonts w:ascii="Courier New" w:cs="Courier New" w:eastAsia="Courier New" w:hAnsi="Courier New"/>
          <w:color w:val="1B2A4A"/>
          <w:sz w:val="16"/>
          <w:szCs w:val="16"/>
        </w:rPr>
        <w:t xml:space="preserve">    "stat1b": "Workforce formalisation, payroll compliance, and enterprise talent management driving 20% annual HRtech growth.",</w:t>
      </w:r>
    </w:p>
    <w:p>
      <w:pPr>
        <w:shd w:fill="F0F0F0" w:val="clear"/>
        <w:spacing w:after="14" w:before="14"/>
        <w:ind w:left="360"/>
      </w:pPr>
      <w:r>
        <w:rPr>
          <w:rFonts w:ascii="Courier New" w:cs="Courier New" w:eastAsia="Courier New" w:hAnsi="Courier New"/>
          <w:color w:val="1B2A4A"/>
          <w:sz w:val="16"/>
          <w:szCs w:val="16"/>
        </w:rPr>
        <w:t xml:space="preserve">    "stat2n": "30+",</w:t>
      </w:r>
    </w:p>
    <w:p>
      <w:pPr>
        <w:shd w:fill="F0F0F0" w:val="clear"/>
        <w:spacing w:after="14" w:before="14"/>
        <w:ind w:left="360"/>
      </w:pPr>
      <w:r>
        <w:rPr>
          <w:rFonts w:ascii="Courier New" w:cs="Courier New" w:eastAsia="Courier New" w:hAnsi="Courier New"/>
          <w:color w:val="1B2A4A"/>
          <w:sz w:val="16"/>
          <w:szCs w:val="16"/>
        </w:rPr>
        <w:t xml:space="preserve">    "stat2l": "Primary interviews per Africa HRtech mandate",</w:t>
      </w:r>
    </w:p>
    <w:p>
      <w:pPr>
        <w:shd w:fill="F0F0F0" w:val="clear"/>
        <w:spacing w:after="14" w:before="14"/>
        <w:ind w:left="360"/>
      </w:pPr>
      <w:r>
        <w:rPr>
          <w:rFonts w:ascii="Courier New" w:cs="Courier New" w:eastAsia="Courier New" w:hAnsi="Courier New"/>
          <w:color w:val="1B2A4A"/>
          <w:sz w:val="16"/>
          <w:szCs w:val="16"/>
        </w:rPr>
        <w:t xml:space="preserve">    "stat2b": "African CHROs, payroll compliance heads, and HRtech channel partners — every engagement grounded in direct primary research.",</w:t>
      </w:r>
    </w:p>
    <w:p>
      <w:pPr>
        <w:shd w:fill="F0F0F0" w:val="clear"/>
        <w:spacing w:after="14" w:before="14"/>
        <w:ind w:left="360"/>
      </w:pPr>
      <w:r>
        <w:rPr>
          <w:rFonts w:ascii="Courier New" w:cs="Courier New" w:eastAsia="Courier New" w:hAnsi="Courier New"/>
          <w:color w:val="1B2A4A"/>
          <w:sz w:val="16"/>
          <w:szCs w:val="16"/>
        </w:rPr>
        <w:t xml:space="preserve">    "stat3n": "8 weeks",</w:t>
      </w:r>
    </w:p>
    <w:p>
      <w:pPr>
        <w:shd w:fill="F0F0F0" w:val="clear"/>
        <w:spacing w:after="14" w:before="14"/>
        <w:ind w:left="360"/>
      </w:pPr>
      <w:r>
        <w:rPr>
          <w:rFonts w:ascii="Courier New" w:cs="Courier New" w:eastAsia="Courier New" w:hAnsi="Courier New"/>
          <w:color w:val="1B2A4A"/>
          <w:sz w:val="16"/>
          <w:szCs w:val="16"/>
        </w:rPr>
        <w:t xml:space="preserve">    "stat3l": "Africa HRtech market entry strategy",</w:t>
      </w:r>
    </w:p>
    <w:p>
      <w:pPr>
        <w:shd w:fill="F0F0F0" w:val="clear"/>
        <w:spacing w:after="14" w:before="14"/>
        <w:ind w:left="360"/>
      </w:pPr>
      <w:r>
        <w:rPr>
          <w:rFonts w:ascii="Courier New" w:cs="Courier New" w:eastAsia="Courier New" w:hAnsi="Courier New"/>
          <w:color w:val="1B2A4A"/>
          <w:sz w:val="16"/>
          <w:szCs w:val="16"/>
        </w:rPr>
        <w:t xml:space="preserve">    "stat3b": "AI-augmented compliance assessment and enterprise demand research delivers Africa HRtech strategies efficiently."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"slug": "southeast-asia-hrtech",</w:t>
      </w:r>
    </w:p>
    <w:p>
      <w:pPr>
        <w:shd w:fill="F0F0F0" w:val="clear"/>
        <w:spacing w:after="14" w:before="14"/>
        <w:ind w:left="360"/>
      </w:pPr>
      <w:r>
        <w:rPr>
          <w:rFonts w:ascii="Courier New" w:cs="Courier New" w:eastAsia="Courier New" w:hAnsi="Courier New"/>
          <w:color w:val="1B2A4A"/>
          <w:sz w:val="16"/>
          <w:szCs w:val="16"/>
        </w:rPr>
        <w:t xml:space="preserve">    "parent": "hrtech",</w:t>
      </w:r>
    </w:p>
    <w:p>
      <w:pPr>
        <w:shd w:fill="F0F0F0" w:val="clear"/>
        <w:spacing w:after="14" w:before="14"/>
        <w:ind w:left="360"/>
      </w:pPr>
      <w:r>
        <w:rPr>
          <w:rFonts w:ascii="Courier New" w:cs="Courier New" w:eastAsia="Courier New" w:hAnsi="Courier New"/>
          <w:color w:val="1B2A4A"/>
          <w:sz w:val="16"/>
          <w:szCs w:val="16"/>
        </w:rPr>
        <w:t xml:space="preserve">    "title": "Southeast Asia HRtech Market Entry Strategy | GreyRadius",</w:t>
      </w:r>
    </w:p>
    <w:p>
      <w:pPr>
        <w:shd w:fill="F0F0F0" w:val="clear"/>
        <w:spacing w:after="14" w:before="14"/>
        <w:ind w:left="360"/>
      </w:pPr>
      <w:r>
        <w:rPr>
          <w:rFonts w:ascii="Courier New" w:cs="Courier New" w:eastAsia="Courier New" w:hAnsi="Courier New"/>
          <w:color w:val="1B2A4A"/>
          <w:sz w:val="16"/>
          <w:szCs w:val="16"/>
        </w:rPr>
        <w:t xml:space="preserve">    "meta": "GreyRadius helps HRtech companies enter Southeast Asia with Indonesia Manpower Law compliance mapping, Singapore MOM regulatory pathway, and enterprise buyer identification.",</w:t>
      </w:r>
    </w:p>
    <w:p>
      <w:pPr>
        <w:shd w:fill="F0F0F0" w:val="clear"/>
        <w:spacing w:after="14" w:before="14"/>
        <w:ind w:left="360"/>
      </w:pPr>
      <w:r>
        <w:rPr>
          <w:rFonts w:ascii="Courier New" w:cs="Courier New" w:eastAsia="Courier New" w:hAnsi="Courier New"/>
          <w:color w:val="1B2A4A"/>
          <w:sz w:val="16"/>
          <w:szCs w:val="16"/>
        </w:rPr>
        <w:t xml:space="preserve">    "h1": "Southeast Asia HRtech market entry strategy",</w:t>
      </w:r>
    </w:p>
    <w:p>
      <w:pPr>
        <w:shd w:fill="F0F0F0" w:val="clear"/>
        <w:spacing w:after="14" w:before="14"/>
        <w:ind w:left="360"/>
      </w:pPr>
      <w:r>
        <w:rPr>
          <w:rFonts w:ascii="Courier New" w:cs="Courier New" w:eastAsia="Courier New" w:hAnsi="Courier New"/>
          <w:color w:val="1B2A4A"/>
          <w:sz w:val="16"/>
          <w:szCs w:val="16"/>
        </w:rPr>
        <w:t xml:space="preserve">    "tagline": "From international HR technology to Southeast Asian enterprise workforce management — strategy for HRtech companies entering ASEAN.",</w:t>
      </w:r>
    </w:p>
    <w:p>
      <w:pPr>
        <w:shd w:fill="F0F0F0" w:val="clear"/>
        <w:spacing w:after="14" w:before="14"/>
        <w:ind w:left="360"/>
      </w:pPr>
      <w:r>
        <w:rPr>
          <w:rFonts w:ascii="Courier New" w:cs="Courier New" w:eastAsia="Courier New" w:hAnsi="Courier New"/>
          <w:color w:val="1B2A4A"/>
          <w:sz w:val="16"/>
          <w:szCs w:val="16"/>
        </w:rPr>
        <w:t xml:space="preserve">    "hero": "Southeast Asia's HRtech market is growing rapidly — driven by Southeast Asia's large corporate workforce requiring modern payroll and compliance technology, Indonesia's Manpower Law complexity, Singapore's MOM regulatory requirements, and the region's mobile-first workforce creating mobile HRtech adoption infrastructure. International HRtech companies across HRMS, payroll, talent acquisition, and employee experience are all evaluating Southeast Asia as a priority HRtech market. GreyRadius helps HRtech companies validate ASEAN enterprise demand, navigate Indonesia Manpower Law and Singapore MOM regulatory requirements, identify implementation partners, and execute GTM.",</w:t>
      </w:r>
    </w:p>
    <w:p>
      <w:pPr>
        <w:shd w:fill="F0F0F0" w:val="clear"/>
        <w:spacing w:after="14" w:before="14"/>
        <w:ind w:left="360"/>
      </w:pPr>
      <w:r>
        <w:rPr>
          <w:rFonts w:ascii="Courier New" w:cs="Courier New" w:eastAsia="Courier New" w:hAnsi="Courier New"/>
          <w:color w:val="1B2A4A"/>
          <w:sz w:val="16"/>
          <w:szCs w:val="16"/>
        </w:rPr>
        <w:t xml:space="preserve">    "market_timing": "Indonesia's Job Creation Law (Omnibus Law) revisions to Manpower regulation are creating an HRMS upgrade cycle — companies with pre-Omnibus Law payroll configurations must update termination, overtime, and benefits calculation. HRtech companies with Omnibus Law-compliant Indonesia payroll are being actively sought by Indonesian corporate HR buyers.",</w:t>
      </w:r>
    </w:p>
    <w:p>
      <w:pPr>
        <w:shd w:fill="F0F0F0" w:val="clear"/>
        <w:spacing w:after="14" w:before="14"/>
        <w:ind w:left="360"/>
      </w:pPr>
      <w:r>
        <w:rPr>
          <w:rFonts w:ascii="Courier New" w:cs="Courier New" w:eastAsia="Courier New" w:hAnsi="Courier New"/>
          <w:color w:val="1B2A4A"/>
          <w:sz w:val="16"/>
          <w:szCs w:val="16"/>
        </w:rPr>
        <w:t xml:space="preserve">    "insights": [</w:t>
      </w:r>
    </w:p>
    <w:p>
      <w:pPr>
        <w:shd w:fill="F0F0F0" w:val="clear"/>
        <w:spacing w:after="14" w:before="14"/>
        <w:ind w:left="360"/>
      </w:pPr>
      <w:r>
        <w:rPr>
          <w:rFonts w:ascii="Courier New" w:cs="Courier New" w:eastAsia="Courier New" w:hAnsi="Courier New"/>
          <w:color w:val="1B2A4A"/>
          <w:sz w:val="16"/>
          <w:szCs w:val="16"/>
        </w:rPr>
        <w:t xml:space="preserve">      "Southeast Asia HRtech market is projected to reach $4B by 2027 — growing at 20% annually as workforce formalisation, compliance complexity, and enterprise HR modernisation all drive adoption.",</w:t>
      </w:r>
    </w:p>
    <w:p>
      <w:pPr>
        <w:shd w:fill="F0F0F0" w:val="clear"/>
        <w:spacing w:after="14" w:before="14"/>
        <w:ind w:left="360"/>
      </w:pPr>
      <w:r>
        <w:rPr>
          <w:rFonts w:ascii="Courier New" w:cs="Courier New" w:eastAsia="Courier New" w:hAnsi="Courier New"/>
          <w:color w:val="1B2A4A"/>
          <w:sz w:val="16"/>
          <w:szCs w:val="16"/>
        </w:rPr>
        <w:t xml:space="preserve">      "Singapore is Southeast Asia's HRtech hub — MOM-compliant payroll, CPF integration, and PDPA data protection creating structured compliance requirements.",</w:t>
      </w:r>
    </w:p>
    <w:p>
      <w:pPr>
        <w:shd w:fill="F0F0F0" w:val="clear"/>
        <w:spacing w:after="14" w:before="14"/>
        <w:ind w:left="360"/>
      </w:pPr>
      <w:r>
        <w:rPr>
          <w:rFonts w:ascii="Courier New" w:cs="Courier New" w:eastAsia="Courier New" w:hAnsi="Courier New"/>
          <w:color w:val="1B2A4A"/>
          <w:sz w:val="16"/>
          <w:szCs w:val="16"/>
        </w:rPr>
        <w:t xml:space="preserve">      "Indonesia is Southeast Asia's largest HRtech market by workforce size — 130 million formal sector workers and Manpower Law compliance complexity creating the largest HRMS opportunity.",</w:t>
      </w:r>
    </w:p>
    <w:p>
      <w:pPr>
        <w:shd w:fill="F0F0F0" w:val="clear"/>
        <w:spacing w:after="14" w:before="14"/>
        <w:ind w:left="360"/>
      </w:pPr>
      <w:r>
        <w:rPr>
          <w:rFonts w:ascii="Courier New" w:cs="Courier New" w:eastAsia="Courier New" w:hAnsi="Courier New"/>
          <w:color w:val="1B2A4A"/>
          <w:sz w:val="16"/>
          <w:szCs w:val="16"/>
        </w:rPr>
        <w:t xml:space="preserve">      "Vietnam's rapidly growing manufacturing workforce is creating enterprise payroll demand — Samsung, Intel, and 2,000+ manufacturing MNCs all requiring Vietnam Labour Code-compliant payroll."</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"challenges_market": [</w:t>
      </w:r>
    </w:p>
    <w:p>
      <w:pPr>
        <w:shd w:fill="F0F0F0" w:val="clear"/>
        <w:spacing w:after="14" w:before="14"/>
        <w:ind w:left="360"/>
      </w:pPr>
      <w:r>
        <w:rPr>
          <w:rFonts w:ascii="Courier New" w:cs="Courier New" w:eastAsia="Courier New" w:hAnsi="Courier New"/>
          <w:color w:val="1B2A4A"/>
          <w:sz w:val="16"/>
          <w:szCs w:val="16"/>
        </w:rPr>
        <w:t xml:space="preserve">      "Indonesia Manpower Law payroll compliance is highly complex — overtime calculation, termination benefits, and BPJS Ketenagakerjaan social security integration require Indonesia-specific engineering.",</w:t>
      </w:r>
    </w:p>
    <w:p>
      <w:pPr>
        <w:shd w:fill="F0F0F0" w:val="clear"/>
        <w:spacing w:after="14" w:before="14"/>
        <w:ind w:left="360"/>
      </w:pPr>
      <w:r>
        <w:rPr>
          <w:rFonts w:ascii="Courier New" w:cs="Courier New" w:eastAsia="Courier New" w:hAnsi="Courier New"/>
          <w:color w:val="1B2A4A"/>
          <w:sz w:val="16"/>
          <w:szCs w:val="16"/>
        </w:rPr>
        <w:t xml:space="preserve">      "Singapore CPF contribution calculation and MOM levy administration require Singapore-specific payroll configuration not present in international HR platforms.",</w:t>
      </w:r>
    </w:p>
    <w:p>
      <w:pPr>
        <w:shd w:fill="F0F0F0" w:val="clear"/>
        <w:spacing w:after="14" w:before="14"/>
        <w:ind w:left="360"/>
      </w:pPr>
      <w:r>
        <w:rPr>
          <w:rFonts w:ascii="Courier New" w:cs="Courier New" w:eastAsia="Courier New" w:hAnsi="Courier New"/>
          <w:color w:val="1B2A4A"/>
          <w:sz w:val="16"/>
          <w:szCs w:val="16"/>
        </w:rPr>
        <w:t xml:space="preserve">      "Southeast Asia multi-country payroll management across 6+ different labour codes requires significant platform localisation investment.",</w:t>
      </w:r>
    </w:p>
    <w:p>
      <w:pPr>
        <w:shd w:fill="F0F0F0" w:val="clear"/>
        <w:spacing w:after="14" w:before="14"/>
        <w:ind w:left="360"/>
      </w:pPr>
      <w:r>
        <w:rPr>
          <w:rFonts w:ascii="Courier New" w:cs="Courier New" w:eastAsia="Courier New" w:hAnsi="Courier New"/>
          <w:color w:val="1B2A4A"/>
          <w:sz w:val="16"/>
          <w:szCs w:val="16"/>
        </w:rPr>
        <w:t xml:space="preserve">      "Competition from regional HRMS companies — Darwinbox SEA, ADP Southeast Asia — with existing compliance frameworks is intense."</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"challenges_we_solve": [</w:t>
      </w:r>
    </w:p>
    <w:p>
      <w:pPr>
        <w:shd w:fill="F0F0F0" w:val="clear"/>
        <w:spacing w:after="14" w:before="14"/>
        <w:ind w:left="360"/>
      </w:pPr>
      <w:r>
        <w:rPr>
          <w:rFonts w:ascii="Courier New" w:cs="Courier New" w:eastAsia="Courier New" w:hAnsi="Courier New"/>
          <w:color w:val="1B2A4A"/>
          <w:sz w:val="16"/>
          <w:szCs w:val="16"/>
        </w:rPr>
        <w:t xml:space="preserve">      "Southeast Asia HRtech demand validation|You need to validate ASEAN enterprise HR buyer demand and understand Indonesia Manpower and Singapore MOM requirements.",</w:t>
      </w:r>
    </w:p>
    <w:p>
      <w:pPr>
        <w:shd w:fill="F0F0F0" w:val="clear"/>
        <w:spacing w:after="14" w:before="14"/>
        <w:ind w:left="360"/>
      </w:pPr>
      <w:r>
        <w:rPr>
          <w:rFonts w:ascii="Courier New" w:cs="Courier New" w:eastAsia="Courier New" w:hAnsi="Courier New"/>
          <w:color w:val="1B2A4A"/>
          <w:sz w:val="16"/>
          <w:szCs w:val="16"/>
        </w:rPr>
        <w:t xml:space="preserve">      "Manpower Law and MOM compliance gap assessment|You need to understand Indonesia BPJS, Singapore CPF, and Vietnam Labour Code gaps in your platform.",</w:t>
      </w:r>
    </w:p>
    <w:p>
      <w:pPr>
        <w:shd w:fill="F0F0F0" w:val="clear"/>
        <w:spacing w:after="14" w:before="14"/>
        <w:ind w:left="360"/>
      </w:pPr>
      <w:r>
        <w:rPr>
          <w:rFonts w:ascii="Courier New" w:cs="Courier New" w:eastAsia="Courier New" w:hAnsi="Courier New"/>
          <w:color w:val="1B2A4A"/>
          <w:sz w:val="16"/>
          <w:szCs w:val="16"/>
        </w:rPr>
        <w:t xml:space="preserve">      "Southeast Asia HRtech implementation partner identification|You need HRMS implementation partners with country-specific compliance expertise.",</w:t>
      </w:r>
    </w:p>
    <w:p>
      <w:pPr>
        <w:shd w:fill="F0F0F0" w:val="clear"/>
        <w:spacing w:after="14" w:before="14"/>
        <w:ind w:left="360"/>
      </w:pPr>
      <w:r>
        <w:rPr>
          <w:rFonts w:ascii="Courier New" w:cs="Courier New" w:eastAsia="Courier New" w:hAnsi="Courier New"/>
          <w:color w:val="1B2A4A"/>
          <w:sz w:val="16"/>
          <w:szCs w:val="16"/>
        </w:rPr>
        <w:t xml:space="preserve">      "Southeast Asia HRtech GTM strategy|You need a Singapore-first premium positioning or Indonesia-first volume strategy for ASEAN HRtech entry.",</w:t>
      </w:r>
    </w:p>
    <w:p>
      <w:pPr>
        <w:shd w:fill="F0F0F0" w:val="clear"/>
        <w:spacing w:after="14" w:before="14"/>
        <w:ind w:left="360"/>
      </w:pPr>
      <w:r>
        <w:rPr>
          <w:rFonts w:ascii="Courier New" w:cs="Courier New" w:eastAsia="Courier New" w:hAnsi="Courier New"/>
          <w:color w:val="1B2A4A"/>
          <w:sz w:val="16"/>
          <w:szCs w:val="16"/>
        </w:rPr>
        <w:t xml:space="preserve">      "Raising capital for Southeast Asia HRtech investment|You need a pitch book grounded in ASEAN HRtech market data and compliance driver analysis.",</w:t>
      </w:r>
    </w:p>
    <w:p>
      <w:pPr>
        <w:shd w:fill="F0F0F0" w:val="clear"/>
        <w:spacing w:after="14" w:before="14"/>
        <w:ind w:left="360"/>
      </w:pPr>
      <w:r>
        <w:rPr>
          <w:rFonts w:ascii="Courier New" w:cs="Courier New" w:eastAsia="Courier New" w:hAnsi="Courier New"/>
          <w:color w:val="1B2A4A"/>
          <w:sz w:val="16"/>
          <w:szCs w:val="16"/>
        </w:rPr>
        <w:t xml:space="preserve">      "ASEAN payroll compliance roadmap|You need a sequential country-specific payroll compliance development plan for ASEAN expansion."</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"service_angles": [</w:t>
      </w:r>
    </w:p>
    <w:p>
      <w:pPr>
        <w:shd w:fill="F0F0F0" w:val="clear"/>
        <w:spacing w:after="14" w:before="14"/>
        <w:ind w:left="360"/>
      </w:pPr>
      <w:r>
        <w:rPr>
          <w:rFonts w:ascii="Courier New" w:cs="Courier New" w:eastAsia="Courier New" w:hAnsi="Courier New"/>
          <w:color w:val="1B2A4A"/>
          <w:sz w:val="16"/>
          <w:szCs w:val="16"/>
        </w:rPr>
        <w:t xml:space="preserve">      "Validate Southeast Asian enterprise HR buyer demand with CHRO interviews and Manpower Law compliance assessment.",</w:t>
      </w:r>
    </w:p>
    <w:p>
      <w:pPr>
        <w:shd w:fill="F0F0F0" w:val="clear"/>
        <w:spacing w:after="14" w:before="14"/>
        <w:ind w:left="360"/>
      </w:pPr>
      <w:r>
        <w:rPr>
          <w:rFonts w:ascii="Courier New" w:cs="Courier New" w:eastAsia="Courier New" w:hAnsi="Courier New"/>
          <w:color w:val="1B2A4A"/>
          <w:sz w:val="16"/>
          <w:szCs w:val="16"/>
        </w:rPr>
        <w:t xml:space="preserve">      "Full financial feasibility for Southeast Asia HRtech investment covering compliance development and enterprise sales economics.",</w:t>
      </w:r>
    </w:p>
    <w:p>
      <w:pPr>
        <w:shd w:fill="F0F0F0" w:val="clear"/>
        <w:spacing w:after="14" w:before="14"/>
        <w:ind w:left="360"/>
      </w:pPr>
      <w:r>
        <w:rPr>
          <w:rFonts w:ascii="Courier New" w:cs="Courier New" w:eastAsia="Courier New" w:hAnsi="Courier New"/>
          <w:color w:val="1B2A4A"/>
          <w:sz w:val="16"/>
          <w:szCs w:val="16"/>
        </w:rPr>
        <w:t xml:space="preserve">      "End-to-end Southeast Asia HRtech market entry including compliance roadmap, implementation partner identification, and first-enterprise-ARR milestone.",</w:t>
      </w:r>
    </w:p>
    <w:p>
      <w:pPr>
        <w:shd w:fill="F0F0F0" w:val="clear"/>
        <w:spacing w:after="14" w:before="14"/>
        <w:ind w:left="360"/>
      </w:pPr>
      <w:r>
        <w:rPr>
          <w:rFonts w:ascii="Courier New" w:cs="Courier New" w:eastAsia="Courier New" w:hAnsi="Courier New"/>
          <w:color w:val="1B2A4A"/>
          <w:sz w:val="16"/>
          <w:szCs w:val="16"/>
        </w:rPr>
        <w:t xml:space="preserve">      "Embedded Southeast Asia HRtech GTM team covering corporate HR and implementation partner outreach.",</w:t>
      </w:r>
    </w:p>
    <w:p>
      <w:pPr>
        <w:shd w:fill="F0F0F0" w:val="clear"/>
        <w:spacing w:after="14" w:before="14"/>
        <w:ind w:left="360"/>
      </w:pPr>
      <w:r>
        <w:rPr>
          <w:rFonts w:ascii="Courier New" w:cs="Courier New" w:eastAsia="Courier New" w:hAnsi="Courier New"/>
          <w:color w:val="1B2A4A"/>
          <w:sz w:val="16"/>
          <w:szCs w:val="16"/>
        </w:rPr>
        <w:t xml:space="preserve">      "Investor-ready pitch books for Southeast Asia HRtech investment with Omnibus Law compliance and enterprise modernisation narrative.",</w:t>
      </w:r>
    </w:p>
    <w:p>
      <w:pPr>
        <w:shd w:fill="F0F0F0" w:val="clear"/>
        <w:spacing w:after="14" w:before="14"/>
        <w:ind w:left="360"/>
      </w:pPr>
      <w:r>
        <w:rPr>
          <w:rFonts w:ascii="Courier New" w:cs="Courier New" w:eastAsia="Courier New" w:hAnsi="Courier New"/>
          <w:color w:val="1B2A4A"/>
          <w:sz w:val="16"/>
          <w:szCs w:val="16"/>
        </w:rPr>
        <w:t xml:space="preserve">      "AI use-case identification — from Indonesia Manpower Law compliance automation to Singapore MOM levy optimisation."</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"faq": [</w:t>
      </w:r>
    </w:p>
    <w:p>
      <w:pPr>
        <w:shd w:fill="F0F0F0" w:val="clear"/>
        <w:spacing w:after="14" w:before="14"/>
        <w:ind w:left="360"/>
      </w:pPr>
      <w:r>
        <w:rPr>
          <w:rFonts w:ascii="Courier New" w:cs="Courier New" w:eastAsia="Courier New" w:hAnsi="Courier New"/>
          <w:color w:val="1B2A4A"/>
          <w:sz w:val="16"/>
          <w:szCs w:val="16"/>
        </w:rPr>
        <w:t xml:space="preserve">      "Does GreyRadius work with HRMS companies or also with talent acquisition, payroll, and workforce management companies entering Southeast Asia?|All HRtech categories.",</w:t>
      </w:r>
    </w:p>
    <w:p>
      <w:pPr>
        <w:shd w:fill="F0F0F0" w:val="clear"/>
        <w:spacing w:after="14" w:before="14"/>
        <w:ind w:left="360"/>
      </w:pPr>
      <w:r>
        <w:rPr>
          <w:rFonts w:ascii="Courier New" w:cs="Courier New" w:eastAsia="Courier New" w:hAnsi="Courier New"/>
          <w:color w:val="1B2A4A"/>
          <w:sz w:val="16"/>
          <w:szCs w:val="16"/>
        </w:rPr>
        <w:t xml:space="preserve">      "Which Southeast Asian HRtech markets does GreyRadius prioritise?|Singapore for premium compliance-led entry; Indonesia for largest workforce volume; Vietnam for manufacturing payroll.",</w:t>
      </w:r>
    </w:p>
    <w:p>
      <w:pPr>
        <w:shd w:fill="F0F0F0" w:val="clear"/>
        <w:spacing w:after="14" w:before="14"/>
        <w:ind w:left="360"/>
      </w:pPr>
      <w:r>
        <w:rPr>
          <w:rFonts w:ascii="Courier New" w:cs="Courier New" w:eastAsia="Courier New" w:hAnsi="Courier New"/>
          <w:color w:val="1B2A4A"/>
          <w:sz w:val="16"/>
          <w:szCs w:val="16"/>
        </w:rPr>
        <w:t xml:space="preserve">      "How long does a Southeast Asia HRtech engagement take?|Typically 8-10 weeks for enterprise demand research, compliance assessment, and implementation partner identification.",</w:t>
      </w:r>
    </w:p>
    <w:p>
      <w:pPr>
        <w:shd w:fill="F0F0F0" w:val="clear"/>
        <w:spacing w:after="14" w:before="14"/>
        <w:ind w:left="360"/>
      </w:pPr>
      <w:r>
        <w:rPr>
          <w:rFonts w:ascii="Courier New" w:cs="Courier New" w:eastAsia="Courier New" w:hAnsi="Courier New"/>
          <w:color w:val="1B2A4A"/>
          <w:sz w:val="16"/>
          <w:szCs w:val="16"/>
        </w:rPr>
        <w:t xml:space="preserve">      "What Indonesia payroll compliance features are mandatory?|BPJS Ketenagakerjaan, BPJS Kesehatan, PPh 21 tax, and Manpower Law termination calculation are minimum requirements."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"keywords": "Southeast Asia HRtech market entry, Indonesia Manpower Law HRMS consulting, Singapore MOM payroll advisory, ASEAN workforce management GTM strategy, Southeast Asia HR technology market entry",</w:t>
      </w:r>
    </w:p>
    <w:p>
      <w:pPr>
        <w:shd w:fill="F0F0F0" w:val="clear"/>
        <w:spacing w:after="14" w:before="14"/>
        <w:ind w:left="360"/>
      </w:pPr>
      <w:r>
        <w:rPr>
          <w:rFonts w:ascii="Courier New" w:cs="Courier New" w:eastAsia="Courier New" w:hAnsi="Courier New"/>
          <w:color w:val="1B2A4A"/>
          <w:sz w:val="16"/>
          <w:szCs w:val="16"/>
        </w:rPr>
        <w:t xml:space="preserve">    "regions": "Singapore — MOM-compliant HRMS; Indonesia — Jakarta, Surabaya, Bekasi corporate payroll; Vietnam — Ho Chi Minh City manufacturing payroll",</w:t>
      </w:r>
    </w:p>
    <w:p>
      <w:pPr>
        <w:shd w:fill="F0F0F0" w:val="clear"/>
        <w:spacing w:after="14" w:before="14"/>
        <w:ind w:left="360"/>
      </w:pPr>
      <w:r>
        <w:rPr>
          <w:rFonts w:ascii="Courier New" w:cs="Courier New" w:eastAsia="Courier New" w:hAnsi="Courier New"/>
          <w:color w:val="1B2A4A"/>
          <w:sz w:val="16"/>
          <w:szCs w:val="16"/>
        </w:rPr>
        <w:t xml:space="preserve">    "stat1n": "$4B",</w:t>
      </w:r>
    </w:p>
    <w:p>
      <w:pPr>
        <w:shd w:fill="F0F0F0" w:val="clear"/>
        <w:spacing w:after="14" w:before="14"/>
        <w:ind w:left="360"/>
      </w:pPr>
      <w:r>
        <w:rPr>
          <w:rFonts w:ascii="Courier New" w:cs="Courier New" w:eastAsia="Courier New" w:hAnsi="Courier New"/>
          <w:color w:val="1B2A4A"/>
          <w:sz w:val="16"/>
          <w:szCs w:val="16"/>
        </w:rPr>
        <w:t xml:space="preserve">    "stat1l": "Southeast Asia HRtech market by 2027",</w:t>
      </w:r>
    </w:p>
    <w:p>
      <w:pPr>
        <w:shd w:fill="F0F0F0" w:val="clear"/>
        <w:spacing w:after="14" w:before="14"/>
        <w:ind w:left="360"/>
      </w:pPr>
      <w:r>
        <w:rPr>
          <w:rFonts w:ascii="Courier New" w:cs="Courier New" w:eastAsia="Courier New" w:hAnsi="Courier New"/>
          <w:color w:val="1B2A4A"/>
          <w:sz w:val="16"/>
          <w:szCs w:val="16"/>
        </w:rPr>
        <w:t xml:space="preserve">    "stat1b": "Workforce formalisation, compliance complexity, and enterprise HR modernisation driving 20% annual HRtech growth.",</w:t>
      </w:r>
    </w:p>
    <w:p>
      <w:pPr>
        <w:shd w:fill="F0F0F0" w:val="clear"/>
        <w:spacing w:after="14" w:before="14"/>
        <w:ind w:left="360"/>
      </w:pPr>
      <w:r>
        <w:rPr>
          <w:rFonts w:ascii="Courier New" w:cs="Courier New" w:eastAsia="Courier New" w:hAnsi="Courier New"/>
          <w:color w:val="1B2A4A"/>
          <w:sz w:val="16"/>
          <w:szCs w:val="16"/>
        </w:rPr>
        <w:t xml:space="preserve">    "stat2n": "30+",</w:t>
      </w:r>
    </w:p>
    <w:p>
      <w:pPr>
        <w:shd w:fill="F0F0F0" w:val="clear"/>
        <w:spacing w:after="14" w:before="14"/>
        <w:ind w:left="360"/>
      </w:pPr>
      <w:r>
        <w:rPr>
          <w:rFonts w:ascii="Courier New" w:cs="Courier New" w:eastAsia="Courier New" w:hAnsi="Courier New"/>
          <w:color w:val="1B2A4A"/>
          <w:sz w:val="16"/>
          <w:szCs w:val="16"/>
        </w:rPr>
        <w:t xml:space="preserve">    "stat2l": "Primary interviews per Southeast Asia HRtech mandate",</w:t>
      </w:r>
    </w:p>
    <w:p>
      <w:pPr>
        <w:shd w:fill="F0F0F0" w:val="clear"/>
        <w:spacing w:after="14" w:before="14"/>
        <w:ind w:left="360"/>
      </w:pPr>
      <w:r>
        <w:rPr>
          <w:rFonts w:ascii="Courier New" w:cs="Courier New" w:eastAsia="Courier New" w:hAnsi="Courier New"/>
          <w:color w:val="1B2A4A"/>
          <w:sz w:val="16"/>
          <w:szCs w:val="16"/>
        </w:rPr>
        <w:t xml:space="preserve">    "stat2b": "ASEAN CHROs, Manpower Law compliance heads, and HRMS implementation partners — every engagement grounded in direct primary research.",</w:t>
      </w:r>
    </w:p>
    <w:p>
      <w:pPr>
        <w:shd w:fill="F0F0F0" w:val="clear"/>
        <w:spacing w:after="14" w:before="14"/>
        <w:ind w:left="360"/>
      </w:pPr>
      <w:r>
        <w:rPr>
          <w:rFonts w:ascii="Courier New" w:cs="Courier New" w:eastAsia="Courier New" w:hAnsi="Courier New"/>
          <w:color w:val="1B2A4A"/>
          <w:sz w:val="16"/>
          <w:szCs w:val="16"/>
        </w:rPr>
        <w:t xml:space="preserve">    "stat3n": "8 weeks",</w:t>
      </w:r>
    </w:p>
    <w:p>
      <w:pPr>
        <w:shd w:fill="F0F0F0" w:val="clear"/>
        <w:spacing w:after="14" w:before="14"/>
        <w:ind w:left="360"/>
      </w:pPr>
      <w:r>
        <w:rPr>
          <w:rFonts w:ascii="Courier New" w:cs="Courier New" w:eastAsia="Courier New" w:hAnsi="Courier New"/>
          <w:color w:val="1B2A4A"/>
          <w:sz w:val="16"/>
          <w:szCs w:val="16"/>
        </w:rPr>
        <w:t xml:space="preserve">    "stat3l": "Southeast Asia HRtech market entry strategy",</w:t>
      </w:r>
    </w:p>
    <w:p>
      <w:pPr>
        <w:shd w:fill="F0F0F0" w:val="clear"/>
        <w:spacing w:after="14" w:before="14"/>
        <w:ind w:left="360"/>
      </w:pPr>
      <w:r>
        <w:rPr>
          <w:rFonts w:ascii="Courier New" w:cs="Courier New" w:eastAsia="Courier New" w:hAnsi="Courier New"/>
          <w:color w:val="1B2A4A"/>
          <w:sz w:val="16"/>
          <w:szCs w:val="16"/>
        </w:rPr>
        <w:t xml:space="preserve">    "stat3b": "AI-augmented compliance assessment and enterprise demand research delivers Southeast Asia HRtech strategies efficiently."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"slug": "africa-wealthtech",</w:t>
      </w:r>
    </w:p>
    <w:p>
      <w:pPr>
        <w:shd w:fill="F0F0F0" w:val="clear"/>
        <w:spacing w:after="14" w:before="14"/>
        <w:ind w:left="360"/>
      </w:pPr>
      <w:r>
        <w:rPr>
          <w:rFonts w:ascii="Courier New" w:cs="Courier New" w:eastAsia="Courier New" w:hAnsi="Courier New"/>
          <w:color w:val="1B2A4A"/>
          <w:sz w:val="16"/>
          <w:szCs w:val="16"/>
        </w:rPr>
        <w:t xml:space="preserve">    "parent": "wealthtech",</w:t>
      </w:r>
    </w:p>
    <w:p>
      <w:pPr>
        <w:shd w:fill="F0F0F0" w:val="clear"/>
        <w:spacing w:after="14" w:before="14"/>
        <w:ind w:left="360"/>
      </w:pPr>
      <w:r>
        <w:rPr>
          <w:rFonts w:ascii="Courier New" w:cs="Courier New" w:eastAsia="Courier New" w:hAnsi="Courier New"/>
          <w:color w:val="1B2A4A"/>
          <w:sz w:val="16"/>
          <w:szCs w:val="16"/>
        </w:rPr>
        <w:t xml:space="preserve">    "title": "Africa Wealthtech Market Entry Strategy | GreyRadius",</w:t>
      </w:r>
    </w:p>
    <w:p>
      <w:pPr>
        <w:shd w:fill="F0F0F0" w:val="clear"/>
        <w:spacing w:after="14" w:before="14"/>
        <w:ind w:left="360"/>
      </w:pPr>
      <w:r>
        <w:rPr>
          <w:rFonts w:ascii="Courier New" w:cs="Courier New" w:eastAsia="Courier New" w:hAnsi="Courier New"/>
          <w:color w:val="1B2A4A"/>
          <w:sz w:val="16"/>
          <w:szCs w:val="16"/>
        </w:rPr>
        <w:t xml:space="preserve">    "meta": "GreyRadius helps wealthtech companies enter Africa with FSCA FSP licence mapping, Nigeria SEC registration advisory, HNI demand validation, and distribution partner identification.",</w:t>
      </w:r>
    </w:p>
    <w:p>
      <w:pPr>
        <w:shd w:fill="F0F0F0" w:val="clear"/>
        <w:spacing w:after="14" w:before="14"/>
        <w:ind w:left="360"/>
      </w:pPr>
      <w:r>
        <w:rPr>
          <w:rFonts w:ascii="Courier New" w:cs="Courier New" w:eastAsia="Courier New" w:hAnsi="Courier New"/>
          <w:color w:val="1B2A4A"/>
          <w:sz w:val="16"/>
          <w:szCs w:val="16"/>
        </w:rPr>
        <w:t xml:space="preserve">    "h1": "Africa wealthtech market entry strategy",</w:t>
      </w:r>
    </w:p>
    <w:p>
      <w:pPr>
        <w:shd w:fill="F0F0F0" w:val="clear"/>
        <w:spacing w:after="14" w:before="14"/>
        <w:ind w:left="360"/>
      </w:pPr>
      <w:r>
        <w:rPr>
          <w:rFonts w:ascii="Courier New" w:cs="Courier New" w:eastAsia="Courier New" w:hAnsi="Courier New"/>
          <w:color w:val="1B2A4A"/>
          <w:sz w:val="16"/>
          <w:szCs w:val="16"/>
        </w:rPr>
        <w:t xml:space="preserve">    "tagline": "From international wealth technology to African HNI investor — strategy for wealthtech companies entering Africa.",</w:t>
      </w:r>
    </w:p>
    <w:p>
      <w:pPr>
        <w:shd w:fill="F0F0F0" w:val="clear"/>
        <w:spacing w:after="14" w:before="14"/>
        <w:ind w:left="360"/>
      </w:pPr>
      <w:r>
        <w:rPr>
          <w:rFonts w:ascii="Courier New" w:cs="Courier New" w:eastAsia="Courier New" w:hAnsi="Courier New"/>
          <w:color w:val="1B2A4A"/>
          <w:sz w:val="16"/>
          <w:szCs w:val="16"/>
        </w:rPr>
        <w:t xml:space="preserve">    "hero": "Africa's wealthtech market is emerging as one of the world's most significant growth opportunities — with Africa's HNI population growing at 10% annually, South Africa's JSE-listed investment ecosystem providing sophisticated investment infrastructure, Nigeria's growing investor class seeking wealth management beyond bank deposits, and Kenya's CMA-regulated investment market creating structured retail investment infrastructure. International wealthtech companies across robo-advisory, digital portfolio management, alternative investment platforms, and family office technology are all evaluating Africa as a wealthtech market. GreyRadius helps wealthtech companies validate African HNI demand, navigate FSCA FSP, SEC Nigeria, and country-specific regulatory requirements, identify distribution partners, and execute GTM.",</w:t>
      </w:r>
    </w:p>
    <w:p>
      <w:pPr>
        <w:shd w:fill="F0F0F0" w:val="clear"/>
        <w:spacing w:after="14" w:before="14"/>
        <w:ind w:left="360"/>
      </w:pPr>
      <w:r>
        <w:rPr>
          <w:rFonts w:ascii="Courier New" w:cs="Courier New" w:eastAsia="Courier New" w:hAnsi="Courier New"/>
          <w:color w:val="1B2A4A"/>
          <w:sz w:val="16"/>
          <w:szCs w:val="16"/>
        </w:rPr>
        <w:t xml:space="preserve">    "market_timing": "South Africa's FSP (Financial Services Provider) licence framework is creating clarity for digital wealth management — digital investment advisers and robo-advisory platforms can achieve FSP category II and IIA licences under FSCA's Fit and Proper requirements. Wealthtech companies achieving South Africa FSP licensing in 2024-2026 will be positioned as the regulatory framework for digital wealth advice tightens.",</w:t>
      </w:r>
    </w:p>
    <w:p>
      <w:pPr>
        <w:shd w:fill="F0F0F0" w:val="clear"/>
        <w:spacing w:after="14" w:before="14"/>
        <w:ind w:left="360"/>
      </w:pPr>
      <w:r>
        <w:rPr>
          <w:rFonts w:ascii="Courier New" w:cs="Courier New" w:eastAsia="Courier New" w:hAnsi="Courier New"/>
          <w:color w:val="1B2A4A"/>
          <w:sz w:val="16"/>
          <w:szCs w:val="16"/>
        </w:rPr>
        <w:t xml:space="preserve">    "insights": [</w:t>
      </w:r>
    </w:p>
    <w:p>
      <w:pPr>
        <w:shd w:fill="F0F0F0" w:val="clear"/>
        <w:spacing w:after="14" w:before="14"/>
        <w:ind w:left="360"/>
      </w:pPr>
      <w:r>
        <w:rPr>
          <w:rFonts w:ascii="Courier New" w:cs="Courier New" w:eastAsia="Courier New" w:hAnsi="Courier New"/>
          <w:color w:val="1B2A4A"/>
          <w:sz w:val="16"/>
          <w:szCs w:val="16"/>
        </w:rPr>
        <w:t xml:space="preserve">      "Africa's wealthtech market is projected to reach $5B in AUM by 2027 — growing at 25% annually as HNI wealth creation, digital investment adoption, and alternative asset awareness all scale.",</w:t>
      </w:r>
    </w:p>
    <w:p>
      <w:pPr>
        <w:shd w:fill="F0F0F0" w:val="clear"/>
        <w:spacing w:after="14" w:before="14"/>
        <w:ind w:left="360"/>
      </w:pPr>
      <w:r>
        <w:rPr>
          <w:rFonts w:ascii="Courier New" w:cs="Courier New" w:eastAsia="Courier New" w:hAnsi="Courier New"/>
          <w:color w:val="1B2A4A"/>
          <w:sz w:val="16"/>
          <w:szCs w:val="16"/>
        </w:rPr>
        <w:t xml:space="preserve">      "South Africa has Africa's most developed wealthtech ecosystem — JSE-listed ETFs, unit trust distribution, and sophisticated HNWI investor base creating the strongest wealthtech commercial opportunity.",</w:t>
      </w:r>
    </w:p>
    <w:p>
      <w:pPr>
        <w:shd w:fill="F0F0F0" w:val="clear"/>
        <w:spacing w:after="14" w:before="14"/>
        <w:ind w:left="360"/>
      </w:pPr>
      <w:r>
        <w:rPr>
          <w:rFonts w:ascii="Courier New" w:cs="Courier New" w:eastAsia="Courier New" w:hAnsi="Courier New"/>
          <w:color w:val="1B2A4A"/>
          <w:sz w:val="16"/>
          <w:szCs w:val="16"/>
        </w:rPr>
        <w:t xml:space="preserve">      "Nigeria's investor class is growing rapidly — stockbroking accounts growing at 30% annually as Nigerian investors seek returns beyond bank savings accounts.",</w:t>
      </w:r>
    </w:p>
    <w:p>
      <w:pPr>
        <w:shd w:fill="F0F0F0" w:val="clear"/>
        <w:spacing w:after="14" w:before="14"/>
        <w:ind w:left="360"/>
      </w:pPr>
      <w:r>
        <w:rPr>
          <w:rFonts w:ascii="Courier New" w:cs="Courier New" w:eastAsia="Courier New" w:hAnsi="Courier New"/>
          <w:color w:val="1B2A4A"/>
          <w:sz w:val="16"/>
          <w:szCs w:val="16"/>
        </w:rPr>
        <w:t xml:space="preserve">      "Pan-African family office assets are growing — African entrepreneurs with continental wealth requiring sophisticated multi-market investment management technology."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"challenges_market": [</w:t>
      </w:r>
    </w:p>
    <w:p>
      <w:pPr>
        <w:shd w:fill="F0F0F0" w:val="clear"/>
        <w:spacing w:after="14" w:before="14"/>
        <w:ind w:left="360"/>
      </w:pPr>
      <w:r>
        <w:rPr>
          <w:rFonts w:ascii="Courier New" w:cs="Courier New" w:eastAsia="Courier New" w:hAnsi="Courier New"/>
          <w:color w:val="1B2A4A"/>
          <w:sz w:val="16"/>
          <w:szCs w:val="16"/>
        </w:rPr>
        <w:t xml:space="preserve">      "FSP licensing in South Africa requires Fit and Proper compliance — FSCA requirements include RE1 or RE5 examinations, PI insurance, and FAIS compliance with minimum capital.",</w:t>
      </w:r>
    </w:p>
    <w:p>
      <w:pPr>
        <w:shd w:fill="F0F0F0" w:val="clear"/>
        <w:spacing w:after="14" w:before="14"/>
        <w:ind w:left="360"/>
      </w:pPr>
      <w:r>
        <w:rPr>
          <w:rFonts w:ascii="Courier New" w:cs="Courier New" w:eastAsia="Courier New" w:hAnsi="Courier New"/>
          <w:color w:val="1B2A4A"/>
          <w:sz w:val="16"/>
          <w:szCs w:val="16"/>
        </w:rPr>
        <w:t xml:space="preserve">      "Nigeria SEC investment adviser registration is required for investment management — specific compliance infrastructure and capital requirements apply.",</w:t>
      </w:r>
    </w:p>
    <w:p>
      <w:pPr>
        <w:shd w:fill="F0F0F0" w:val="clear"/>
        <w:spacing w:after="14" w:before="14"/>
        <w:ind w:left="360"/>
      </w:pPr>
      <w:r>
        <w:rPr>
          <w:rFonts w:ascii="Courier New" w:cs="Courier New" w:eastAsia="Courier New" w:hAnsi="Courier New"/>
          <w:color w:val="1B2A4A"/>
          <w:sz w:val="16"/>
          <w:szCs w:val="16"/>
        </w:rPr>
        <w:t xml:space="preserve">      "African HNI investment preferences lean traditional — property and listed equity dominate portfolios with alternative investment education required for new product adoption.",</w:t>
      </w:r>
    </w:p>
    <w:p>
      <w:pPr>
        <w:shd w:fill="F0F0F0" w:val="clear"/>
        <w:spacing w:after="14" w:before="14"/>
        <w:ind w:left="360"/>
      </w:pPr>
      <w:r>
        <w:rPr>
          <w:rFonts w:ascii="Courier New" w:cs="Courier New" w:eastAsia="Courier New" w:hAnsi="Courier New"/>
          <w:color w:val="1B2A4A"/>
          <w:sz w:val="16"/>
          <w:szCs w:val="16"/>
        </w:rPr>
        <w:t xml:space="preserve">      "Currency risk across African markets affects offshore investment product economics — capital controls in Nigeria and other markets constrain international investment product distribution."</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"challenges_we_solve": [</w:t>
      </w:r>
    </w:p>
    <w:p>
      <w:pPr>
        <w:shd w:fill="F0F0F0" w:val="clear"/>
        <w:spacing w:after="14" w:before="14"/>
        <w:ind w:left="360"/>
      </w:pPr>
      <w:r>
        <w:rPr>
          <w:rFonts w:ascii="Courier New" w:cs="Courier New" w:eastAsia="Courier New" w:hAnsi="Courier New"/>
          <w:color w:val="1B2A4A"/>
          <w:sz w:val="16"/>
          <w:szCs w:val="16"/>
        </w:rPr>
        <w:t xml:space="preserve">      "Africa wealthtech HNI demand validation|You need to validate African HNI investment preferences and understand FSCA FSP and SEC Nigeria regulatory requirements.",</w:t>
      </w:r>
    </w:p>
    <w:p>
      <w:pPr>
        <w:shd w:fill="F0F0F0" w:val="clear"/>
        <w:spacing w:after="14" w:before="14"/>
        <w:ind w:left="360"/>
      </w:pPr>
      <w:r>
        <w:rPr>
          <w:rFonts w:ascii="Courier New" w:cs="Courier New" w:eastAsia="Courier New" w:hAnsi="Courier New"/>
          <w:color w:val="1B2A4A"/>
          <w:sz w:val="16"/>
          <w:szCs w:val="16"/>
        </w:rPr>
        <w:t xml:space="preserve">      "FSCA and SEC Nigeria regulatory pathway|You need to understand South Africa FSP licence requirements, Nigeria SEC registration, and Kenya CMA investment adviser framework.",</w:t>
      </w:r>
    </w:p>
    <w:p>
      <w:pPr>
        <w:shd w:fill="F0F0F0" w:val="clear"/>
        <w:spacing w:after="14" w:before="14"/>
        <w:ind w:left="360"/>
      </w:pPr>
      <w:r>
        <w:rPr>
          <w:rFonts w:ascii="Courier New" w:cs="Courier New" w:eastAsia="Courier New" w:hAnsi="Courier New"/>
          <w:color w:val="1B2A4A"/>
          <w:sz w:val="16"/>
          <w:szCs w:val="16"/>
        </w:rPr>
        <w:t xml:space="preserve">      "Africa wealthtech distribution partner identification|You need South Africa FSP-licensed distribution partners, stockbroking firm partnerships, and family office access contacts.",</w:t>
      </w:r>
    </w:p>
    <w:p>
      <w:pPr>
        <w:shd w:fill="F0F0F0" w:val="clear"/>
        <w:spacing w:after="14" w:before="14"/>
        <w:ind w:left="360"/>
      </w:pPr>
      <w:r>
        <w:rPr>
          <w:rFonts w:ascii="Courier New" w:cs="Courier New" w:eastAsia="Courier New" w:hAnsi="Courier New"/>
          <w:color w:val="1B2A4A"/>
          <w:sz w:val="16"/>
          <w:szCs w:val="16"/>
        </w:rPr>
        <w:t xml:space="preserve">      "Africa wealthtech GTM strategy|You need a South Africa-first FSP-licensed launch and Nigeria stockbroking partnership expansion plan.",</w:t>
      </w:r>
    </w:p>
    <w:p>
      <w:pPr>
        <w:shd w:fill="F0F0F0" w:val="clear"/>
        <w:spacing w:after="14" w:before="14"/>
        <w:ind w:left="360"/>
      </w:pPr>
      <w:r>
        <w:rPr>
          <w:rFonts w:ascii="Courier New" w:cs="Courier New" w:eastAsia="Courier New" w:hAnsi="Courier New"/>
          <w:color w:val="1B2A4A"/>
          <w:sz w:val="16"/>
          <w:szCs w:val="16"/>
        </w:rPr>
        <w:t xml:space="preserve">      "Raising capital for Africa wealthtech investment|You need a pitch book grounded in Africa HNI wealth data and digital investment adoption analysis.",</w:t>
      </w:r>
    </w:p>
    <w:p>
      <w:pPr>
        <w:shd w:fill="F0F0F0" w:val="clear"/>
        <w:spacing w:after="14" w:before="14"/>
        <w:ind w:left="360"/>
      </w:pPr>
      <w:r>
        <w:rPr>
          <w:rFonts w:ascii="Courier New" w:cs="Courier New" w:eastAsia="Courier New" w:hAnsi="Courier New"/>
          <w:color w:val="1B2A4A"/>
          <w:sz w:val="16"/>
          <w:szCs w:val="16"/>
        </w:rPr>
        <w:t xml:space="preserve">      "Currency risk and cross-border investment strategy|You need a regulatory-compliant cross-border African investment product structure."</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"service_angles": [</w:t>
      </w:r>
    </w:p>
    <w:p>
      <w:pPr>
        <w:shd w:fill="F0F0F0" w:val="clear"/>
        <w:spacing w:after="14" w:before="14"/>
        <w:ind w:left="360"/>
      </w:pPr>
      <w:r>
        <w:rPr>
          <w:rFonts w:ascii="Courier New" w:cs="Courier New" w:eastAsia="Courier New" w:hAnsi="Courier New"/>
          <w:color w:val="1B2A4A"/>
          <w:sz w:val="16"/>
          <w:szCs w:val="16"/>
        </w:rPr>
        <w:t xml:space="preserve">      "Validate African HNI investment demand with investor interviews and FSCA regulatory mapping.",</w:t>
      </w:r>
    </w:p>
    <w:p>
      <w:pPr>
        <w:shd w:fill="F0F0F0" w:val="clear"/>
        <w:spacing w:after="14" w:before="14"/>
        <w:ind w:left="360"/>
      </w:pPr>
      <w:r>
        <w:rPr>
          <w:rFonts w:ascii="Courier New" w:cs="Courier New" w:eastAsia="Courier New" w:hAnsi="Courier New"/>
          <w:color w:val="1B2A4A"/>
          <w:sz w:val="16"/>
          <w:szCs w:val="16"/>
        </w:rPr>
        <w:t xml:space="preserve">      "Full financial feasibility for Africa wealthtech investment covering FSP licence cost and AUM economics.",</w:t>
      </w:r>
    </w:p>
    <w:p>
      <w:pPr>
        <w:shd w:fill="F0F0F0" w:val="clear"/>
        <w:spacing w:after="14" w:before="14"/>
        <w:ind w:left="360"/>
      </w:pPr>
      <w:r>
        <w:rPr>
          <w:rFonts w:ascii="Courier New" w:cs="Courier New" w:eastAsia="Courier New" w:hAnsi="Courier New"/>
          <w:color w:val="1B2A4A"/>
          <w:sz w:val="16"/>
          <w:szCs w:val="16"/>
        </w:rPr>
        <w:t xml:space="preserve">      "End-to-end Africa wealthtech market entry including FSCA pathway, distribution partner identification, and first-AUM milestone.",</w:t>
      </w:r>
    </w:p>
    <w:p>
      <w:pPr>
        <w:shd w:fill="F0F0F0" w:val="clear"/>
        <w:spacing w:after="14" w:before="14"/>
        <w:ind w:left="360"/>
      </w:pPr>
      <w:r>
        <w:rPr>
          <w:rFonts w:ascii="Courier New" w:cs="Courier New" w:eastAsia="Courier New" w:hAnsi="Courier New"/>
          <w:color w:val="1B2A4A"/>
          <w:sz w:val="16"/>
          <w:szCs w:val="16"/>
        </w:rPr>
        <w:t xml:space="preserve">      "Embedded Africa wealthtech GTM team covering HNI acquisition and stockbroking partner outreach.",</w:t>
      </w:r>
    </w:p>
    <w:p>
      <w:pPr>
        <w:shd w:fill="F0F0F0" w:val="clear"/>
        <w:spacing w:after="14" w:before="14"/>
        <w:ind w:left="360"/>
      </w:pPr>
      <w:r>
        <w:rPr>
          <w:rFonts w:ascii="Courier New" w:cs="Courier New" w:eastAsia="Courier New" w:hAnsi="Courier New"/>
          <w:color w:val="1B2A4A"/>
          <w:sz w:val="16"/>
          <w:szCs w:val="16"/>
        </w:rPr>
        <w:t xml:space="preserve">      "Investor-ready pitch books for Africa wealthtech investment with HNI wealth growth and digital adoption narrative.",</w:t>
      </w:r>
    </w:p>
    <w:p>
      <w:pPr>
        <w:shd w:fill="F0F0F0" w:val="clear"/>
        <w:spacing w:after="14" w:before="14"/>
        <w:ind w:left="360"/>
      </w:pPr>
      <w:r>
        <w:rPr>
          <w:rFonts w:ascii="Courier New" w:cs="Courier New" w:eastAsia="Courier New" w:hAnsi="Courier New"/>
          <w:color w:val="1B2A4A"/>
          <w:sz w:val="16"/>
          <w:szCs w:val="16"/>
        </w:rPr>
        <w:t xml:space="preserve">      "AI use-case identification — from AI-powered African HNI portfolio personalisation to JSE-integrated robo-advisory."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"faq": [</w:t>
      </w:r>
    </w:p>
    <w:p>
      <w:pPr>
        <w:shd w:fill="F0F0F0" w:val="clear"/>
        <w:spacing w:after="14" w:before="14"/>
        <w:ind w:left="360"/>
      </w:pPr>
      <w:r>
        <w:rPr>
          <w:rFonts w:ascii="Courier New" w:cs="Courier New" w:eastAsia="Courier New" w:hAnsi="Courier New"/>
          <w:color w:val="1B2A4A"/>
          <w:sz w:val="16"/>
          <w:szCs w:val="16"/>
        </w:rPr>
        <w:t xml:space="preserve">      "Does GreyRadius work with robo-advisory companies or also with alternative investment platforms, family office technology, and digital PMS companies entering Africa?|All wealthtech categories.",</w:t>
      </w:r>
    </w:p>
    <w:p>
      <w:pPr>
        <w:shd w:fill="F0F0F0" w:val="clear"/>
        <w:spacing w:after="14" w:before="14"/>
        <w:ind w:left="360"/>
      </w:pPr>
      <w:r>
        <w:rPr>
          <w:rFonts w:ascii="Courier New" w:cs="Courier New" w:eastAsia="Courier New" w:hAnsi="Courier New"/>
          <w:color w:val="1B2A4A"/>
          <w:sz w:val="16"/>
          <w:szCs w:val="16"/>
        </w:rPr>
        <w:t xml:space="preserve">      "Which African wealthtech markets does GreyRadius prioritise?|South Africa for FSCA FSP-regulated sophistication; Nigeria for investor class growth; Kenya for CMA-regulated East Africa.",</w:t>
      </w:r>
    </w:p>
    <w:p>
      <w:pPr>
        <w:shd w:fill="F0F0F0" w:val="clear"/>
        <w:spacing w:after="14" w:before="14"/>
        <w:ind w:left="360"/>
      </w:pPr>
      <w:r>
        <w:rPr>
          <w:rFonts w:ascii="Courier New" w:cs="Courier New" w:eastAsia="Courier New" w:hAnsi="Courier New"/>
          <w:color w:val="1B2A4A"/>
          <w:sz w:val="16"/>
          <w:szCs w:val="16"/>
        </w:rPr>
        <w:t xml:space="preserve">      "How long does an Africa wealthtech engagement take?|Typically 8-12 weeks for HNI demand research, FSCA regulatory mapping, and distribution partner identification.",</w:t>
      </w:r>
    </w:p>
    <w:p>
      <w:pPr>
        <w:shd w:fill="F0F0F0" w:val="clear"/>
        <w:spacing w:after="14" w:before="14"/>
        <w:ind w:left="360"/>
      </w:pPr>
      <w:r>
        <w:rPr>
          <w:rFonts w:ascii="Courier New" w:cs="Courier New" w:eastAsia="Courier New" w:hAnsi="Courier New"/>
          <w:color w:val="1B2A4A"/>
          <w:sz w:val="16"/>
          <w:szCs w:val="16"/>
        </w:rPr>
        <w:t xml:space="preserve">      "Can GreyRadius identify South Africa FSP-licensed distribution partners for wealthtech companies?|Yes."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"keywords": "Africa wealthtech market entry, South Africa FSP licence consulting, Nigeria SEC investment adviser advisory, Africa HNI investment GTM strategy, Africa wealthtech market entry",</w:t>
      </w:r>
    </w:p>
    <w:p>
      <w:pPr>
        <w:shd w:fill="F0F0F0" w:val="clear"/>
        <w:spacing w:after="14" w:before="14"/>
        <w:ind w:left="360"/>
      </w:pPr>
      <w:r>
        <w:rPr>
          <w:rFonts w:ascii="Courier New" w:cs="Courier New" w:eastAsia="Courier New" w:hAnsi="Courier New"/>
          <w:color w:val="1B2A4A"/>
          <w:sz w:val="16"/>
          <w:szCs w:val="16"/>
        </w:rPr>
        <w:t xml:space="preserve">    "regions": "South Africa — FSCA FSP-licensed wealthtech in Johannesburg, Cape Town, Durban; Nigeria — Lagos stockbroking and investment platform; Kenya — Nairobi CMA-regulated",</w:t>
      </w:r>
    </w:p>
    <w:p>
      <w:pPr>
        <w:shd w:fill="F0F0F0" w:val="clear"/>
        <w:spacing w:after="14" w:before="14"/>
        <w:ind w:left="360"/>
      </w:pPr>
      <w:r>
        <w:rPr>
          <w:rFonts w:ascii="Courier New" w:cs="Courier New" w:eastAsia="Courier New" w:hAnsi="Courier New"/>
          <w:color w:val="1B2A4A"/>
          <w:sz w:val="16"/>
          <w:szCs w:val="16"/>
        </w:rPr>
        <w:t xml:space="preserve">    "stat1n": "$5B",</w:t>
      </w:r>
    </w:p>
    <w:p>
      <w:pPr>
        <w:shd w:fill="F0F0F0" w:val="clear"/>
        <w:spacing w:after="14" w:before="14"/>
        <w:ind w:left="360"/>
      </w:pPr>
      <w:r>
        <w:rPr>
          <w:rFonts w:ascii="Courier New" w:cs="Courier New" w:eastAsia="Courier New" w:hAnsi="Courier New"/>
          <w:color w:val="1B2A4A"/>
          <w:sz w:val="16"/>
          <w:szCs w:val="16"/>
        </w:rPr>
        <w:t xml:space="preserve">    "stat1l": "Africa wealthtech AUM by 2027",</w:t>
      </w:r>
    </w:p>
    <w:p>
      <w:pPr>
        <w:shd w:fill="F0F0F0" w:val="clear"/>
        <w:spacing w:after="14" w:before="14"/>
        <w:ind w:left="360"/>
      </w:pPr>
      <w:r>
        <w:rPr>
          <w:rFonts w:ascii="Courier New" w:cs="Courier New" w:eastAsia="Courier New" w:hAnsi="Courier New"/>
          <w:color w:val="1B2A4A"/>
          <w:sz w:val="16"/>
          <w:szCs w:val="16"/>
        </w:rPr>
        <w:t xml:space="preserve">    "stat1b": "HNI wealth creation, digital investment adoption, and alternative asset awareness driving 25% annual Africa wealthtech growth.",</w:t>
      </w:r>
    </w:p>
    <w:p>
      <w:pPr>
        <w:shd w:fill="F0F0F0" w:val="clear"/>
        <w:spacing w:after="14" w:before="14"/>
        <w:ind w:left="360"/>
      </w:pPr>
      <w:r>
        <w:rPr>
          <w:rFonts w:ascii="Courier New" w:cs="Courier New" w:eastAsia="Courier New" w:hAnsi="Courier New"/>
          <w:color w:val="1B2A4A"/>
          <w:sz w:val="16"/>
          <w:szCs w:val="16"/>
        </w:rPr>
        <w:t xml:space="preserve">    "stat2n": "30+",</w:t>
      </w:r>
    </w:p>
    <w:p>
      <w:pPr>
        <w:shd w:fill="F0F0F0" w:val="clear"/>
        <w:spacing w:after="14" w:before="14"/>
        <w:ind w:left="360"/>
      </w:pPr>
      <w:r>
        <w:rPr>
          <w:rFonts w:ascii="Courier New" w:cs="Courier New" w:eastAsia="Courier New" w:hAnsi="Courier New"/>
          <w:color w:val="1B2A4A"/>
          <w:sz w:val="16"/>
          <w:szCs w:val="16"/>
        </w:rPr>
        <w:t xml:space="preserve">    "stat2l": "Primary interviews per Africa wealthtech mandate",</w:t>
      </w:r>
    </w:p>
    <w:p>
      <w:pPr>
        <w:shd w:fill="F0F0F0" w:val="clear"/>
        <w:spacing w:after="14" w:before="14"/>
        <w:ind w:left="360"/>
      </w:pPr>
      <w:r>
        <w:rPr>
          <w:rFonts w:ascii="Courier New" w:cs="Courier New" w:eastAsia="Courier New" w:hAnsi="Courier New"/>
          <w:color w:val="1B2A4A"/>
          <w:sz w:val="16"/>
          <w:szCs w:val="16"/>
        </w:rPr>
        <w:t xml:space="preserve">    "stat2b": "African HNI investors, FSCA officials, and stockbroking partners — every engagement grounded in direct primary research.",</w:t>
      </w:r>
    </w:p>
    <w:p>
      <w:pPr>
        <w:shd w:fill="F0F0F0" w:val="clear"/>
        <w:spacing w:after="14" w:before="14"/>
        <w:ind w:left="360"/>
      </w:pPr>
      <w:r>
        <w:rPr>
          <w:rFonts w:ascii="Courier New" w:cs="Courier New" w:eastAsia="Courier New" w:hAnsi="Courier New"/>
          <w:color w:val="1B2A4A"/>
          <w:sz w:val="16"/>
          <w:szCs w:val="16"/>
        </w:rPr>
        <w:t xml:space="preserve">    "stat3n": "8 weeks",</w:t>
      </w:r>
    </w:p>
    <w:p>
      <w:pPr>
        <w:shd w:fill="F0F0F0" w:val="clear"/>
        <w:spacing w:after="14" w:before="14"/>
        <w:ind w:left="360"/>
      </w:pPr>
      <w:r>
        <w:rPr>
          <w:rFonts w:ascii="Courier New" w:cs="Courier New" w:eastAsia="Courier New" w:hAnsi="Courier New"/>
          <w:color w:val="1B2A4A"/>
          <w:sz w:val="16"/>
          <w:szCs w:val="16"/>
        </w:rPr>
        <w:t xml:space="preserve">    "stat3l": "Africa wealthtech market entry strategy",</w:t>
      </w:r>
    </w:p>
    <w:p>
      <w:pPr>
        <w:shd w:fill="F0F0F0" w:val="clear"/>
        <w:spacing w:after="14" w:before="14"/>
        <w:ind w:left="360"/>
      </w:pPr>
      <w:r>
        <w:rPr>
          <w:rFonts w:ascii="Courier New" w:cs="Courier New" w:eastAsia="Courier New" w:hAnsi="Courier New"/>
          <w:color w:val="1B2A4A"/>
          <w:sz w:val="16"/>
          <w:szCs w:val="16"/>
        </w:rPr>
        <w:t xml:space="preserve">    "stat3b": "AI-augmented FSCA regulatory mapping and HNI demand research delivers Africa wealthtech strategies efficiently."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"slug": "southeast-asia-wealthtech",</w:t>
      </w:r>
    </w:p>
    <w:p>
      <w:pPr>
        <w:shd w:fill="F0F0F0" w:val="clear"/>
        <w:spacing w:after="14" w:before="14"/>
        <w:ind w:left="360"/>
      </w:pPr>
      <w:r>
        <w:rPr>
          <w:rFonts w:ascii="Courier New" w:cs="Courier New" w:eastAsia="Courier New" w:hAnsi="Courier New"/>
          <w:color w:val="1B2A4A"/>
          <w:sz w:val="16"/>
          <w:szCs w:val="16"/>
        </w:rPr>
        <w:t xml:space="preserve">    "parent": "wealthtech",</w:t>
      </w:r>
    </w:p>
    <w:p>
      <w:pPr>
        <w:shd w:fill="F0F0F0" w:val="clear"/>
        <w:spacing w:after="14" w:before="14"/>
        <w:ind w:left="360"/>
      </w:pPr>
      <w:r>
        <w:rPr>
          <w:rFonts w:ascii="Courier New" w:cs="Courier New" w:eastAsia="Courier New" w:hAnsi="Courier New"/>
          <w:color w:val="1B2A4A"/>
          <w:sz w:val="16"/>
          <w:szCs w:val="16"/>
        </w:rPr>
        <w:t xml:space="preserve">    "title": "Southeast Asia Wealthtech Market Entry Strategy | GreyRadius",</w:t>
      </w:r>
    </w:p>
    <w:p>
      <w:pPr>
        <w:shd w:fill="F0F0F0" w:val="clear"/>
        <w:spacing w:after="14" w:before="14"/>
        <w:ind w:left="360"/>
      </w:pPr>
      <w:r>
        <w:rPr>
          <w:rFonts w:ascii="Courier New" w:cs="Courier New" w:eastAsia="Courier New" w:hAnsi="Courier New"/>
          <w:color w:val="1B2A4A"/>
          <w:sz w:val="16"/>
          <w:szCs w:val="16"/>
        </w:rPr>
        <w:t xml:space="preserve">    "meta": "GreyRadius helps wealthtech companies enter Southeast Asia with MAS CMS licence mapping, Singapore VCC structure advisory, HNI demand validation, and distribution partner identification.",</w:t>
      </w:r>
    </w:p>
    <w:p>
      <w:pPr>
        <w:shd w:fill="F0F0F0" w:val="clear"/>
        <w:spacing w:after="14" w:before="14"/>
        <w:ind w:left="360"/>
      </w:pPr>
      <w:r>
        <w:rPr>
          <w:rFonts w:ascii="Courier New" w:cs="Courier New" w:eastAsia="Courier New" w:hAnsi="Courier New"/>
          <w:color w:val="1B2A4A"/>
          <w:sz w:val="16"/>
          <w:szCs w:val="16"/>
        </w:rPr>
        <w:t xml:space="preserve">    "h1": "Southeast Asia wealthtech market entry strategy",</w:t>
      </w:r>
    </w:p>
    <w:p>
      <w:pPr>
        <w:shd w:fill="F0F0F0" w:val="clear"/>
        <w:spacing w:after="14" w:before="14"/>
        <w:ind w:left="360"/>
      </w:pPr>
      <w:r>
        <w:rPr>
          <w:rFonts w:ascii="Courier New" w:cs="Courier New" w:eastAsia="Courier New" w:hAnsi="Courier New"/>
          <w:color w:val="1B2A4A"/>
          <w:sz w:val="16"/>
          <w:szCs w:val="16"/>
        </w:rPr>
        <w:t xml:space="preserve">    "tagline": "From international wealth technology to Southeast Asian investor — strategy for wealthtech companies entering ASEAN.",</w:t>
      </w:r>
    </w:p>
    <w:p>
      <w:pPr>
        <w:shd w:fill="F0F0F0" w:val="clear"/>
        <w:spacing w:after="14" w:before="14"/>
        <w:ind w:left="360"/>
      </w:pPr>
      <w:r>
        <w:rPr>
          <w:rFonts w:ascii="Courier New" w:cs="Courier New" w:eastAsia="Courier New" w:hAnsi="Courier New"/>
          <w:color w:val="1B2A4A"/>
          <w:sz w:val="16"/>
          <w:szCs w:val="16"/>
        </w:rPr>
        <w:t xml:space="preserve">    "hero": "Southeast Asia's wealthtech market is one of the world's most commercially significant — with Singapore's MAS-regulated wealth management ecosystem as Asia's most sophisticated, Indonesia's 170,000+ HNIs growing at 8% annually, Vietnam's rapidly growing stock market investor base, and Southeast Asia's high savings rates creating investment product demand. International wealthtech companies across digital private banking, robo-advisory, alternative investment platforms, and portfolio management technology are all evaluating Southeast Asia as a priority wealthtech market. GreyRadius helps wealthtech companies validate ASEAN HNI demand, navigate MAS and OJK regulatory requirements, identify distribution partners, and execute GTM.",</w:t>
      </w:r>
    </w:p>
    <w:p>
      <w:pPr>
        <w:shd w:fill="F0F0F0" w:val="clear"/>
        <w:spacing w:after="14" w:before="14"/>
        <w:ind w:left="360"/>
      </w:pPr>
      <w:r>
        <w:rPr>
          <w:rFonts w:ascii="Courier New" w:cs="Courier New" w:eastAsia="Courier New" w:hAnsi="Courier New"/>
          <w:color w:val="1B2A4A"/>
          <w:sz w:val="16"/>
          <w:szCs w:val="16"/>
        </w:rPr>
        <w:t xml:space="preserve">    "market_timing": "Singapore's Variable Capital Company (VCC) structure is creating new fund domiciliation infrastructure — VCC enables investment funds domiciled in Singapore with MAS-regulated governance, creating a pan-Asia fund structure that international wealthtech companies can use as a distribution vehicle for Southeast Asian HNI investment. Wealthtech companies establishing VCC structures in 2024-2026 will access MAS regulatory credibility that accelerates ASEAN HNI adoption.",</w:t>
      </w:r>
    </w:p>
    <w:p>
      <w:pPr>
        <w:shd w:fill="F0F0F0" w:val="clear"/>
        <w:spacing w:after="14" w:before="14"/>
        <w:ind w:left="360"/>
      </w:pPr>
      <w:r>
        <w:rPr>
          <w:rFonts w:ascii="Courier New" w:cs="Courier New" w:eastAsia="Courier New" w:hAnsi="Courier New"/>
          <w:color w:val="1B2A4A"/>
          <w:sz w:val="16"/>
          <w:szCs w:val="16"/>
        </w:rPr>
        <w:t xml:space="preserve">    "insights": [</w:t>
      </w:r>
    </w:p>
    <w:p>
      <w:pPr>
        <w:shd w:fill="F0F0F0" w:val="clear"/>
        <w:spacing w:after="14" w:before="14"/>
        <w:ind w:left="360"/>
      </w:pPr>
      <w:r>
        <w:rPr>
          <w:rFonts w:ascii="Courier New" w:cs="Courier New" w:eastAsia="Courier New" w:hAnsi="Courier New"/>
          <w:color w:val="1B2A4A"/>
          <w:sz w:val="16"/>
          <w:szCs w:val="16"/>
        </w:rPr>
        <w:t xml:space="preserve">      "Southeast Asia wealthtech market is projected to reach $8B in AUM by 2027 — growing at 25% annually as HNI wealth creation, digital investment infrastructure, and alternative asset awareness all scale.",</w:t>
      </w:r>
    </w:p>
    <w:p>
      <w:pPr>
        <w:shd w:fill="F0F0F0" w:val="clear"/>
        <w:spacing w:after="14" w:before="14"/>
        <w:ind w:left="360"/>
      </w:pPr>
      <w:r>
        <w:rPr>
          <w:rFonts w:ascii="Courier New" w:cs="Courier New" w:eastAsia="Courier New" w:hAnsi="Courier New"/>
          <w:color w:val="1B2A4A"/>
          <w:sz w:val="16"/>
          <w:szCs w:val="16"/>
        </w:rPr>
        <w:t xml:space="preserve">      "Singapore is Southeast Asia's wealthtech hub — MAS-regulated investment infrastructure, highest per-capita wealth in ASEAN, and regional family office concentration making Singapore the essential wealthtech entry market.",</w:t>
      </w:r>
    </w:p>
    <w:p>
      <w:pPr>
        <w:shd w:fill="F0F0F0" w:val="clear"/>
        <w:spacing w:after="14" w:before="14"/>
        <w:ind w:left="360"/>
      </w:pPr>
      <w:r>
        <w:rPr>
          <w:rFonts w:ascii="Courier New" w:cs="Courier New" w:eastAsia="Courier New" w:hAnsi="Courier New"/>
          <w:color w:val="1B2A4A"/>
          <w:sz w:val="16"/>
          <w:szCs w:val="16"/>
        </w:rPr>
        <w:t xml:space="preserve">      "Indonesia's HNI population is growing at 8% annually — 170,000+ Indonesian HNIs increasingly seeking investment products beyond property and bank deposits.",</w:t>
      </w:r>
    </w:p>
    <w:p>
      <w:pPr>
        <w:shd w:fill="F0F0F0" w:val="clear"/>
        <w:spacing w:after="14" w:before="14"/>
        <w:ind w:left="360"/>
      </w:pPr>
      <w:r>
        <w:rPr>
          <w:rFonts w:ascii="Courier New" w:cs="Courier New" w:eastAsia="Courier New" w:hAnsi="Courier New"/>
          <w:color w:val="1B2A4A"/>
          <w:sz w:val="16"/>
          <w:szCs w:val="16"/>
        </w:rPr>
        <w:t xml:space="preserve">      "Vietnam's stock market investor base has grown 10x since 2019 — 7 million Vietnamese retail investors and a nascent HNI wealth management market creating wealthtech opportunity."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"challenges_market": [</w:t>
      </w:r>
    </w:p>
    <w:p>
      <w:pPr>
        <w:shd w:fill="F0F0F0" w:val="clear"/>
        <w:spacing w:after="14" w:before="14"/>
        <w:ind w:left="360"/>
      </w:pPr>
      <w:r>
        <w:rPr>
          <w:rFonts w:ascii="Courier New" w:cs="Courier New" w:eastAsia="Courier New" w:hAnsi="Courier New"/>
          <w:color w:val="1B2A4A"/>
          <w:sz w:val="16"/>
          <w:szCs w:val="16"/>
        </w:rPr>
        <w:t xml:space="preserve">      "MAS Capital Markets Services licence is required for investment management in Singapore — CMS licence for fund management, dealing, and investment advisory requires significant compliance infrastructure.",</w:t>
      </w:r>
    </w:p>
    <w:p>
      <w:pPr>
        <w:shd w:fill="F0F0F0" w:val="clear"/>
        <w:spacing w:after="14" w:before="14"/>
        <w:ind w:left="360"/>
      </w:pPr>
      <w:r>
        <w:rPr>
          <w:rFonts w:ascii="Courier New" w:cs="Courier New" w:eastAsia="Courier New" w:hAnsi="Courier New"/>
          <w:color w:val="1B2A4A"/>
          <w:sz w:val="16"/>
          <w:szCs w:val="16"/>
        </w:rPr>
        <w:t xml:space="preserve">      "OJK Indonesia investment product registration is complex — investment advisers and portfolio managers require OJK registration with specific capital and professional requirements.",</w:t>
      </w:r>
    </w:p>
    <w:p>
      <w:pPr>
        <w:shd w:fill="F0F0F0" w:val="clear"/>
        <w:spacing w:after="14" w:before="14"/>
        <w:ind w:left="360"/>
      </w:pPr>
      <w:r>
        <w:rPr>
          <w:rFonts w:ascii="Courier New" w:cs="Courier New" w:eastAsia="Courier New" w:hAnsi="Courier New"/>
          <w:color w:val="1B2A4A"/>
          <w:sz w:val="16"/>
          <w:szCs w:val="16"/>
        </w:rPr>
        <w:t xml:space="preserve">      "Southeast Asian HNI investment preferences vary significantly — Singapore HNIs prefer structured products and alternatives; Indonesian HNIs prefer property and equity; Vietnamese HNIs prefer domestic stock market.",</w:t>
      </w:r>
    </w:p>
    <w:p>
      <w:pPr>
        <w:shd w:fill="F0F0F0" w:val="clear"/>
        <w:spacing w:after="14" w:before="14"/>
        <w:ind w:left="360"/>
      </w:pPr>
      <w:r>
        <w:rPr>
          <w:rFonts w:ascii="Courier New" w:cs="Courier New" w:eastAsia="Courier New" w:hAnsi="Courier New"/>
          <w:color w:val="1B2A4A"/>
          <w:sz w:val="16"/>
          <w:szCs w:val="16"/>
        </w:rPr>
        <w:t xml:space="preserve">      "Competition from established Singapore private banks — UBS, Deutsche, and Standard Chartered — with existing HNI relationships is intense in the ultra-high-net-worth segment."</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"challenges_we_solve": [</w:t>
      </w:r>
    </w:p>
    <w:p>
      <w:pPr>
        <w:shd w:fill="F0F0F0" w:val="clear"/>
        <w:spacing w:after="14" w:before="14"/>
        <w:ind w:left="360"/>
      </w:pPr>
      <w:r>
        <w:rPr>
          <w:rFonts w:ascii="Courier New" w:cs="Courier New" w:eastAsia="Courier New" w:hAnsi="Courier New"/>
          <w:color w:val="1B2A4A"/>
          <w:sz w:val="16"/>
          <w:szCs w:val="16"/>
        </w:rPr>
        <w:t xml:space="preserve">      "Southeast Asia wealthtech HNI demand validation|You need to validate ASEAN HNI investment preferences and understand MAS and OJK regulatory requirements.",</w:t>
      </w:r>
    </w:p>
    <w:p>
      <w:pPr>
        <w:shd w:fill="F0F0F0" w:val="clear"/>
        <w:spacing w:after="14" w:before="14"/>
        <w:ind w:left="360"/>
      </w:pPr>
      <w:r>
        <w:rPr>
          <w:rFonts w:ascii="Courier New" w:cs="Courier New" w:eastAsia="Courier New" w:hAnsi="Courier New"/>
          <w:color w:val="1B2A4A"/>
          <w:sz w:val="16"/>
          <w:szCs w:val="16"/>
        </w:rPr>
        <w:t xml:space="preserve">      "MAS and OJK regulatory pathway|You need to understand Singapore CMS licence, VCC fund structure, and Indonesia OJK investment adviser registration.",</w:t>
      </w:r>
    </w:p>
    <w:p>
      <w:pPr>
        <w:shd w:fill="F0F0F0" w:val="clear"/>
        <w:spacing w:after="14" w:before="14"/>
        <w:ind w:left="360"/>
      </w:pPr>
      <w:r>
        <w:rPr>
          <w:rFonts w:ascii="Courier New" w:cs="Courier New" w:eastAsia="Courier New" w:hAnsi="Courier New"/>
          <w:color w:val="1B2A4A"/>
          <w:sz w:val="16"/>
          <w:szCs w:val="16"/>
        </w:rPr>
        <w:t xml:space="preserve">      "Southeast Asia wealthtech distribution partner identification|You need MAS-licensed bank distribution partnerships, Singapore family office access, and OJK-registered Indonesian investment platform partnerships.",</w:t>
      </w:r>
    </w:p>
    <w:p>
      <w:pPr>
        <w:shd w:fill="F0F0F0" w:val="clear"/>
        <w:spacing w:after="14" w:before="14"/>
        <w:ind w:left="360"/>
      </w:pPr>
      <w:r>
        <w:rPr>
          <w:rFonts w:ascii="Courier New" w:cs="Courier New" w:eastAsia="Courier New" w:hAnsi="Courier New"/>
          <w:color w:val="1B2A4A"/>
          <w:sz w:val="16"/>
          <w:szCs w:val="16"/>
        </w:rPr>
        <w:t xml:space="preserve">      "Southeast Asia wealthtech GTM strategy|You need a Singapore-first CMS-licensed launch and Indonesia OJK-registered expansion plan.",</w:t>
      </w:r>
    </w:p>
    <w:p>
      <w:pPr>
        <w:shd w:fill="F0F0F0" w:val="clear"/>
        <w:spacing w:after="14" w:before="14"/>
        <w:ind w:left="360"/>
      </w:pPr>
      <w:r>
        <w:rPr>
          <w:rFonts w:ascii="Courier New" w:cs="Courier New" w:eastAsia="Courier New" w:hAnsi="Courier New"/>
          <w:color w:val="1B2A4A"/>
          <w:sz w:val="16"/>
          <w:szCs w:val="16"/>
        </w:rPr>
        <w:t xml:space="preserve">      "Raising capital for Southeast Asia wealthtech investment|You need a pitch book grounded in ASEAN HNI wealth data and digital investment adoption analysis.",</w:t>
      </w:r>
    </w:p>
    <w:p>
      <w:pPr>
        <w:shd w:fill="F0F0F0" w:val="clear"/>
        <w:spacing w:after="14" w:before="14"/>
        <w:ind w:left="360"/>
      </w:pPr>
      <w:r>
        <w:rPr>
          <w:rFonts w:ascii="Courier New" w:cs="Courier New" w:eastAsia="Courier New" w:hAnsi="Courier New"/>
          <w:color w:val="1B2A4A"/>
          <w:sz w:val="16"/>
          <w:szCs w:val="16"/>
        </w:rPr>
        <w:t xml:space="preserve">      "VCC fund structure strategy|You need a Singapore VCC structure that provides regulatory credibility and tax efficiency for pan-Asia wealthtech distribution."</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"service_angles": [</w:t>
      </w:r>
    </w:p>
    <w:p>
      <w:pPr>
        <w:shd w:fill="F0F0F0" w:val="clear"/>
        <w:spacing w:after="14" w:before="14"/>
        <w:ind w:left="360"/>
      </w:pPr>
      <w:r>
        <w:rPr>
          <w:rFonts w:ascii="Courier New" w:cs="Courier New" w:eastAsia="Courier New" w:hAnsi="Courier New"/>
          <w:color w:val="1B2A4A"/>
          <w:sz w:val="16"/>
          <w:szCs w:val="16"/>
        </w:rPr>
        <w:t xml:space="preserve">      "Validate Southeast Asian HNI investment demand with investor interviews and MAS regulatory mapping.",</w:t>
      </w:r>
    </w:p>
    <w:p>
      <w:pPr>
        <w:shd w:fill="F0F0F0" w:val="clear"/>
        <w:spacing w:after="14" w:before="14"/>
        <w:ind w:left="360"/>
      </w:pPr>
      <w:r>
        <w:rPr>
          <w:rFonts w:ascii="Courier New" w:cs="Courier New" w:eastAsia="Courier New" w:hAnsi="Courier New"/>
          <w:color w:val="1B2A4A"/>
          <w:sz w:val="16"/>
          <w:szCs w:val="16"/>
        </w:rPr>
        <w:t xml:space="preserve">      "Full financial feasibility for Southeast Asia wealthtech investment covering CMS licence cost and AUM economics.",</w:t>
      </w:r>
    </w:p>
    <w:p>
      <w:pPr>
        <w:shd w:fill="F0F0F0" w:val="clear"/>
        <w:spacing w:after="14" w:before="14"/>
        <w:ind w:left="360"/>
      </w:pPr>
      <w:r>
        <w:rPr>
          <w:rFonts w:ascii="Courier New" w:cs="Courier New" w:eastAsia="Courier New" w:hAnsi="Courier New"/>
          <w:color w:val="1B2A4A"/>
          <w:sz w:val="16"/>
          <w:szCs w:val="16"/>
        </w:rPr>
        <w:t xml:space="preserve">      "End-to-end Southeast Asia wealthtech market entry including MAS pathway, distribution partner identification, and first-AUM milestone.",</w:t>
      </w:r>
    </w:p>
    <w:p>
      <w:pPr>
        <w:shd w:fill="F0F0F0" w:val="clear"/>
        <w:spacing w:after="14" w:before="14"/>
        <w:ind w:left="360"/>
      </w:pPr>
      <w:r>
        <w:rPr>
          <w:rFonts w:ascii="Courier New" w:cs="Courier New" w:eastAsia="Courier New" w:hAnsi="Courier New"/>
          <w:color w:val="1B2A4A"/>
          <w:sz w:val="16"/>
          <w:szCs w:val="16"/>
        </w:rPr>
        <w:t xml:space="preserve">      "Embedded Southeast Asia wealthtech GTM team covering HNI acquisition and private bank distribution outreach.",</w:t>
      </w:r>
    </w:p>
    <w:p>
      <w:pPr>
        <w:shd w:fill="F0F0F0" w:val="clear"/>
        <w:spacing w:after="14" w:before="14"/>
        <w:ind w:left="360"/>
      </w:pPr>
      <w:r>
        <w:rPr>
          <w:rFonts w:ascii="Courier New" w:cs="Courier New" w:eastAsia="Courier New" w:hAnsi="Courier New"/>
          <w:color w:val="1B2A4A"/>
          <w:sz w:val="16"/>
          <w:szCs w:val="16"/>
        </w:rPr>
        <w:t xml:space="preserve">      "Investor-ready pitch books for Southeast Asia wealthtech investment with Singapore family office and ASEAN HNI wealth narrative.",</w:t>
      </w:r>
    </w:p>
    <w:p>
      <w:pPr>
        <w:shd w:fill="F0F0F0" w:val="clear"/>
        <w:spacing w:after="14" w:before="14"/>
        <w:ind w:left="360"/>
      </w:pPr>
      <w:r>
        <w:rPr>
          <w:rFonts w:ascii="Courier New" w:cs="Courier New" w:eastAsia="Courier New" w:hAnsi="Courier New"/>
          <w:color w:val="1B2A4A"/>
          <w:sz w:val="16"/>
          <w:szCs w:val="16"/>
        </w:rPr>
        <w:t xml:space="preserve">      "VCC structure strategy — from MAS application to pan-ASEAN fund distribution architecture."</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"faq": [</w:t>
      </w:r>
    </w:p>
    <w:p>
      <w:pPr>
        <w:shd w:fill="F0F0F0" w:val="clear"/>
        <w:spacing w:after="14" w:before="14"/>
        <w:ind w:left="360"/>
      </w:pPr>
      <w:r>
        <w:rPr>
          <w:rFonts w:ascii="Courier New" w:cs="Courier New" w:eastAsia="Courier New" w:hAnsi="Courier New"/>
          <w:color w:val="1B2A4A"/>
          <w:sz w:val="16"/>
          <w:szCs w:val="16"/>
        </w:rPr>
        <w:t xml:space="preserve">      "Does GreyRadius work with robo-advisory companies or also with digital private banking, alternative investment, and family office technology companies entering Southeast Asia?|All wealthtech categories.",</w:t>
      </w:r>
    </w:p>
    <w:p>
      <w:pPr>
        <w:shd w:fill="F0F0F0" w:val="clear"/>
        <w:spacing w:after="14" w:before="14"/>
        <w:ind w:left="360"/>
      </w:pPr>
      <w:r>
        <w:rPr>
          <w:rFonts w:ascii="Courier New" w:cs="Courier New" w:eastAsia="Courier New" w:hAnsi="Courier New"/>
          <w:color w:val="1B2A4A"/>
          <w:sz w:val="16"/>
          <w:szCs w:val="16"/>
        </w:rPr>
        <w:t xml:space="preserve">      "Which Southeast Asian wealthtech markets does GreyRadius prioritise?|Singapore for MAS regulatory credibility and family office concentration; Indonesia for HNI population growth; Vietnam for retail investor base.",</w:t>
      </w:r>
    </w:p>
    <w:p>
      <w:pPr>
        <w:shd w:fill="F0F0F0" w:val="clear"/>
        <w:spacing w:after="14" w:before="14"/>
        <w:ind w:left="360"/>
      </w:pPr>
      <w:r>
        <w:rPr>
          <w:rFonts w:ascii="Courier New" w:cs="Courier New" w:eastAsia="Courier New" w:hAnsi="Courier New"/>
          <w:color w:val="1B2A4A"/>
          <w:sz w:val="16"/>
          <w:szCs w:val="16"/>
        </w:rPr>
        <w:t xml:space="preserve">      "How long does a Southeast Asia wealthtech engagement take?|Typically 8-12 weeks for HNI demand research, MAS regulatory mapping, and distribution partner identification.",</w:t>
      </w:r>
    </w:p>
    <w:p>
      <w:pPr>
        <w:shd w:fill="F0F0F0" w:val="clear"/>
        <w:spacing w:after="14" w:before="14"/>
        <w:ind w:left="360"/>
      </w:pPr>
      <w:r>
        <w:rPr>
          <w:rFonts w:ascii="Courier New" w:cs="Courier New" w:eastAsia="Courier New" w:hAnsi="Courier New"/>
          <w:color w:val="1B2A4A"/>
          <w:sz w:val="16"/>
          <w:szCs w:val="16"/>
        </w:rPr>
        <w:t xml:space="preserve">      "Can GreyRadius identify MAS-licensed private bank distribution partners for wealthtech companies?|Yes."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"keywords": "Southeast Asia wealthtech market entry, MAS CMS licence consulting, Singapore VCC fund structure advisory, Indonesia OJK investment adviser GTM, Southeast Asia wealth management market entry",</w:t>
      </w:r>
    </w:p>
    <w:p>
      <w:pPr>
        <w:shd w:fill="F0F0F0" w:val="clear"/>
        <w:spacing w:after="14" w:before="14"/>
        <w:ind w:left="360"/>
      </w:pPr>
      <w:r>
        <w:rPr>
          <w:rFonts w:ascii="Courier New" w:cs="Courier New" w:eastAsia="Courier New" w:hAnsi="Courier New"/>
          <w:color w:val="1B2A4A"/>
          <w:sz w:val="16"/>
          <w:szCs w:val="16"/>
        </w:rPr>
        <w:t xml:space="preserve">    "regions": "Singapore — MAS-regulated wealthtech across Orchard Road and Marina Bay family office ecosystem; Indonesia — Jakarta HNI wealth management; Vietnam — Ho Chi Minh City retail investor platform",</w:t>
      </w:r>
    </w:p>
    <w:p>
      <w:pPr>
        <w:shd w:fill="F0F0F0" w:val="clear"/>
        <w:spacing w:after="14" w:before="14"/>
        <w:ind w:left="360"/>
      </w:pPr>
      <w:r>
        <w:rPr>
          <w:rFonts w:ascii="Courier New" w:cs="Courier New" w:eastAsia="Courier New" w:hAnsi="Courier New"/>
          <w:color w:val="1B2A4A"/>
          <w:sz w:val="16"/>
          <w:szCs w:val="16"/>
        </w:rPr>
        <w:t xml:space="preserve">    "stat1n": "$8B",</w:t>
      </w:r>
    </w:p>
    <w:p>
      <w:pPr>
        <w:shd w:fill="F0F0F0" w:val="clear"/>
        <w:spacing w:after="14" w:before="14"/>
        <w:ind w:left="360"/>
      </w:pPr>
      <w:r>
        <w:rPr>
          <w:rFonts w:ascii="Courier New" w:cs="Courier New" w:eastAsia="Courier New" w:hAnsi="Courier New"/>
          <w:color w:val="1B2A4A"/>
          <w:sz w:val="16"/>
          <w:szCs w:val="16"/>
        </w:rPr>
        <w:t xml:space="preserve">    "stat1l": "Southeast Asia wealthtech AUM by 2027",</w:t>
      </w:r>
    </w:p>
    <w:p>
      <w:pPr>
        <w:shd w:fill="F0F0F0" w:val="clear"/>
        <w:spacing w:after="14" w:before="14"/>
        <w:ind w:left="360"/>
      </w:pPr>
      <w:r>
        <w:rPr>
          <w:rFonts w:ascii="Courier New" w:cs="Courier New" w:eastAsia="Courier New" w:hAnsi="Courier New"/>
          <w:color w:val="1B2A4A"/>
          <w:sz w:val="16"/>
          <w:szCs w:val="16"/>
        </w:rPr>
        <w:t xml:space="preserve">    "stat1b": "HNI wealth creation, digital investment infrastructure, and Singapore family office concentration driving 25% annual ASEAN wealthtech growth.",</w:t>
      </w:r>
    </w:p>
    <w:p>
      <w:pPr>
        <w:shd w:fill="F0F0F0" w:val="clear"/>
        <w:spacing w:after="14" w:before="14"/>
        <w:ind w:left="360"/>
      </w:pPr>
      <w:r>
        <w:rPr>
          <w:rFonts w:ascii="Courier New" w:cs="Courier New" w:eastAsia="Courier New" w:hAnsi="Courier New"/>
          <w:color w:val="1B2A4A"/>
          <w:sz w:val="16"/>
          <w:szCs w:val="16"/>
        </w:rPr>
        <w:t xml:space="preserve">    "stat2n": "30+",</w:t>
      </w:r>
    </w:p>
    <w:p>
      <w:pPr>
        <w:shd w:fill="F0F0F0" w:val="clear"/>
        <w:spacing w:after="14" w:before="14"/>
        <w:ind w:left="360"/>
      </w:pPr>
      <w:r>
        <w:rPr>
          <w:rFonts w:ascii="Courier New" w:cs="Courier New" w:eastAsia="Courier New" w:hAnsi="Courier New"/>
          <w:color w:val="1B2A4A"/>
          <w:sz w:val="16"/>
          <w:szCs w:val="16"/>
        </w:rPr>
        <w:t xml:space="preserve">    "stat2l": "Primary interviews per Southeast Asia wealthtech mandate",</w:t>
      </w:r>
    </w:p>
    <w:p>
      <w:pPr>
        <w:shd w:fill="F0F0F0" w:val="clear"/>
        <w:spacing w:after="14" w:before="14"/>
        <w:ind w:left="360"/>
      </w:pPr>
      <w:r>
        <w:rPr>
          <w:rFonts w:ascii="Courier New" w:cs="Courier New" w:eastAsia="Courier New" w:hAnsi="Courier New"/>
          <w:color w:val="1B2A4A"/>
          <w:sz w:val="16"/>
          <w:szCs w:val="16"/>
        </w:rPr>
        <w:t xml:space="preserve">    "stat2b": "ASEAN HNI investors, MAS officials, and private bank distribution heads — every engagement grounded in direct primary research.",</w:t>
      </w:r>
    </w:p>
    <w:p>
      <w:pPr>
        <w:shd w:fill="F0F0F0" w:val="clear"/>
        <w:spacing w:after="14" w:before="14"/>
        <w:ind w:left="360"/>
      </w:pPr>
      <w:r>
        <w:rPr>
          <w:rFonts w:ascii="Courier New" w:cs="Courier New" w:eastAsia="Courier New" w:hAnsi="Courier New"/>
          <w:color w:val="1B2A4A"/>
          <w:sz w:val="16"/>
          <w:szCs w:val="16"/>
        </w:rPr>
        <w:t xml:space="preserve">    "stat3n": "8 weeks",</w:t>
      </w:r>
    </w:p>
    <w:p>
      <w:pPr>
        <w:shd w:fill="F0F0F0" w:val="clear"/>
        <w:spacing w:after="14" w:before="14"/>
        <w:ind w:left="360"/>
      </w:pPr>
      <w:r>
        <w:rPr>
          <w:rFonts w:ascii="Courier New" w:cs="Courier New" w:eastAsia="Courier New" w:hAnsi="Courier New"/>
          <w:color w:val="1B2A4A"/>
          <w:sz w:val="16"/>
          <w:szCs w:val="16"/>
        </w:rPr>
        <w:t xml:space="preserve">    "stat3l": "Southeast Asia wealthtech market entry strategy",</w:t>
      </w:r>
    </w:p>
    <w:p>
      <w:pPr>
        <w:shd w:fill="F0F0F0" w:val="clear"/>
        <w:spacing w:after="14" w:before="14"/>
        <w:ind w:left="360"/>
      </w:pPr>
      <w:r>
        <w:rPr>
          <w:rFonts w:ascii="Courier New" w:cs="Courier New" w:eastAsia="Courier New" w:hAnsi="Courier New"/>
          <w:color w:val="1B2A4A"/>
          <w:sz w:val="16"/>
          <w:szCs w:val="16"/>
        </w:rPr>
        <w:t xml:space="preserve">    "stat3b": "AI-augmented MAS regulatory mapping and HNI demand research delivers Southeast Asia wealthtech strategies efficiently."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"slug": "gulf-medical-devices",</w:t>
      </w:r>
    </w:p>
    <w:p>
      <w:pPr>
        <w:shd w:fill="F0F0F0" w:val="clear"/>
        <w:spacing w:after="14" w:before="14"/>
        <w:ind w:left="360"/>
      </w:pPr>
      <w:r>
        <w:rPr>
          <w:rFonts w:ascii="Courier New" w:cs="Courier New" w:eastAsia="Courier New" w:hAnsi="Courier New"/>
          <w:color w:val="1B2A4A"/>
          <w:sz w:val="16"/>
          <w:szCs w:val="16"/>
        </w:rPr>
        <w:t xml:space="preserve">    "parent": "medical-devices",</w:t>
      </w:r>
    </w:p>
    <w:p>
      <w:pPr>
        <w:shd w:fill="F0F0F0" w:val="clear"/>
        <w:spacing w:after="14" w:before="14"/>
        <w:ind w:left="360"/>
      </w:pPr>
      <w:r>
        <w:rPr>
          <w:rFonts w:ascii="Courier New" w:cs="Courier New" w:eastAsia="Courier New" w:hAnsi="Courier New"/>
          <w:color w:val="1B2A4A"/>
          <w:sz w:val="16"/>
          <w:szCs w:val="16"/>
        </w:rPr>
        <w:t xml:space="preserve">    "title": "Gulf Medical Devices Market Entry Strategy | GreyRadius",</w:t>
      </w:r>
    </w:p>
    <w:p>
      <w:pPr>
        <w:shd w:fill="F0F0F0" w:val="clear"/>
        <w:spacing w:after="14" w:before="14"/>
        <w:ind w:left="360"/>
      </w:pPr>
      <w:r>
        <w:rPr>
          <w:rFonts w:ascii="Courier New" w:cs="Courier New" w:eastAsia="Courier New" w:hAnsi="Courier New"/>
          <w:color w:val="1B2A4A"/>
          <w:sz w:val="16"/>
          <w:szCs w:val="16"/>
        </w:rPr>
        <w:t xml:space="preserve">    "meta": "GreyRadius helps international medical device companies enter Gulf markets with SFDA regulatory mapping, hospital distributor identification, KOL strategy, and GTM planning.",</w:t>
      </w:r>
    </w:p>
    <w:p>
      <w:pPr>
        <w:shd w:fill="F0F0F0" w:val="clear"/>
        <w:spacing w:after="14" w:before="14"/>
        <w:ind w:left="360"/>
      </w:pPr>
      <w:r>
        <w:rPr>
          <w:rFonts w:ascii="Courier New" w:cs="Courier New" w:eastAsia="Courier New" w:hAnsi="Courier New"/>
          <w:color w:val="1B2A4A"/>
          <w:sz w:val="16"/>
          <w:szCs w:val="16"/>
        </w:rPr>
        <w:t xml:space="preserve">    "h1": "Gulf medical devices market entry strategy",</w:t>
      </w:r>
    </w:p>
    <w:p>
      <w:pPr>
        <w:shd w:fill="F0F0F0" w:val="clear"/>
        <w:spacing w:after="14" w:before="14"/>
        <w:ind w:left="360"/>
      </w:pPr>
      <w:r>
        <w:rPr>
          <w:rFonts w:ascii="Courier New" w:cs="Courier New" w:eastAsia="Courier New" w:hAnsi="Courier New"/>
          <w:color w:val="1B2A4A"/>
          <w:sz w:val="16"/>
          <w:szCs w:val="16"/>
        </w:rPr>
        <w:t xml:space="preserve">    "tagline": "From international medical device to Gulf clinical deployment — strategy for medical device companies entering the GCC.",</w:t>
      </w:r>
    </w:p>
    <w:p>
      <w:pPr>
        <w:shd w:fill="F0F0F0" w:val="clear"/>
        <w:spacing w:after="14" w:before="14"/>
        <w:ind w:left="360"/>
      </w:pPr>
      <w:r>
        <w:rPr>
          <w:rFonts w:ascii="Courier New" w:cs="Courier New" w:eastAsia="Courier New" w:hAnsi="Courier New"/>
          <w:color w:val="1B2A4A"/>
          <w:sz w:val="16"/>
          <w:szCs w:val="16"/>
        </w:rPr>
        <w:t xml:space="preserve">    "hero": "The Gulf's medical devices market is one of the world's most commercially attractive — with Gulf governments investing billions in healthcare infrastructure, hospital privatisation creating new institutional procurement decision-makers, Saudi Arabia's Vision 2030 healthcare expansion, and Gulf per-capita healthcare spending among the world's highest. International medical device companies across diagnostic equipment, surgical devices, imaging systems, implants, and digital health devices are all evaluating Gulf market entry. GreyRadius helps medical device companies validate Gulf physician and hospital demand, navigate SFDA and MOH regulatory requirements, identify hospital distributors, and execute market entry.",</w:t>
      </w:r>
    </w:p>
    <w:p>
      <w:pPr>
        <w:shd w:fill="F0F0F0" w:val="clear"/>
        <w:spacing w:after="14" w:before="14"/>
        <w:ind w:left="360"/>
      </w:pPr>
      <w:r>
        <w:rPr>
          <w:rFonts w:ascii="Courier New" w:cs="Courier New" w:eastAsia="Courier New" w:hAnsi="Courier New"/>
          <w:color w:val="1B2A4A"/>
          <w:sz w:val="16"/>
          <w:szCs w:val="16"/>
        </w:rPr>
        <w:t xml:space="preserve">    "market_timing": "Saudi Arabia's hospital privatisation programme is creating new medical device procurement relationships — private hospital operators making faster, brand-preference-driven purchasing decisions. International medical device companies that build relationships with private hospital procurement heads and clinical champions in 2024-2027 will access a procurement channel that compounds as Saudi hospital privatisation accelerates.",</w:t>
      </w:r>
    </w:p>
    <w:p>
      <w:pPr>
        <w:shd w:fill="F0F0F0" w:val="clear"/>
        <w:spacing w:after="14" w:before="14"/>
        <w:ind w:left="360"/>
      </w:pPr>
      <w:r>
        <w:rPr>
          <w:rFonts w:ascii="Courier New" w:cs="Courier New" w:eastAsia="Courier New" w:hAnsi="Courier New"/>
          <w:color w:val="1B2A4A"/>
          <w:sz w:val="16"/>
          <w:szCs w:val="16"/>
        </w:rPr>
        <w:t xml:space="preserve">    "insights": [</w:t>
      </w:r>
    </w:p>
    <w:p>
      <w:pPr>
        <w:shd w:fill="F0F0F0" w:val="clear"/>
        <w:spacing w:after="14" w:before="14"/>
        <w:ind w:left="360"/>
      </w:pPr>
      <w:r>
        <w:rPr>
          <w:rFonts w:ascii="Courier New" w:cs="Courier New" w:eastAsia="Courier New" w:hAnsi="Courier New"/>
          <w:color w:val="1B2A4A"/>
          <w:sz w:val="16"/>
          <w:szCs w:val="16"/>
        </w:rPr>
        <w:t xml:space="preserve">      "Gulf medical devices market is projected to reach $12B by 2028 — growing at 10% annually as hospital infrastructure investment, privatisation, and specialist physician growth all drive device demand.",</w:t>
      </w:r>
    </w:p>
    <w:p>
      <w:pPr>
        <w:shd w:fill="F0F0F0" w:val="clear"/>
        <w:spacing w:after="14" w:before="14"/>
        <w:ind w:left="360"/>
      </w:pPr>
      <w:r>
        <w:rPr>
          <w:rFonts w:ascii="Courier New" w:cs="Courier New" w:eastAsia="Courier New" w:hAnsi="Courier New"/>
          <w:color w:val="1B2A4A"/>
          <w:sz w:val="16"/>
          <w:szCs w:val="16"/>
        </w:rPr>
        <w:t xml:space="preserve">      "Saudi Arabia's SFDA medical device registration is mandatory — Class A and B devices require SFDA registration with timelines of 3-9 months; Class C and D take 12-18 months.",</w:t>
      </w:r>
    </w:p>
    <w:p>
      <w:pPr>
        <w:shd w:fill="F0F0F0" w:val="clear"/>
        <w:spacing w:after="14" w:before="14"/>
        <w:ind w:left="360"/>
      </w:pPr>
      <w:r>
        <w:rPr>
          <w:rFonts w:ascii="Courier New" w:cs="Courier New" w:eastAsia="Courier New" w:hAnsi="Courier New"/>
          <w:color w:val="1B2A4A"/>
          <w:sz w:val="16"/>
          <w:szCs w:val="16"/>
        </w:rPr>
        <w:t xml:space="preserve">      "Gulf healthcare infrastructure investment is at a historic peak — Saudi Arabia, UAE, and Qatar all building new hospital capacity that requires capital equipment procurement.",</w:t>
      </w:r>
    </w:p>
    <w:p>
      <w:pPr>
        <w:shd w:fill="F0F0F0" w:val="clear"/>
        <w:spacing w:after="14" w:before="14"/>
        <w:ind w:left="360"/>
      </w:pPr>
      <w:r>
        <w:rPr>
          <w:rFonts w:ascii="Courier New" w:cs="Courier New" w:eastAsia="Courier New" w:hAnsi="Courier New"/>
          <w:color w:val="1B2A4A"/>
          <w:sz w:val="16"/>
          <w:szCs w:val="16"/>
        </w:rPr>
        <w:t xml:space="preserve">      "Digital health device adoption is growing rapidly in Gulf — connected patient monitoring, AI-assisted diagnostics, and remote care technology all seeing rapid adoption in Gulf private hospitals."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"challenges_market": [</w:t>
      </w:r>
    </w:p>
    <w:p>
      <w:pPr>
        <w:shd w:fill="F0F0F0" w:val="clear"/>
        <w:spacing w:after="14" w:before="14"/>
        <w:ind w:left="360"/>
      </w:pPr>
      <w:r>
        <w:rPr>
          <w:rFonts w:ascii="Courier New" w:cs="Courier New" w:eastAsia="Courier New" w:hAnsi="Courier New"/>
          <w:color w:val="1B2A4A"/>
          <w:sz w:val="16"/>
          <w:szCs w:val="16"/>
        </w:rPr>
        <w:t xml:space="preserve">      "SFDA medical device registration is required before sale in Saudi Arabia — registration requirements differ by device class and may require clinical data.",</w:t>
      </w:r>
    </w:p>
    <w:p>
      <w:pPr>
        <w:shd w:fill="F0F0F0" w:val="clear"/>
        <w:spacing w:after="14" w:before="14"/>
        <w:ind w:left="360"/>
      </w:pPr>
      <w:r>
        <w:rPr>
          <w:rFonts w:ascii="Courier New" w:cs="Courier New" w:eastAsia="Courier New" w:hAnsi="Courier New"/>
          <w:color w:val="1B2A4A"/>
          <w:sz w:val="16"/>
          <w:szCs w:val="16"/>
        </w:rPr>
        <w:t xml:space="preserve">      "UAE DHA, DOH, and HAAD registration vary by emirate — device approval in Dubai does not automatically cover Abu Dhabi requiring separate registrations.",</w:t>
      </w:r>
    </w:p>
    <w:p>
      <w:pPr>
        <w:shd w:fill="F0F0F0" w:val="clear"/>
        <w:spacing w:after="14" w:before="14"/>
        <w:ind w:left="360"/>
      </w:pPr>
      <w:r>
        <w:rPr>
          <w:rFonts w:ascii="Courier New" w:cs="Courier New" w:eastAsia="Courier New" w:hAnsi="Courier New"/>
          <w:color w:val="1B2A4A"/>
          <w:sz w:val="16"/>
          <w:szCs w:val="16"/>
        </w:rPr>
        <w:t xml:space="preserve">      "Gulf hospital procurement is tender-driven for capital equipment — government hospital procurement through central committees requires supplier registration and price benchmarking.",</w:t>
      </w:r>
    </w:p>
    <w:p>
      <w:pPr>
        <w:shd w:fill="F0F0F0" w:val="clear"/>
        <w:spacing w:after="14" w:before="14"/>
        <w:ind w:left="360"/>
      </w:pPr>
      <w:r>
        <w:rPr>
          <w:rFonts w:ascii="Courier New" w:cs="Courier New" w:eastAsia="Courier New" w:hAnsi="Courier New"/>
          <w:color w:val="1B2A4A"/>
          <w:sz w:val="16"/>
          <w:szCs w:val="16"/>
        </w:rPr>
        <w:t xml:space="preserve">      "Competition from established medical device companies — Philips, GE Healthcare, and Siemens — with existing Gulf hospital relationships and SFDA registrations is intense."</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"challenges_we_solve": [</w:t>
      </w:r>
    </w:p>
    <w:p>
      <w:pPr>
        <w:shd w:fill="F0F0F0" w:val="clear"/>
        <w:spacing w:after="14" w:before="14"/>
        <w:ind w:left="360"/>
      </w:pPr>
      <w:r>
        <w:rPr>
          <w:rFonts w:ascii="Courier New" w:cs="Courier New" w:eastAsia="Courier New" w:hAnsi="Courier New"/>
          <w:color w:val="1B2A4A"/>
          <w:sz w:val="16"/>
          <w:szCs w:val="16"/>
        </w:rPr>
        <w:t xml:space="preserve">      "Gulf medical device demand validation|You need to validate Gulf physician and hospital demand for your device and understand SFDA and MOH regulatory requirements.",</w:t>
      </w:r>
    </w:p>
    <w:p>
      <w:pPr>
        <w:shd w:fill="F0F0F0" w:val="clear"/>
        <w:spacing w:after="14" w:before="14"/>
        <w:ind w:left="360"/>
      </w:pPr>
      <w:r>
        <w:rPr>
          <w:rFonts w:ascii="Courier New" w:cs="Courier New" w:eastAsia="Courier New" w:hAnsi="Courier New"/>
          <w:color w:val="1B2A4A"/>
          <w:sz w:val="16"/>
          <w:szCs w:val="16"/>
        </w:rPr>
        <w:t xml:space="preserve">      "SFDA and UAE MOH regulatory pathway|You need to understand SFDA medical device registration by class, UAE DHA DOH registration process, and MOH procurement supplier registration.",</w:t>
      </w:r>
    </w:p>
    <w:p>
      <w:pPr>
        <w:shd w:fill="F0F0F0" w:val="clear"/>
        <w:spacing w:after="14" w:before="14"/>
        <w:ind w:left="360"/>
      </w:pPr>
      <w:r>
        <w:rPr>
          <w:rFonts w:ascii="Courier New" w:cs="Courier New" w:eastAsia="Courier New" w:hAnsi="Courier New"/>
          <w:color w:val="1B2A4A"/>
          <w:sz w:val="16"/>
          <w:szCs w:val="16"/>
        </w:rPr>
        <w:t xml:space="preserve">      "Gulf medical device distributor identification|You need specialist medical device distributors with hospital procurement relationships and service capability.",</w:t>
      </w:r>
    </w:p>
    <w:p>
      <w:pPr>
        <w:shd w:fill="F0F0F0" w:val="clear"/>
        <w:spacing w:after="14" w:before="14"/>
        <w:ind w:left="360"/>
      </w:pPr>
      <w:r>
        <w:rPr>
          <w:rFonts w:ascii="Courier New" w:cs="Courier New" w:eastAsia="Courier New" w:hAnsi="Courier New"/>
          <w:color w:val="1B2A4A"/>
          <w:sz w:val="16"/>
          <w:szCs w:val="16"/>
        </w:rPr>
        <w:t xml:space="preserve">      "Gulf medical device GTM strategy|You need a go-to-market plan covering SFDA registration, private hospital direct sales, and government hospital tender participation.",</w:t>
      </w:r>
    </w:p>
    <w:p>
      <w:pPr>
        <w:shd w:fill="F0F0F0" w:val="clear"/>
        <w:spacing w:after="14" w:before="14"/>
        <w:ind w:left="360"/>
      </w:pPr>
      <w:r>
        <w:rPr>
          <w:rFonts w:ascii="Courier New" w:cs="Courier New" w:eastAsia="Courier New" w:hAnsi="Courier New"/>
          <w:color w:val="1B2A4A"/>
          <w:sz w:val="16"/>
          <w:szCs w:val="16"/>
        </w:rPr>
        <w:t xml:space="preserve">      "Raising capital for Gulf medical device investment|You need a pitch book grounded in Gulf medical device market data and hospital privatisation analysis.",</w:t>
      </w:r>
    </w:p>
    <w:p>
      <w:pPr>
        <w:shd w:fill="F0F0F0" w:val="clear"/>
        <w:spacing w:after="14" w:before="14"/>
        <w:ind w:left="360"/>
      </w:pPr>
      <w:r>
        <w:rPr>
          <w:rFonts w:ascii="Courier New" w:cs="Courier New" w:eastAsia="Courier New" w:hAnsi="Courier New"/>
          <w:color w:val="1B2A4A"/>
          <w:sz w:val="16"/>
          <w:szCs w:val="16"/>
        </w:rPr>
        <w:t xml:space="preserve">      "Clinical champion and KOL strategy|You need a Gulf specialist physician KOL identification and clinical evidence development strategy."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"service_angles": [</w:t>
      </w:r>
    </w:p>
    <w:p>
      <w:pPr>
        <w:shd w:fill="F0F0F0" w:val="clear"/>
        <w:spacing w:after="14" w:before="14"/>
        <w:ind w:left="360"/>
      </w:pPr>
      <w:r>
        <w:rPr>
          <w:rFonts w:ascii="Courier New" w:cs="Courier New" w:eastAsia="Courier New" w:hAnsi="Courier New"/>
          <w:color w:val="1B2A4A"/>
          <w:sz w:val="16"/>
          <w:szCs w:val="16"/>
        </w:rPr>
        <w:t xml:space="preserve">      "Validate Gulf physician and hospital demand for your medical device with specialist interviews and SFDA regulatory mapping.",</w:t>
      </w:r>
    </w:p>
    <w:p>
      <w:pPr>
        <w:shd w:fill="F0F0F0" w:val="clear"/>
        <w:spacing w:after="14" w:before="14"/>
        <w:ind w:left="360"/>
      </w:pPr>
      <w:r>
        <w:rPr>
          <w:rFonts w:ascii="Courier New" w:cs="Courier New" w:eastAsia="Courier New" w:hAnsi="Courier New"/>
          <w:color w:val="1B2A4A"/>
          <w:sz w:val="16"/>
          <w:szCs w:val="16"/>
        </w:rPr>
        <w:t xml:space="preserve">      "Full financial feasibility for Gulf medical device investment covering SFDA registration cost and distributor economics.",</w:t>
      </w:r>
    </w:p>
    <w:p>
      <w:pPr>
        <w:shd w:fill="F0F0F0" w:val="clear"/>
        <w:spacing w:after="14" w:before="14"/>
        <w:ind w:left="360"/>
      </w:pPr>
      <w:r>
        <w:rPr>
          <w:rFonts w:ascii="Courier New" w:cs="Courier New" w:eastAsia="Courier New" w:hAnsi="Courier New"/>
          <w:color w:val="1B2A4A"/>
          <w:sz w:val="16"/>
          <w:szCs w:val="16"/>
        </w:rPr>
        <w:t xml:space="preserve">      "End-to-end Gulf medical device market entry including SFDA pathway, hospital distributor identification, and first-hospital-listing milestone.",</w:t>
      </w:r>
    </w:p>
    <w:p>
      <w:pPr>
        <w:shd w:fill="F0F0F0" w:val="clear"/>
        <w:spacing w:after="14" w:before="14"/>
        <w:ind w:left="360"/>
      </w:pPr>
      <w:r>
        <w:rPr>
          <w:rFonts w:ascii="Courier New" w:cs="Courier New" w:eastAsia="Courier New" w:hAnsi="Courier New"/>
          <w:color w:val="1B2A4A"/>
          <w:sz w:val="16"/>
          <w:szCs w:val="16"/>
        </w:rPr>
        <w:t xml:space="preserve">      "Embedded Gulf medical device GTM team covering specialist physician and hospital procurement outreach.",</w:t>
      </w:r>
    </w:p>
    <w:p>
      <w:pPr>
        <w:shd w:fill="F0F0F0" w:val="clear"/>
        <w:spacing w:after="14" w:before="14"/>
        <w:ind w:left="360"/>
      </w:pPr>
      <w:r>
        <w:rPr>
          <w:rFonts w:ascii="Courier New" w:cs="Courier New" w:eastAsia="Courier New" w:hAnsi="Courier New"/>
          <w:color w:val="1B2A4A"/>
          <w:sz w:val="16"/>
          <w:szCs w:val="16"/>
        </w:rPr>
        <w:t xml:space="preserve">      "Investor-ready pitch books for Gulf medical device investment with hospital privatisation and infrastructure investment narrative.",</w:t>
      </w:r>
    </w:p>
    <w:p>
      <w:pPr>
        <w:shd w:fill="F0F0F0" w:val="clear"/>
        <w:spacing w:after="14" w:before="14"/>
        <w:ind w:left="360"/>
      </w:pPr>
      <w:r>
        <w:rPr>
          <w:rFonts w:ascii="Courier New" w:cs="Courier New" w:eastAsia="Courier New" w:hAnsi="Courier New"/>
          <w:color w:val="1B2A4A"/>
          <w:sz w:val="16"/>
          <w:szCs w:val="16"/>
        </w:rPr>
        <w:t xml:space="preserve">      "AI use-case identification — from AI-assisted Gulf diagnostic imaging to Arabic language patient monitoring interface."</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"faq": [</w:t>
      </w:r>
    </w:p>
    <w:p>
      <w:pPr>
        <w:shd w:fill="F0F0F0" w:val="clear"/>
        <w:spacing w:after="14" w:before="14"/>
        <w:ind w:left="360"/>
      </w:pPr>
      <w:r>
        <w:rPr>
          <w:rFonts w:ascii="Courier New" w:cs="Courier New" w:eastAsia="Courier New" w:hAnsi="Courier New"/>
          <w:color w:val="1B2A4A"/>
          <w:sz w:val="16"/>
          <w:szCs w:val="16"/>
        </w:rPr>
        <w:t xml:space="preserve">      "Does GreyRadius work with diagnostic equipment companies or also with surgical devices, imaging, implants, and digital health device companies entering the Gulf?|All medical device categories.",</w:t>
      </w:r>
    </w:p>
    <w:p>
      <w:pPr>
        <w:shd w:fill="F0F0F0" w:val="clear"/>
        <w:spacing w:after="14" w:before="14"/>
        <w:ind w:left="360"/>
      </w:pPr>
      <w:r>
        <w:rPr>
          <w:rFonts w:ascii="Courier New" w:cs="Courier New" w:eastAsia="Courier New" w:hAnsi="Courier New"/>
          <w:color w:val="1B2A4A"/>
          <w:sz w:val="16"/>
          <w:szCs w:val="16"/>
        </w:rPr>
        <w:t xml:space="preserve">      "Which Gulf medical device markets does GreyRadius prioritise?|Saudi Arabia for SFDA-registered hospital procurement scale; UAE for private hospital premium device adoption.",</w:t>
      </w:r>
    </w:p>
    <w:p>
      <w:pPr>
        <w:shd w:fill="F0F0F0" w:val="clear"/>
        <w:spacing w:after="14" w:before="14"/>
        <w:ind w:left="360"/>
      </w:pPr>
      <w:r>
        <w:rPr>
          <w:rFonts w:ascii="Courier New" w:cs="Courier New" w:eastAsia="Courier New" w:hAnsi="Courier New"/>
          <w:color w:val="1B2A4A"/>
          <w:sz w:val="16"/>
          <w:szCs w:val="16"/>
        </w:rPr>
        <w:t xml:space="preserve">      "How long does a Gulf medical device engagement take?|Typically 10-14 weeks for physician demand research, SFDA regulatory mapping, and hospital distributor identification.",</w:t>
      </w:r>
    </w:p>
    <w:p>
      <w:pPr>
        <w:shd w:fill="F0F0F0" w:val="clear"/>
        <w:spacing w:after="14" w:before="14"/>
        <w:ind w:left="360"/>
      </w:pPr>
      <w:r>
        <w:rPr>
          <w:rFonts w:ascii="Courier New" w:cs="Courier New" w:eastAsia="Courier New" w:hAnsi="Courier New"/>
          <w:color w:val="1B2A4A"/>
          <w:sz w:val="16"/>
          <w:szCs w:val="16"/>
        </w:rPr>
        <w:t xml:space="preserve">      "Can GreyRadius identify Gulf medical device distributors with hospital procurement relationships?|Yes."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"keywords": "Gulf medical devices market entry, SFDA registration consulting, Saudi Arabia medical device GTM strategy, UAE healthcare advisory, Gulf medical equipment market entry",</w:t>
      </w:r>
    </w:p>
    <w:p>
      <w:pPr>
        <w:shd w:fill="F0F0F0" w:val="clear"/>
        <w:spacing w:after="14" w:before="14"/>
        <w:ind w:left="360"/>
      </w:pPr>
      <w:r>
        <w:rPr>
          <w:rFonts w:ascii="Courier New" w:cs="Courier New" w:eastAsia="Courier New" w:hAnsi="Courier New"/>
          <w:color w:val="1B2A4A"/>
          <w:sz w:val="16"/>
          <w:szCs w:val="16"/>
        </w:rPr>
        <w:t xml:space="preserve">    "regions": "Saudi Arabia — SFDA-registered hospital procurement across Riyadh, Jeddah, Dammam; UAE — DHA Dubai and DOH Abu Dhabi private hospital device procurement",</w:t>
      </w:r>
    </w:p>
    <w:p>
      <w:pPr>
        <w:shd w:fill="F0F0F0" w:val="clear"/>
        <w:spacing w:after="14" w:before="14"/>
        <w:ind w:left="360"/>
      </w:pPr>
      <w:r>
        <w:rPr>
          <w:rFonts w:ascii="Courier New" w:cs="Courier New" w:eastAsia="Courier New" w:hAnsi="Courier New"/>
          <w:color w:val="1B2A4A"/>
          <w:sz w:val="16"/>
          <w:szCs w:val="16"/>
        </w:rPr>
        <w:t xml:space="preserve">    "stat1n": "$12B",</w:t>
      </w:r>
    </w:p>
    <w:p>
      <w:pPr>
        <w:shd w:fill="F0F0F0" w:val="clear"/>
        <w:spacing w:after="14" w:before="14"/>
        <w:ind w:left="360"/>
      </w:pPr>
      <w:r>
        <w:rPr>
          <w:rFonts w:ascii="Courier New" w:cs="Courier New" w:eastAsia="Courier New" w:hAnsi="Courier New"/>
          <w:color w:val="1B2A4A"/>
          <w:sz w:val="16"/>
          <w:szCs w:val="16"/>
        </w:rPr>
        <w:t xml:space="preserve">    "stat1l": "Gulf medical devices market by 2028",</w:t>
      </w:r>
    </w:p>
    <w:p>
      <w:pPr>
        <w:shd w:fill="F0F0F0" w:val="clear"/>
        <w:spacing w:after="14" w:before="14"/>
        <w:ind w:left="360"/>
      </w:pPr>
      <w:r>
        <w:rPr>
          <w:rFonts w:ascii="Courier New" w:cs="Courier New" w:eastAsia="Courier New" w:hAnsi="Courier New"/>
          <w:color w:val="1B2A4A"/>
          <w:sz w:val="16"/>
          <w:szCs w:val="16"/>
        </w:rPr>
        <w:t xml:space="preserve">    "stat1b": "Hospital infrastructure investment, privatisation programme, and specialist physician growth driving 10% annual device demand growth.",</w:t>
      </w:r>
    </w:p>
    <w:p>
      <w:pPr>
        <w:shd w:fill="F0F0F0" w:val="clear"/>
        <w:spacing w:after="14" w:before="14"/>
        <w:ind w:left="360"/>
      </w:pPr>
      <w:r>
        <w:rPr>
          <w:rFonts w:ascii="Courier New" w:cs="Courier New" w:eastAsia="Courier New" w:hAnsi="Courier New"/>
          <w:color w:val="1B2A4A"/>
          <w:sz w:val="16"/>
          <w:szCs w:val="16"/>
        </w:rPr>
        <w:t xml:space="preserve">    "stat2n": "30+",</w:t>
      </w:r>
    </w:p>
    <w:p>
      <w:pPr>
        <w:shd w:fill="F0F0F0" w:val="clear"/>
        <w:spacing w:after="14" w:before="14"/>
        <w:ind w:left="360"/>
      </w:pPr>
      <w:r>
        <w:rPr>
          <w:rFonts w:ascii="Courier New" w:cs="Courier New" w:eastAsia="Courier New" w:hAnsi="Courier New"/>
          <w:color w:val="1B2A4A"/>
          <w:sz w:val="16"/>
          <w:szCs w:val="16"/>
        </w:rPr>
        <w:t xml:space="preserve">    "stat2l": "Primary interviews per Gulf medical device mandate",</w:t>
      </w:r>
    </w:p>
    <w:p>
      <w:pPr>
        <w:shd w:fill="F0F0F0" w:val="clear"/>
        <w:spacing w:after="14" w:before="14"/>
        <w:ind w:left="360"/>
      </w:pPr>
      <w:r>
        <w:rPr>
          <w:rFonts w:ascii="Courier New" w:cs="Courier New" w:eastAsia="Courier New" w:hAnsi="Courier New"/>
          <w:color w:val="1B2A4A"/>
          <w:sz w:val="16"/>
          <w:szCs w:val="16"/>
        </w:rPr>
        <w:t xml:space="preserve">    "stat2b": "Gulf specialist physicians, hospital procurement heads, and medical device distributors — every engagement grounded in direct primary research.",</w:t>
      </w:r>
    </w:p>
    <w:p>
      <w:pPr>
        <w:shd w:fill="F0F0F0" w:val="clear"/>
        <w:spacing w:after="14" w:before="14"/>
        <w:ind w:left="360"/>
      </w:pPr>
      <w:r>
        <w:rPr>
          <w:rFonts w:ascii="Courier New" w:cs="Courier New" w:eastAsia="Courier New" w:hAnsi="Courier New"/>
          <w:color w:val="1B2A4A"/>
          <w:sz w:val="16"/>
          <w:szCs w:val="16"/>
        </w:rPr>
        <w:t xml:space="preserve">    "stat3n": "10 weeks",</w:t>
      </w:r>
    </w:p>
    <w:p>
      <w:pPr>
        <w:shd w:fill="F0F0F0" w:val="clear"/>
        <w:spacing w:after="14" w:before="14"/>
        <w:ind w:left="360"/>
      </w:pPr>
      <w:r>
        <w:rPr>
          <w:rFonts w:ascii="Courier New" w:cs="Courier New" w:eastAsia="Courier New" w:hAnsi="Courier New"/>
          <w:color w:val="1B2A4A"/>
          <w:sz w:val="16"/>
          <w:szCs w:val="16"/>
        </w:rPr>
        <w:t xml:space="preserve">    "stat3l": "Gulf medical devices market entry strategy",</w:t>
      </w:r>
    </w:p>
    <w:p>
      <w:pPr>
        <w:shd w:fill="F0F0F0" w:val="clear"/>
        <w:spacing w:after="14" w:before="14"/>
        <w:ind w:left="360"/>
      </w:pPr>
      <w:r>
        <w:rPr>
          <w:rFonts w:ascii="Courier New" w:cs="Courier New" w:eastAsia="Courier New" w:hAnsi="Courier New"/>
          <w:color w:val="1B2A4A"/>
          <w:sz w:val="16"/>
          <w:szCs w:val="16"/>
        </w:rPr>
        <w:t xml:space="preserve">    "stat3b": "AI-augmented SFDA regulatory mapping and physician demand research delivers Gulf medical device strategies efficiently."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"slug": "southeast-asia-medical-devices",</w:t>
      </w:r>
    </w:p>
    <w:p>
      <w:pPr>
        <w:shd w:fill="F0F0F0" w:val="clear"/>
        <w:spacing w:after="14" w:before="14"/>
        <w:ind w:left="360"/>
      </w:pPr>
      <w:r>
        <w:rPr>
          <w:rFonts w:ascii="Courier New" w:cs="Courier New" w:eastAsia="Courier New" w:hAnsi="Courier New"/>
          <w:color w:val="1B2A4A"/>
          <w:sz w:val="16"/>
          <w:szCs w:val="16"/>
        </w:rPr>
        <w:t xml:space="preserve">    "parent": "medical-devices",</w:t>
      </w:r>
    </w:p>
    <w:p>
      <w:pPr>
        <w:shd w:fill="F0F0F0" w:val="clear"/>
        <w:spacing w:after="14" w:before="14"/>
        <w:ind w:left="360"/>
      </w:pPr>
      <w:r>
        <w:rPr>
          <w:rFonts w:ascii="Courier New" w:cs="Courier New" w:eastAsia="Courier New" w:hAnsi="Courier New"/>
          <w:color w:val="1B2A4A"/>
          <w:sz w:val="16"/>
          <w:szCs w:val="16"/>
        </w:rPr>
        <w:t xml:space="preserve">    "title": "Southeast Asia Medical Devices Market Entry | GreyRadius",</w:t>
      </w:r>
    </w:p>
    <w:p>
      <w:pPr>
        <w:shd w:fill="F0F0F0" w:val="clear"/>
        <w:spacing w:after="14" w:before="14"/>
        <w:ind w:left="360"/>
      </w:pPr>
      <w:r>
        <w:rPr>
          <w:rFonts w:ascii="Courier New" w:cs="Courier New" w:eastAsia="Courier New" w:hAnsi="Courier New"/>
          <w:color w:val="1B2A4A"/>
          <w:sz w:val="16"/>
          <w:szCs w:val="16"/>
        </w:rPr>
        <w:t xml:space="preserve">    "meta": "GreyRadius helps international medical device companies enter Southeast Asia with Singapore HSA regulatory mapping, Indonesia BPOM device registration, hospital distributor identification, and GTM strategy.",</w:t>
      </w:r>
    </w:p>
    <w:p>
      <w:pPr>
        <w:shd w:fill="F0F0F0" w:val="clear"/>
        <w:spacing w:after="14" w:before="14"/>
        <w:ind w:left="360"/>
      </w:pPr>
      <w:r>
        <w:rPr>
          <w:rFonts w:ascii="Courier New" w:cs="Courier New" w:eastAsia="Courier New" w:hAnsi="Courier New"/>
          <w:color w:val="1B2A4A"/>
          <w:sz w:val="16"/>
          <w:szCs w:val="16"/>
        </w:rPr>
        <w:t xml:space="preserve">    "h1": "Southeast Asia medical devices market entry strategy",</w:t>
      </w:r>
    </w:p>
    <w:p>
      <w:pPr>
        <w:shd w:fill="F0F0F0" w:val="clear"/>
        <w:spacing w:after="14" w:before="14"/>
        <w:ind w:left="360"/>
      </w:pPr>
      <w:r>
        <w:rPr>
          <w:rFonts w:ascii="Courier New" w:cs="Courier New" w:eastAsia="Courier New" w:hAnsi="Courier New"/>
          <w:color w:val="1B2A4A"/>
          <w:sz w:val="16"/>
          <w:szCs w:val="16"/>
        </w:rPr>
        <w:t xml:space="preserve">    "tagline": "From international medical device to Southeast Asian clinical deployment — strategy for medical device companies entering ASEAN.",</w:t>
      </w:r>
    </w:p>
    <w:p>
      <w:pPr>
        <w:shd w:fill="F0F0F0" w:val="clear"/>
        <w:spacing w:after="14" w:before="14"/>
        <w:ind w:left="360"/>
      </w:pPr>
      <w:r>
        <w:rPr>
          <w:rFonts w:ascii="Courier New" w:cs="Courier New" w:eastAsia="Courier New" w:hAnsi="Courier New"/>
          <w:color w:val="1B2A4A"/>
          <w:sz w:val="16"/>
          <w:szCs w:val="16"/>
        </w:rPr>
        <w:t xml:space="preserve">    "hero": "Southeast Asia's medical devices market is growing rapidly — with Indonesia's universal health coverage creating institutional medical device procurement at scale, Singapore as ASEAN's medical technology hub with HSA regulatory standards, Thailand as a medical tourism and device procurement centre, and Vietnam's rapidly expanding hospital infrastructure. International medical device companies across diagnostic equipment, surgical devices, implants, and digital health technology are all evaluating Southeast Asia as a medical device market. GreyRadius helps medical device companies validate ASEAN physician and hospital demand, navigate HSA, BPOM, and country-specific regulatory requirements, identify hospital distributors, and execute market entry.",</w:t>
      </w:r>
    </w:p>
    <w:p>
      <w:pPr>
        <w:shd w:fill="F0F0F0" w:val="clear"/>
        <w:spacing w:after="14" w:before="14"/>
        <w:ind w:left="360"/>
      </w:pPr>
      <w:r>
        <w:rPr>
          <w:rFonts w:ascii="Courier New" w:cs="Courier New" w:eastAsia="Courier New" w:hAnsi="Courier New"/>
          <w:color w:val="1B2A4A"/>
          <w:sz w:val="16"/>
          <w:szCs w:val="16"/>
        </w:rPr>
        <w:t xml:space="preserve">    "market_timing": "Indonesia's JKN (Jaminan Kesehatan Nasional) universal health coverage is creating institutional medical device procurement at scale — 250 million covered Indonesians and a government-funded hospital network creating device procurement demand. Medical device companies achieving BPOM Indonesia registration are positioned for JKN-funded institutional procurement that sustains independently of private hospital growth.",</w:t>
      </w:r>
    </w:p>
    <w:p>
      <w:pPr>
        <w:shd w:fill="F0F0F0" w:val="clear"/>
        <w:spacing w:after="14" w:before="14"/>
        <w:ind w:left="360"/>
      </w:pPr>
      <w:r>
        <w:rPr>
          <w:rFonts w:ascii="Courier New" w:cs="Courier New" w:eastAsia="Courier New" w:hAnsi="Courier New"/>
          <w:color w:val="1B2A4A"/>
          <w:sz w:val="16"/>
          <w:szCs w:val="16"/>
        </w:rPr>
        <w:t xml:space="preserve">    "insights": [</w:t>
      </w:r>
    </w:p>
    <w:p>
      <w:pPr>
        <w:shd w:fill="F0F0F0" w:val="clear"/>
        <w:spacing w:after="14" w:before="14"/>
        <w:ind w:left="360"/>
      </w:pPr>
      <w:r>
        <w:rPr>
          <w:rFonts w:ascii="Courier New" w:cs="Courier New" w:eastAsia="Courier New" w:hAnsi="Courier New"/>
          <w:color w:val="1B2A4A"/>
          <w:sz w:val="16"/>
          <w:szCs w:val="16"/>
        </w:rPr>
        <w:t xml:space="preserve">      "Southeast Asia medical devices market is projected to reach $10B by 2027 — growing at 12% annually as universal health coverage expansion, hospital infrastructure investment, and medical tourism all drive device demand.",</w:t>
      </w:r>
    </w:p>
    <w:p>
      <w:pPr>
        <w:shd w:fill="F0F0F0" w:val="clear"/>
        <w:spacing w:after="14" w:before="14"/>
        <w:ind w:left="360"/>
      </w:pPr>
      <w:r>
        <w:rPr>
          <w:rFonts w:ascii="Courier New" w:cs="Courier New" w:eastAsia="Courier New" w:hAnsi="Courier New"/>
          <w:color w:val="1B2A4A"/>
          <w:sz w:val="16"/>
          <w:szCs w:val="16"/>
        </w:rPr>
        <w:t xml:space="preserve">      "Singapore's HSA medical device registration is the ASEAN gold standard — HSA approval gives regulatory credibility across ASEAN and Singapore's private hospital market offers premium device adoption.",</w:t>
      </w:r>
    </w:p>
    <w:p>
      <w:pPr>
        <w:shd w:fill="F0F0F0" w:val="clear"/>
        <w:spacing w:after="14" w:before="14"/>
        <w:ind w:left="360"/>
      </w:pPr>
      <w:r>
        <w:rPr>
          <w:rFonts w:ascii="Courier New" w:cs="Courier New" w:eastAsia="Courier New" w:hAnsi="Courier New"/>
          <w:color w:val="1B2A4A"/>
          <w:sz w:val="16"/>
          <w:szCs w:val="16"/>
        </w:rPr>
        <w:t xml:space="preserve">      "Indonesia is Southeast Asia's largest medical device market by volume — 250 million JKN-covered patients and government hospital procurement through e-Katalog creating the largest institutional opportunity.",</w:t>
      </w:r>
    </w:p>
    <w:p>
      <w:pPr>
        <w:shd w:fill="F0F0F0" w:val="clear"/>
        <w:spacing w:after="14" w:before="14"/>
        <w:ind w:left="360"/>
      </w:pPr>
      <w:r>
        <w:rPr>
          <w:rFonts w:ascii="Courier New" w:cs="Courier New" w:eastAsia="Courier New" w:hAnsi="Courier New"/>
          <w:color w:val="1B2A4A"/>
          <w:sz w:val="16"/>
          <w:szCs w:val="16"/>
        </w:rPr>
        <w:t xml:space="preserve">      "Thailand's medical tourism is creating premium medical device demand — 3 million medical tourists annually driving private hospital investment in international-standard diagnostic and surgical equipment."</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"challenges_market": [</w:t>
      </w:r>
    </w:p>
    <w:p>
      <w:pPr>
        <w:shd w:fill="F0F0F0" w:val="clear"/>
        <w:spacing w:after="14" w:before="14"/>
        <w:ind w:left="360"/>
      </w:pPr>
      <w:r>
        <w:rPr>
          <w:rFonts w:ascii="Courier New" w:cs="Courier New" w:eastAsia="Courier New" w:hAnsi="Courier New"/>
          <w:color w:val="1B2A4A"/>
          <w:sz w:val="16"/>
          <w:szCs w:val="16"/>
        </w:rPr>
        <w:t xml:space="preserve">      "ASEAN medical device regulatory frameworks vary significantly — Singapore HSA, Indonesia BPOM, Thailand FDA, and Vietnam MARD all have different device registration requirements.",</w:t>
      </w:r>
    </w:p>
    <w:p>
      <w:pPr>
        <w:shd w:fill="F0F0F0" w:val="clear"/>
        <w:spacing w:after="14" w:before="14"/>
        <w:ind w:left="360"/>
      </w:pPr>
      <w:r>
        <w:rPr>
          <w:rFonts w:ascii="Courier New" w:cs="Courier New" w:eastAsia="Courier New" w:hAnsi="Courier New"/>
          <w:color w:val="1B2A4A"/>
          <w:sz w:val="16"/>
          <w:szCs w:val="16"/>
        </w:rPr>
        <w:t xml:space="preserve">      "Indonesia e-Katalog government procurement requires price registration — competitive pricing that affects private hospital pricing strategy.",</w:t>
      </w:r>
    </w:p>
    <w:p>
      <w:pPr>
        <w:shd w:fill="F0F0F0" w:val="clear"/>
        <w:spacing w:after="14" w:before="14"/>
        <w:ind w:left="360"/>
      </w:pPr>
      <w:r>
        <w:rPr>
          <w:rFonts w:ascii="Courier New" w:cs="Courier New" w:eastAsia="Courier New" w:hAnsi="Courier New"/>
          <w:color w:val="1B2A4A"/>
          <w:sz w:val="16"/>
          <w:szCs w:val="16"/>
        </w:rPr>
        <w:t xml:space="preserve">      "Medical device distribution in Southeast Asia requires specialist distributors — clinical training, regulatory compliance, and biomedical service requirements cannot be met by general trade distributors.",</w:t>
      </w:r>
    </w:p>
    <w:p>
      <w:pPr>
        <w:shd w:fill="F0F0F0" w:val="clear"/>
        <w:spacing w:after="14" w:before="14"/>
        <w:ind w:left="360"/>
      </w:pPr>
      <w:r>
        <w:rPr>
          <w:rFonts w:ascii="Courier New" w:cs="Courier New" w:eastAsia="Courier New" w:hAnsi="Courier New"/>
          <w:color w:val="1B2A4A"/>
          <w:sz w:val="16"/>
          <w:szCs w:val="16"/>
        </w:rPr>
        <w:t xml:space="preserve">      "Competition from Japanese and Korean medical device companies — Olympus, Fujifilm Medical, and Samsung Medison — with established Southeast Asian hospital relationships is intense."</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"challenges_we_solve": [</w:t>
      </w:r>
    </w:p>
    <w:p>
      <w:pPr>
        <w:shd w:fill="F0F0F0" w:val="clear"/>
        <w:spacing w:after="14" w:before="14"/>
        <w:ind w:left="360"/>
      </w:pPr>
      <w:r>
        <w:rPr>
          <w:rFonts w:ascii="Courier New" w:cs="Courier New" w:eastAsia="Courier New" w:hAnsi="Courier New"/>
          <w:color w:val="1B2A4A"/>
          <w:sz w:val="16"/>
          <w:szCs w:val="16"/>
        </w:rPr>
        <w:t xml:space="preserve">      "Southeast Asia medical device demand validation|You need to validate ASEAN physician and hospital demand for your device and understand country-specific regulatory registration.",</w:t>
      </w:r>
    </w:p>
    <w:p>
      <w:pPr>
        <w:shd w:fill="F0F0F0" w:val="clear"/>
        <w:spacing w:after="14" w:before="14"/>
        <w:ind w:left="360"/>
      </w:pPr>
      <w:r>
        <w:rPr>
          <w:rFonts w:ascii="Courier New" w:cs="Courier New" w:eastAsia="Courier New" w:hAnsi="Courier New"/>
          <w:color w:val="1B2A4A"/>
          <w:sz w:val="16"/>
          <w:szCs w:val="16"/>
        </w:rPr>
        <w:t xml:space="preserve">      "HSA Singapore and BPOM Indonesia regulatory pathway|You need to understand Singapore HSA ASEAN pathway, Indonesia BPOM device class registration, and Vietnam MARD medical device approval.",</w:t>
      </w:r>
    </w:p>
    <w:p>
      <w:pPr>
        <w:shd w:fill="F0F0F0" w:val="clear"/>
        <w:spacing w:after="14" w:before="14"/>
        <w:ind w:left="360"/>
      </w:pPr>
      <w:r>
        <w:rPr>
          <w:rFonts w:ascii="Courier New" w:cs="Courier New" w:eastAsia="Courier New" w:hAnsi="Courier New"/>
          <w:color w:val="1B2A4A"/>
          <w:sz w:val="16"/>
          <w:szCs w:val="16"/>
        </w:rPr>
        <w:t xml:space="preserve">      "Southeast Asia medical device distributor identification|You need specialist medical device distributors with hospital procurement relationships and clinical training capability.",</w:t>
      </w:r>
    </w:p>
    <w:p>
      <w:pPr>
        <w:shd w:fill="F0F0F0" w:val="clear"/>
        <w:spacing w:after="14" w:before="14"/>
        <w:ind w:left="360"/>
      </w:pPr>
      <w:r>
        <w:rPr>
          <w:rFonts w:ascii="Courier New" w:cs="Courier New" w:eastAsia="Courier New" w:hAnsi="Courier New"/>
          <w:color w:val="1B2A4A"/>
          <w:sz w:val="16"/>
          <w:szCs w:val="16"/>
        </w:rPr>
        <w:t xml:space="preserve">      "Southeast Asia medical device GTM strategy|You need a Singapore-first HSA-approved positioning or Indonesia-first JKN volume strategy for ASEAN device market entry.",</w:t>
      </w:r>
    </w:p>
    <w:p>
      <w:pPr>
        <w:shd w:fill="F0F0F0" w:val="clear"/>
        <w:spacing w:after="14" w:before="14"/>
        <w:ind w:left="360"/>
      </w:pPr>
      <w:r>
        <w:rPr>
          <w:rFonts w:ascii="Courier New" w:cs="Courier New" w:eastAsia="Courier New" w:hAnsi="Courier New"/>
          <w:color w:val="1B2A4A"/>
          <w:sz w:val="16"/>
          <w:szCs w:val="16"/>
        </w:rPr>
        <w:t xml:space="preserve">      "Raising capital for Southeast Asia medical device investment|You need a pitch book grounded in ASEAN medical device market data and JKN procurement analysis.",</w:t>
      </w:r>
    </w:p>
    <w:p>
      <w:pPr>
        <w:shd w:fill="F0F0F0" w:val="clear"/>
        <w:spacing w:after="14" w:before="14"/>
        <w:ind w:left="360"/>
      </w:pPr>
      <w:r>
        <w:rPr>
          <w:rFonts w:ascii="Courier New" w:cs="Courier New" w:eastAsia="Courier New" w:hAnsi="Courier New"/>
          <w:color w:val="1B2A4A"/>
          <w:sz w:val="16"/>
          <w:szCs w:val="16"/>
        </w:rPr>
        <w:t xml:space="preserve">      "ASEAN regulatory harmonisation strategy|You need a sequential multi-market regulatory approval plan leveraging Singapore HSA and ASEAN MDD harmonisation."</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"service_angles": [</w:t>
      </w:r>
    </w:p>
    <w:p>
      <w:pPr>
        <w:shd w:fill="F0F0F0" w:val="clear"/>
        <w:spacing w:after="14" w:before="14"/>
        <w:ind w:left="360"/>
      </w:pPr>
      <w:r>
        <w:rPr>
          <w:rFonts w:ascii="Courier New" w:cs="Courier New" w:eastAsia="Courier New" w:hAnsi="Courier New"/>
          <w:color w:val="1B2A4A"/>
          <w:sz w:val="16"/>
          <w:szCs w:val="16"/>
        </w:rPr>
        <w:t xml:space="preserve">      "Validate Southeast Asian physician and hospital demand for your medical device with clinical interviews and HSA regulatory mapping.",</w:t>
      </w:r>
    </w:p>
    <w:p>
      <w:pPr>
        <w:shd w:fill="F0F0F0" w:val="clear"/>
        <w:spacing w:after="14" w:before="14"/>
        <w:ind w:left="360"/>
      </w:pPr>
      <w:r>
        <w:rPr>
          <w:rFonts w:ascii="Courier New" w:cs="Courier New" w:eastAsia="Courier New" w:hAnsi="Courier New"/>
          <w:color w:val="1B2A4A"/>
          <w:sz w:val="16"/>
          <w:szCs w:val="16"/>
        </w:rPr>
        <w:t xml:space="preserve">      "Full financial feasibility for Southeast Asia medical device investment covering multi-market regulatory cost and distributor economics.",</w:t>
      </w:r>
    </w:p>
    <w:p>
      <w:pPr>
        <w:shd w:fill="F0F0F0" w:val="clear"/>
        <w:spacing w:after="14" w:before="14"/>
        <w:ind w:left="360"/>
      </w:pPr>
      <w:r>
        <w:rPr>
          <w:rFonts w:ascii="Courier New" w:cs="Courier New" w:eastAsia="Courier New" w:hAnsi="Courier New"/>
          <w:color w:val="1B2A4A"/>
          <w:sz w:val="16"/>
          <w:szCs w:val="16"/>
        </w:rPr>
        <w:t xml:space="preserve">      "End-to-end Southeast Asia medical device market entry including HSA and BPOM pathway, hospital distributor identification, and first-hospital-listing milestone.",</w:t>
      </w:r>
    </w:p>
    <w:p>
      <w:pPr>
        <w:shd w:fill="F0F0F0" w:val="clear"/>
        <w:spacing w:after="14" w:before="14"/>
        <w:ind w:left="360"/>
      </w:pPr>
      <w:r>
        <w:rPr>
          <w:rFonts w:ascii="Courier New" w:cs="Courier New" w:eastAsia="Courier New" w:hAnsi="Courier New"/>
          <w:color w:val="1B2A4A"/>
          <w:sz w:val="16"/>
          <w:szCs w:val="16"/>
        </w:rPr>
        <w:t xml:space="preserve">      "Embedded Southeast Asia medical device GTM team covering physician and hospital procurement outreach.",</w:t>
      </w:r>
    </w:p>
    <w:p>
      <w:pPr>
        <w:shd w:fill="F0F0F0" w:val="clear"/>
        <w:spacing w:after="14" w:before="14"/>
        <w:ind w:left="360"/>
      </w:pPr>
      <w:r>
        <w:rPr>
          <w:rFonts w:ascii="Courier New" w:cs="Courier New" w:eastAsia="Courier New" w:hAnsi="Courier New"/>
          <w:color w:val="1B2A4A"/>
          <w:sz w:val="16"/>
          <w:szCs w:val="16"/>
        </w:rPr>
        <w:t xml:space="preserve">      "Investor-ready pitch books for Southeast Asia medical device investment with JKN procurement and medical tourism narrative.",</w:t>
      </w:r>
    </w:p>
    <w:p>
      <w:pPr>
        <w:shd w:fill="F0F0F0" w:val="clear"/>
        <w:spacing w:after="14" w:before="14"/>
        <w:ind w:left="360"/>
      </w:pPr>
      <w:r>
        <w:rPr>
          <w:rFonts w:ascii="Courier New" w:cs="Courier New" w:eastAsia="Courier New" w:hAnsi="Courier New"/>
          <w:color w:val="1B2A4A"/>
          <w:sz w:val="16"/>
          <w:szCs w:val="16"/>
        </w:rPr>
        <w:t xml:space="preserve">      "AI use-case identification — from AI-assisted Southeast Asian diagnostic imaging to patient monitoring for ASEAN's growing hospital infrastructure."</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"faq": [</w:t>
      </w:r>
    </w:p>
    <w:p>
      <w:pPr>
        <w:shd w:fill="F0F0F0" w:val="clear"/>
        <w:spacing w:after="14" w:before="14"/>
        <w:ind w:left="360"/>
      </w:pPr>
      <w:r>
        <w:rPr>
          <w:rFonts w:ascii="Courier New" w:cs="Courier New" w:eastAsia="Courier New" w:hAnsi="Courier New"/>
          <w:color w:val="1B2A4A"/>
          <w:sz w:val="16"/>
          <w:szCs w:val="16"/>
        </w:rPr>
        <w:t xml:space="preserve">      "Does GreyRadius work with diagnostic equipment companies or also with surgical devices, implants, and digital health device companies entering Southeast Asia?|All medical device categories.",</w:t>
      </w:r>
    </w:p>
    <w:p>
      <w:pPr>
        <w:shd w:fill="F0F0F0" w:val="clear"/>
        <w:spacing w:after="14" w:before="14"/>
        <w:ind w:left="360"/>
      </w:pPr>
      <w:r>
        <w:rPr>
          <w:rFonts w:ascii="Courier New" w:cs="Courier New" w:eastAsia="Courier New" w:hAnsi="Courier New"/>
          <w:color w:val="1B2A4A"/>
          <w:sz w:val="16"/>
          <w:szCs w:val="16"/>
        </w:rPr>
        <w:t xml:space="preserve">      "Which Southeast Asian medical device market should companies enter first?|Singapore for HSA regulatory credibility and premium private hospital adoption; Indonesia for JKN-funded institutional procurement volume.",</w:t>
      </w:r>
    </w:p>
    <w:p>
      <w:pPr>
        <w:shd w:fill="F0F0F0" w:val="clear"/>
        <w:spacing w:after="14" w:before="14"/>
        <w:ind w:left="360"/>
      </w:pPr>
      <w:r>
        <w:rPr>
          <w:rFonts w:ascii="Courier New" w:cs="Courier New" w:eastAsia="Courier New" w:hAnsi="Courier New"/>
          <w:color w:val="1B2A4A"/>
          <w:sz w:val="16"/>
          <w:szCs w:val="16"/>
        </w:rPr>
        <w:t xml:space="preserve">      "How long does a Southeast Asia medical device engagement take?|Typically 10-14 weeks for physician demand research, multi-market regulatory mapping, and distributor identification.",</w:t>
      </w:r>
    </w:p>
    <w:p>
      <w:pPr>
        <w:shd w:fill="F0F0F0" w:val="clear"/>
        <w:spacing w:after="14" w:before="14"/>
        <w:ind w:left="360"/>
      </w:pPr>
      <w:r>
        <w:rPr>
          <w:rFonts w:ascii="Courier New" w:cs="Courier New" w:eastAsia="Courier New" w:hAnsi="Courier New"/>
          <w:color w:val="1B2A4A"/>
          <w:sz w:val="16"/>
          <w:szCs w:val="16"/>
        </w:rPr>
        <w:t xml:space="preserve">      "Can GreyRadius identify Southeast Asian medical device distributors with clinical training capability?|Yes."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"keywords": "Southeast Asia medical devices market entry, Singapore HSA consulting, Indonesia BPOM device GTM strategy, ASEAN healthcare advisory, Southeast Asia medical equipment market entry",</w:t>
      </w:r>
    </w:p>
    <w:p>
      <w:pPr>
        <w:shd w:fill="F0F0F0" w:val="clear"/>
        <w:spacing w:after="14" w:before="14"/>
        <w:ind w:left="360"/>
      </w:pPr>
      <w:r>
        <w:rPr>
          <w:rFonts w:ascii="Courier New" w:cs="Courier New" w:eastAsia="Courier New" w:hAnsi="Courier New"/>
          <w:color w:val="1B2A4A"/>
          <w:sz w:val="16"/>
          <w:szCs w:val="16"/>
        </w:rPr>
        <w:t xml:space="preserve">    "regions": "Singapore — HSA-approved medical device market; Indonesia — BPOM-registered JKN procurement; Thailand — Bangkok medical tourism hospital device market; Vietnam — Ho Chi Minh City hospital infrastructure",</w:t>
      </w:r>
    </w:p>
    <w:p>
      <w:pPr>
        <w:shd w:fill="F0F0F0" w:val="clear"/>
        <w:spacing w:after="14" w:before="14"/>
        <w:ind w:left="360"/>
      </w:pPr>
      <w:r>
        <w:rPr>
          <w:rFonts w:ascii="Courier New" w:cs="Courier New" w:eastAsia="Courier New" w:hAnsi="Courier New"/>
          <w:color w:val="1B2A4A"/>
          <w:sz w:val="16"/>
          <w:szCs w:val="16"/>
        </w:rPr>
        <w:t xml:space="preserve">    "stat1n": "$10B",</w:t>
      </w:r>
    </w:p>
    <w:p>
      <w:pPr>
        <w:shd w:fill="F0F0F0" w:val="clear"/>
        <w:spacing w:after="14" w:before="14"/>
        <w:ind w:left="360"/>
      </w:pPr>
      <w:r>
        <w:rPr>
          <w:rFonts w:ascii="Courier New" w:cs="Courier New" w:eastAsia="Courier New" w:hAnsi="Courier New"/>
          <w:color w:val="1B2A4A"/>
          <w:sz w:val="16"/>
          <w:szCs w:val="16"/>
        </w:rPr>
        <w:t xml:space="preserve">    "stat1l": "Southeast Asia medical devices market by 2027",</w:t>
      </w:r>
    </w:p>
    <w:p>
      <w:pPr>
        <w:shd w:fill="F0F0F0" w:val="clear"/>
        <w:spacing w:after="14" w:before="14"/>
        <w:ind w:left="360"/>
      </w:pPr>
      <w:r>
        <w:rPr>
          <w:rFonts w:ascii="Courier New" w:cs="Courier New" w:eastAsia="Courier New" w:hAnsi="Courier New"/>
          <w:color w:val="1B2A4A"/>
          <w:sz w:val="16"/>
          <w:szCs w:val="16"/>
        </w:rPr>
        <w:t xml:space="preserve">    "stat1b": "Universal health coverage expansion, hospital infrastructure investment, and medical tourism driving 12% annual ASEAN device market growth.",</w:t>
      </w:r>
    </w:p>
    <w:p>
      <w:pPr>
        <w:shd w:fill="F0F0F0" w:val="clear"/>
        <w:spacing w:after="14" w:before="14"/>
        <w:ind w:left="360"/>
      </w:pPr>
      <w:r>
        <w:rPr>
          <w:rFonts w:ascii="Courier New" w:cs="Courier New" w:eastAsia="Courier New" w:hAnsi="Courier New"/>
          <w:color w:val="1B2A4A"/>
          <w:sz w:val="16"/>
          <w:szCs w:val="16"/>
        </w:rPr>
        <w:t xml:space="preserve">    "stat2n": "30+",</w:t>
      </w:r>
    </w:p>
    <w:p>
      <w:pPr>
        <w:shd w:fill="F0F0F0" w:val="clear"/>
        <w:spacing w:after="14" w:before="14"/>
        <w:ind w:left="360"/>
      </w:pPr>
      <w:r>
        <w:rPr>
          <w:rFonts w:ascii="Courier New" w:cs="Courier New" w:eastAsia="Courier New" w:hAnsi="Courier New"/>
          <w:color w:val="1B2A4A"/>
          <w:sz w:val="16"/>
          <w:szCs w:val="16"/>
        </w:rPr>
        <w:t xml:space="preserve">    "stat2l": "Primary interviews per Southeast Asia medical device mandate",</w:t>
      </w:r>
    </w:p>
    <w:p>
      <w:pPr>
        <w:shd w:fill="F0F0F0" w:val="clear"/>
        <w:spacing w:after="14" w:before="14"/>
        <w:ind w:left="360"/>
      </w:pPr>
      <w:r>
        <w:rPr>
          <w:rFonts w:ascii="Courier New" w:cs="Courier New" w:eastAsia="Courier New" w:hAnsi="Courier New"/>
          <w:color w:val="1B2A4A"/>
          <w:sz w:val="16"/>
          <w:szCs w:val="16"/>
        </w:rPr>
        <w:t xml:space="preserve">    "stat2b": "ASEAN physicians, hospital procurement heads, and medical device distributors — every engagement grounded in direct primary research.",</w:t>
      </w:r>
    </w:p>
    <w:p>
      <w:pPr>
        <w:shd w:fill="F0F0F0" w:val="clear"/>
        <w:spacing w:after="14" w:before="14"/>
        <w:ind w:left="360"/>
      </w:pPr>
      <w:r>
        <w:rPr>
          <w:rFonts w:ascii="Courier New" w:cs="Courier New" w:eastAsia="Courier New" w:hAnsi="Courier New"/>
          <w:color w:val="1B2A4A"/>
          <w:sz w:val="16"/>
          <w:szCs w:val="16"/>
        </w:rPr>
        <w:t xml:space="preserve">    "stat3n": "10 weeks",</w:t>
      </w:r>
    </w:p>
    <w:p>
      <w:pPr>
        <w:shd w:fill="F0F0F0" w:val="clear"/>
        <w:spacing w:after="14" w:before="14"/>
        <w:ind w:left="360"/>
      </w:pPr>
      <w:r>
        <w:rPr>
          <w:rFonts w:ascii="Courier New" w:cs="Courier New" w:eastAsia="Courier New" w:hAnsi="Courier New"/>
          <w:color w:val="1B2A4A"/>
          <w:sz w:val="16"/>
          <w:szCs w:val="16"/>
        </w:rPr>
        <w:t xml:space="preserve">    "stat3l": "Southeast Asia medical devices market entry strategy",</w:t>
      </w:r>
    </w:p>
    <w:p>
      <w:pPr>
        <w:shd w:fill="F0F0F0" w:val="clear"/>
        <w:spacing w:after="14" w:before="14"/>
        <w:ind w:left="360"/>
      </w:pPr>
      <w:r>
        <w:rPr>
          <w:rFonts w:ascii="Courier New" w:cs="Courier New" w:eastAsia="Courier New" w:hAnsi="Courier New"/>
          <w:color w:val="1B2A4A"/>
          <w:sz w:val="16"/>
          <w:szCs w:val="16"/>
        </w:rPr>
        <w:t xml:space="preserve">    "stat3b": "AI-augmented multi-market regulatory mapping and physician demand research delivers Southeast Asia medical device strategies efficiently."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"slug": "southeast-asia-pharma",</w:t>
      </w:r>
    </w:p>
    <w:p>
      <w:pPr>
        <w:shd w:fill="F0F0F0" w:val="clear"/>
        <w:spacing w:after="14" w:before="14"/>
        <w:ind w:left="360"/>
      </w:pPr>
      <w:r>
        <w:rPr>
          <w:rFonts w:ascii="Courier New" w:cs="Courier New" w:eastAsia="Courier New" w:hAnsi="Courier New"/>
          <w:color w:val="1B2A4A"/>
          <w:sz w:val="16"/>
          <w:szCs w:val="16"/>
        </w:rPr>
        <w:t xml:space="preserve">    "parent": "pharma",</w:t>
      </w:r>
    </w:p>
    <w:p>
      <w:pPr>
        <w:shd w:fill="F0F0F0" w:val="clear"/>
        <w:spacing w:after="14" w:before="14"/>
        <w:ind w:left="360"/>
      </w:pPr>
      <w:r>
        <w:rPr>
          <w:rFonts w:ascii="Courier New" w:cs="Courier New" w:eastAsia="Courier New" w:hAnsi="Courier New"/>
          <w:color w:val="1B2A4A"/>
          <w:sz w:val="16"/>
          <w:szCs w:val="16"/>
        </w:rPr>
        <w:t xml:space="preserve">    "title": "Southeast Asia Pharmaceutical Market Entry | GreyRadius",</w:t>
      </w:r>
    </w:p>
    <w:p>
      <w:pPr>
        <w:shd w:fill="F0F0F0" w:val="clear"/>
        <w:spacing w:after="14" w:before="14"/>
        <w:ind w:left="360"/>
      </w:pPr>
      <w:r>
        <w:rPr>
          <w:rFonts w:ascii="Courier New" w:cs="Courier New" w:eastAsia="Courier New" w:hAnsi="Courier New"/>
          <w:color w:val="1B2A4A"/>
          <w:sz w:val="16"/>
          <w:szCs w:val="16"/>
        </w:rPr>
        <w:t xml:space="preserve">    "meta": "GreyRadius helps pharmaceutical companies enter Southeast Asia with Indonesia BPOM regulatory mapping, Singapore HSA advisory, pharmaceutical distributor identification, and GTM strategy.",</w:t>
      </w:r>
    </w:p>
    <w:p>
      <w:pPr>
        <w:shd w:fill="F0F0F0" w:val="clear"/>
        <w:spacing w:after="14" w:before="14"/>
        <w:ind w:left="360"/>
      </w:pPr>
      <w:r>
        <w:rPr>
          <w:rFonts w:ascii="Courier New" w:cs="Courier New" w:eastAsia="Courier New" w:hAnsi="Courier New"/>
          <w:color w:val="1B2A4A"/>
          <w:sz w:val="16"/>
          <w:szCs w:val="16"/>
        </w:rPr>
        <w:t xml:space="preserve">    "h1": "Southeast Asia pharmaceutical market entry strategy",</w:t>
      </w:r>
    </w:p>
    <w:p>
      <w:pPr>
        <w:shd w:fill="F0F0F0" w:val="clear"/>
        <w:spacing w:after="14" w:before="14"/>
        <w:ind w:left="360"/>
      </w:pPr>
      <w:r>
        <w:rPr>
          <w:rFonts w:ascii="Courier New" w:cs="Courier New" w:eastAsia="Courier New" w:hAnsi="Courier New"/>
          <w:color w:val="1B2A4A"/>
          <w:sz w:val="16"/>
          <w:szCs w:val="16"/>
        </w:rPr>
        <w:t xml:space="preserve">    "tagline": "From international drug to Southeast Asian patient — strategy for pharmaceutical companies entering ASEAN.",</w:t>
      </w:r>
    </w:p>
    <w:p>
      <w:pPr>
        <w:shd w:fill="F0F0F0" w:val="clear"/>
        <w:spacing w:after="14" w:before="14"/>
        <w:ind w:left="360"/>
      </w:pPr>
      <w:r>
        <w:rPr>
          <w:rFonts w:ascii="Courier New" w:cs="Courier New" w:eastAsia="Courier New" w:hAnsi="Courier New"/>
          <w:color w:val="1B2A4A"/>
          <w:sz w:val="16"/>
          <w:szCs w:val="16"/>
        </w:rPr>
        <w:t xml:space="preserve">    "hero": "Southeast Asia's pharmaceutical market is growing at extraordinary speed — with Indonesia's BPOM as the region's most comprehensive regulatory framework covering 270 million patients, Singapore's HSA providing regional regulatory credibility, Thailand's FDA creating clear pharmaceutical approval pathways, and Vietnam's rapidly expanding hospital and retail pharmacy infrastructure. International pharmaceutical companies across branded generics, specialty therapeutics, OTC medicines, and biologics are all evaluating Southeast Asia as a pharmaceutical market. GreyRadius helps pharma companies validate ASEAN physician and institutional demand, navigate BPOM, HSA, and country-specific regulatory requirements, identify distributors, and execute market entry.",</w:t>
      </w:r>
    </w:p>
    <w:p>
      <w:pPr>
        <w:shd w:fill="F0F0F0" w:val="clear"/>
        <w:spacing w:after="14" w:before="14"/>
        <w:ind w:left="360"/>
      </w:pPr>
      <w:r>
        <w:rPr>
          <w:rFonts w:ascii="Courier New" w:cs="Courier New" w:eastAsia="Courier New" w:hAnsi="Courier New"/>
          <w:color w:val="1B2A4A"/>
          <w:sz w:val="16"/>
          <w:szCs w:val="16"/>
        </w:rPr>
        <w:t xml:space="preserve">    "market_timing": "ASEAN's Pharmaceutical Product Working Group (PPWG) is advancing regulatory harmonisation — ASEAN Common Technical Dossier and mutual recognition of drug registration are creating a pathway to register across ASEAN markets with a single dossier. Pharmaceutical companies that file using the ASEAN CTD format in 2024-2026 will be positioned to benefit from mutual recognition as PPWG harmonisation advances.",</w:t>
      </w:r>
    </w:p>
    <w:p>
      <w:pPr>
        <w:shd w:fill="F0F0F0" w:val="clear"/>
        <w:spacing w:after="14" w:before="14"/>
        <w:ind w:left="360"/>
      </w:pPr>
      <w:r>
        <w:rPr>
          <w:rFonts w:ascii="Courier New" w:cs="Courier New" w:eastAsia="Courier New" w:hAnsi="Courier New"/>
          <w:color w:val="1B2A4A"/>
          <w:sz w:val="16"/>
          <w:szCs w:val="16"/>
        </w:rPr>
        <w:t xml:space="preserve">    "insights": [</w:t>
      </w:r>
    </w:p>
    <w:p>
      <w:pPr>
        <w:shd w:fill="F0F0F0" w:val="clear"/>
        <w:spacing w:after="14" w:before="14"/>
        <w:ind w:left="360"/>
      </w:pPr>
      <w:r>
        <w:rPr>
          <w:rFonts w:ascii="Courier New" w:cs="Courier New" w:eastAsia="Courier New" w:hAnsi="Courier New"/>
          <w:color w:val="1B2A4A"/>
          <w:sz w:val="16"/>
          <w:szCs w:val="16"/>
        </w:rPr>
        <w:t xml:space="preserve">      "Southeast Asia pharmaceutical market is projected to reach $65B by 2028 — growing at 8% annually as universal health coverage expansion, generic medicine adoption, and specialty pharmaceutical demand all scale.",</w:t>
      </w:r>
    </w:p>
    <w:p>
      <w:pPr>
        <w:shd w:fill="F0F0F0" w:val="clear"/>
        <w:spacing w:after="14" w:before="14"/>
        <w:ind w:left="360"/>
      </w:pPr>
      <w:r>
        <w:rPr>
          <w:rFonts w:ascii="Courier New" w:cs="Courier New" w:eastAsia="Courier New" w:hAnsi="Courier New"/>
          <w:color w:val="1B2A4A"/>
          <w:sz w:val="16"/>
          <w:szCs w:val="16"/>
        </w:rPr>
        <w:t xml:space="preserve">      "Indonesia is Southeast Asia's largest pharmaceutical market — BPOM-regulated across 270 million patients and a mandatory local manufacturing preference creating local partnership demand.",</w:t>
      </w:r>
    </w:p>
    <w:p>
      <w:pPr>
        <w:shd w:fill="F0F0F0" w:val="clear"/>
        <w:spacing w:after="14" w:before="14"/>
        <w:ind w:left="360"/>
      </w:pPr>
      <w:r>
        <w:rPr>
          <w:rFonts w:ascii="Courier New" w:cs="Courier New" w:eastAsia="Courier New" w:hAnsi="Courier New"/>
          <w:color w:val="1B2A4A"/>
          <w:sz w:val="16"/>
          <w:szCs w:val="16"/>
        </w:rPr>
        <w:t xml:space="preserve">      "Singapore's HSA approval is the ASEAN pharmaceutical gold standard — HSA registration provides regulatory credibility and Singapore's private hospital market offers premium branded product adoption.",</w:t>
      </w:r>
    </w:p>
    <w:p>
      <w:pPr>
        <w:shd w:fill="F0F0F0" w:val="clear"/>
        <w:spacing w:after="14" w:before="14"/>
        <w:ind w:left="360"/>
      </w:pPr>
      <w:r>
        <w:rPr>
          <w:rFonts w:ascii="Courier New" w:cs="Courier New" w:eastAsia="Courier New" w:hAnsi="Courier New"/>
          <w:color w:val="1B2A4A"/>
          <w:sz w:val="16"/>
          <w:szCs w:val="16"/>
        </w:rPr>
        <w:t xml:space="preserve">      "Vietnam's pharmaceutical market is growing at 10% annually — 100 million patients and Vietnam's expanding hospital infrastructure creating strong branded generic and specialty pharmaceutical demand."</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"challenges_market": [</w:t>
      </w:r>
    </w:p>
    <w:p>
      <w:pPr>
        <w:shd w:fill="F0F0F0" w:val="clear"/>
        <w:spacing w:after="14" w:before="14"/>
        <w:ind w:left="360"/>
      </w:pPr>
      <w:r>
        <w:rPr>
          <w:rFonts w:ascii="Courier New" w:cs="Courier New" w:eastAsia="Courier New" w:hAnsi="Courier New"/>
          <w:color w:val="1B2A4A"/>
          <w:sz w:val="16"/>
          <w:szCs w:val="16"/>
        </w:rPr>
        <w:t xml:space="preserve">      "BPOM Indonesia registration requires local representative — mandatory local pharmaceutical representative and increasingly Indonesian partnership for imported drug registration.",</w:t>
      </w:r>
    </w:p>
    <w:p>
      <w:pPr>
        <w:shd w:fill="F0F0F0" w:val="clear"/>
        <w:spacing w:after="14" w:before="14"/>
        <w:ind w:left="360"/>
      </w:pPr>
      <w:r>
        <w:rPr>
          <w:rFonts w:ascii="Courier New" w:cs="Courier New" w:eastAsia="Courier New" w:hAnsi="Courier New"/>
          <w:color w:val="1B2A4A"/>
          <w:sz w:val="16"/>
          <w:szCs w:val="16"/>
        </w:rPr>
        <w:t xml:space="preserve">      "Indonesia's domestic content preference affects market access — government hospital procurement preferences for domestically manufactured pharmaceuticals create challenges for fully imported products.",</w:t>
      </w:r>
    </w:p>
    <w:p>
      <w:pPr>
        <w:shd w:fill="F0F0F0" w:val="clear"/>
        <w:spacing w:after="14" w:before="14"/>
        <w:ind w:left="360"/>
      </w:pPr>
      <w:r>
        <w:rPr>
          <w:rFonts w:ascii="Courier New" w:cs="Courier New" w:eastAsia="Courier New" w:hAnsi="Courier New"/>
          <w:color w:val="1B2A4A"/>
          <w:sz w:val="16"/>
          <w:szCs w:val="16"/>
        </w:rPr>
        <w:t xml:space="preserve">      "ASEAN multi-market regulatory investment is significant — registering across Indonesia, Singapore, Thailand, and Vietnam requires substantial regulatory affairs investment per market.",</w:t>
      </w:r>
    </w:p>
    <w:p>
      <w:pPr>
        <w:shd w:fill="F0F0F0" w:val="clear"/>
        <w:spacing w:after="14" w:before="14"/>
        <w:ind w:left="360"/>
      </w:pPr>
      <w:r>
        <w:rPr>
          <w:rFonts w:ascii="Courier New" w:cs="Courier New" w:eastAsia="Courier New" w:hAnsi="Courier New"/>
          <w:color w:val="1B2A4A"/>
          <w:sz w:val="16"/>
          <w:szCs w:val="16"/>
        </w:rPr>
        <w:t xml:space="preserve">      "Competition from Indian and Chinese pharmaceutical companies — Sun Pharma, Cipla, and Fosun Pharma — with cost-competitive branded generic products and established ASEAN presence is intense."</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"challenges_we_solve": [</w:t>
      </w:r>
    </w:p>
    <w:p>
      <w:pPr>
        <w:shd w:fill="F0F0F0" w:val="clear"/>
        <w:spacing w:after="14" w:before="14"/>
        <w:ind w:left="360"/>
      </w:pPr>
      <w:r>
        <w:rPr>
          <w:rFonts w:ascii="Courier New" w:cs="Courier New" w:eastAsia="Courier New" w:hAnsi="Courier New"/>
          <w:color w:val="1B2A4A"/>
          <w:sz w:val="16"/>
          <w:szCs w:val="16"/>
        </w:rPr>
        <w:t xml:space="preserve">      "Southeast Asia pharma demand validation|You need to validate ASEAN physician and institutional demand for your pharmaceutical product and understand country-specific regulatory requirements.",</w:t>
      </w:r>
    </w:p>
    <w:p>
      <w:pPr>
        <w:shd w:fill="F0F0F0" w:val="clear"/>
        <w:spacing w:after="14" w:before="14"/>
        <w:ind w:left="360"/>
      </w:pPr>
      <w:r>
        <w:rPr>
          <w:rFonts w:ascii="Courier New" w:cs="Courier New" w:eastAsia="Courier New" w:hAnsi="Courier New"/>
          <w:color w:val="1B2A4A"/>
          <w:sz w:val="16"/>
          <w:szCs w:val="16"/>
        </w:rPr>
        <w:t xml:space="preserve">      "BPOM Indonesia and HSA Singapore regulatory pathway|You need to understand BPOM drug registration, local manufacturing partner requirements, and Singapore HSA registration for your drug category.",</w:t>
      </w:r>
    </w:p>
    <w:p>
      <w:pPr>
        <w:shd w:fill="F0F0F0" w:val="clear"/>
        <w:spacing w:after="14" w:before="14"/>
        <w:ind w:left="360"/>
      </w:pPr>
      <w:r>
        <w:rPr>
          <w:rFonts w:ascii="Courier New" w:cs="Courier New" w:eastAsia="Courier New" w:hAnsi="Courier New"/>
          <w:color w:val="1B2A4A"/>
          <w:sz w:val="16"/>
          <w:szCs w:val="16"/>
        </w:rPr>
        <w:t xml:space="preserve">      "Southeast Asia pharmaceutical distributor identification|You need pharmaceutical distributors with hospital and retail pharmacy relationships across target ASEAN markets.",</w:t>
      </w:r>
    </w:p>
    <w:p>
      <w:pPr>
        <w:shd w:fill="F0F0F0" w:val="clear"/>
        <w:spacing w:after="14" w:before="14"/>
        <w:ind w:left="360"/>
      </w:pPr>
      <w:r>
        <w:rPr>
          <w:rFonts w:ascii="Courier New" w:cs="Courier New" w:eastAsia="Courier New" w:hAnsi="Courier New"/>
          <w:color w:val="1B2A4A"/>
          <w:sz w:val="16"/>
          <w:szCs w:val="16"/>
        </w:rPr>
        <w:t xml:space="preserve">      "Southeast Asia pharma GTM strategy|You need a Singapore-first HSA-approved positioning or Indonesia-first BPOM volume strategy for ASEAN pharma entry.",</w:t>
      </w:r>
    </w:p>
    <w:p>
      <w:pPr>
        <w:shd w:fill="F0F0F0" w:val="clear"/>
        <w:spacing w:after="14" w:before="14"/>
        <w:ind w:left="360"/>
      </w:pPr>
      <w:r>
        <w:rPr>
          <w:rFonts w:ascii="Courier New" w:cs="Courier New" w:eastAsia="Courier New" w:hAnsi="Courier New"/>
          <w:color w:val="1B2A4A"/>
          <w:sz w:val="16"/>
          <w:szCs w:val="16"/>
        </w:rPr>
        <w:t xml:space="preserve">      "Raising capital for Southeast Asia pharma investment|You need a pitch book grounded in ASEAN pharmaceutical market data and PPWG harmonisation analysis.",</w:t>
      </w:r>
    </w:p>
    <w:p>
      <w:pPr>
        <w:shd w:fill="F0F0F0" w:val="clear"/>
        <w:spacing w:after="14" w:before="14"/>
        <w:ind w:left="360"/>
      </w:pPr>
      <w:r>
        <w:rPr>
          <w:rFonts w:ascii="Courier New" w:cs="Courier New" w:eastAsia="Courier New" w:hAnsi="Courier New"/>
          <w:color w:val="1B2A4A"/>
          <w:sz w:val="16"/>
          <w:szCs w:val="16"/>
        </w:rPr>
        <w:t xml:space="preserve">      "Local manufacturing partner strategy|You need an Indonesia pharmaceutical toll manufacturing partner identification and technology transfer structure."</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"service_angles": [</w:t>
      </w:r>
    </w:p>
    <w:p>
      <w:pPr>
        <w:shd w:fill="F0F0F0" w:val="clear"/>
        <w:spacing w:after="14" w:before="14"/>
        <w:ind w:left="360"/>
      </w:pPr>
      <w:r>
        <w:rPr>
          <w:rFonts w:ascii="Courier New" w:cs="Courier New" w:eastAsia="Courier New" w:hAnsi="Courier New"/>
          <w:color w:val="1B2A4A"/>
          <w:sz w:val="16"/>
          <w:szCs w:val="16"/>
        </w:rPr>
        <w:t xml:space="preserve">      "Validate Southeast Asian physician and institutional demand for your pharmaceutical product with physician interviews and BPOM regulatory mapping.",</w:t>
      </w:r>
    </w:p>
    <w:p>
      <w:pPr>
        <w:shd w:fill="F0F0F0" w:val="clear"/>
        <w:spacing w:after="14" w:before="14"/>
        <w:ind w:left="360"/>
      </w:pPr>
      <w:r>
        <w:rPr>
          <w:rFonts w:ascii="Courier New" w:cs="Courier New" w:eastAsia="Courier New" w:hAnsi="Courier New"/>
          <w:color w:val="1B2A4A"/>
          <w:sz w:val="16"/>
          <w:szCs w:val="16"/>
        </w:rPr>
        <w:t xml:space="preserve">      "Full financial feasibility for Southeast Asia pharma investment covering multi-market registration cost and distributor economics.",</w:t>
      </w:r>
    </w:p>
    <w:p>
      <w:pPr>
        <w:shd w:fill="F0F0F0" w:val="clear"/>
        <w:spacing w:after="14" w:before="14"/>
        <w:ind w:left="360"/>
      </w:pPr>
      <w:r>
        <w:rPr>
          <w:rFonts w:ascii="Courier New" w:cs="Courier New" w:eastAsia="Courier New" w:hAnsi="Courier New"/>
          <w:color w:val="1B2A4A"/>
          <w:sz w:val="16"/>
          <w:szCs w:val="16"/>
        </w:rPr>
        <w:t xml:space="preserve">      "End-to-end Southeast Asia pharma market entry including BPOM and HSA pathway, pharmaceutical distributor identification, and first-formulary-listing milestone.",</w:t>
      </w:r>
    </w:p>
    <w:p>
      <w:pPr>
        <w:shd w:fill="F0F0F0" w:val="clear"/>
        <w:spacing w:after="14" w:before="14"/>
        <w:ind w:left="360"/>
      </w:pPr>
      <w:r>
        <w:rPr>
          <w:rFonts w:ascii="Courier New" w:cs="Courier New" w:eastAsia="Courier New" w:hAnsi="Courier New"/>
          <w:color w:val="1B2A4A"/>
          <w:sz w:val="16"/>
          <w:szCs w:val="16"/>
        </w:rPr>
        <w:t xml:space="preserve">      "Embedded Southeast Asia pharma GTM team covering physician detailing and hospital pharmacy outreach.",</w:t>
      </w:r>
    </w:p>
    <w:p>
      <w:pPr>
        <w:shd w:fill="F0F0F0" w:val="clear"/>
        <w:spacing w:after="14" w:before="14"/>
        <w:ind w:left="360"/>
      </w:pPr>
      <w:r>
        <w:rPr>
          <w:rFonts w:ascii="Courier New" w:cs="Courier New" w:eastAsia="Courier New" w:hAnsi="Courier New"/>
          <w:color w:val="1B2A4A"/>
          <w:sz w:val="16"/>
          <w:szCs w:val="16"/>
        </w:rPr>
        <w:t xml:space="preserve">      "Investor-ready pitch books for Southeast Asia pharma investment with ASEAN CTD harmonisation and universal health coverage narrative.",</w:t>
      </w:r>
    </w:p>
    <w:p>
      <w:pPr>
        <w:shd w:fill="F0F0F0" w:val="clear"/>
        <w:spacing w:after="14" w:before="14"/>
        <w:ind w:left="360"/>
      </w:pPr>
      <w:r>
        <w:rPr>
          <w:rFonts w:ascii="Courier New" w:cs="Courier New" w:eastAsia="Courier New" w:hAnsi="Courier New"/>
          <w:color w:val="1B2A4A"/>
          <w:sz w:val="16"/>
          <w:szCs w:val="16"/>
        </w:rPr>
        <w:t xml:space="preserve">      "Local manufacturing partner strategy — from Indonesia toll manufacturing identification to technology transfer structure."</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"faq": [</w:t>
      </w:r>
    </w:p>
    <w:p>
      <w:pPr>
        <w:shd w:fill="F0F0F0" w:val="clear"/>
        <w:spacing w:after="14" w:before="14"/>
        <w:ind w:left="360"/>
      </w:pPr>
      <w:r>
        <w:rPr>
          <w:rFonts w:ascii="Courier New" w:cs="Courier New" w:eastAsia="Courier New" w:hAnsi="Courier New"/>
          <w:color w:val="1B2A4A"/>
          <w:sz w:val="16"/>
          <w:szCs w:val="16"/>
        </w:rPr>
        <w:t xml:space="preserve">      "Does GreyRadius work with branded generic companies or also with specialty pharma, biologics, and OTC companies entering Southeast Asia?|All pharmaceutical categories.",</w:t>
      </w:r>
    </w:p>
    <w:p>
      <w:pPr>
        <w:shd w:fill="F0F0F0" w:val="clear"/>
        <w:spacing w:after="14" w:before="14"/>
        <w:ind w:left="360"/>
      </w:pPr>
      <w:r>
        <w:rPr>
          <w:rFonts w:ascii="Courier New" w:cs="Courier New" w:eastAsia="Courier New" w:hAnsi="Courier New"/>
          <w:color w:val="1B2A4A"/>
          <w:sz w:val="16"/>
          <w:szCs w:val="16"/>
        </w:rPr>
        <w:t xml:space="preserve">      "Which Southeast Asian pharma market should international companies enter first?|Singapore for HSA regulatory credibility and premium physician adoption; Indonesia for largest patient population and BPOM market volume.",</w:t>
      </w:r>
    </w:p>
    <w:p>
      <w:pPr>
        <w:shd w:fill="F0F0F0" w:val="clear"/>
        <w:spacing w:after="14" w:before="14"/>
        <w:ind w:left="360"/>
      </w:pPr>
      <w:r>
        <w:rPr>
          <w:rFonts w:ascii="Courier New" w:cs="Courier New" w:eastAsia="Courier New" w:hAnsi="Courier New"/>
          <w:color w:val="1B2A4A"/>
          <w:sz w:val="16"/>
          <w:szCs w:val="16"/>
        </w:rPr>
        <w:t xml:space="preserve">      "How long does a Southeast Asia pharma engagement take?|Typically 10-14 weeks for physician demand research, multi-market regulatory mapping, and distributor identification.",</w:t>
      </w:r>
    </w:p>
    <w:p>
      <w:pPr>
        <w:shd w:fill="F0F0F0" w:val="clear"/>
        <w:spacing w:after="14" w:before="14"/>
        <w:ind w:left="360"/>
      </w:pPr>
      <w:r>
        <w:rPr>
          <w:rFonts w:ascii="Courier New" w:cs="Courier New" w:eastAsia="Courier New" w:hAnsi="Courier New"/>
          <w:color w:val="1B2A4A"/>
          <w:sz w:val="16"/>
          <w:szCs w:val="16"/>
        </w:rPr>
        <w:t xml:space="preserve">      "What does Indonesia's domestic manufacturing preference mean for market entry strategy?|It affects government hospital procurement access — we develop local manufacturing partnership or private market focus strategies depending on your product category."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"keywords": "Southeast Asia pharmaceutical market entry, Indonesia BPOM drug registration consulting, Singapore HSA pharma advisory, ASEAN generic medicine GTM strategy, Southeast Asia pharma market entry",</w:t>
      </w:r>
    </w:p>
    <w:p>
      <w:pPr>
        <w:shd w:fill="F0F0F0" w:val="clear"/>
        <w:spacing w:after="14" w:before="14"/>
        <w:ind w:left="360"/>
      </w:pPr>
      <w:r>
        <w:rPr>
          <w:rFonts w:ascii="Courier New" w:cs="Courier New" w:eastAsia="Courier New" w:hAnsi="Courier New"/>
          <w:color w:val="1B2A4A"/>
          <w:sz w:val="16"/>
          <w:szCs w:val="16"/>
        </w:rPr>
        <w:t xml:space="preserve">    "regions": "Indonesia — BPOM-registered across 270 million patients; Singapore — HSA-approved specialist physician and private hospital market; Thailand — FDA Thailand approved hospital and pharmacy; Vietnam — MOH registered hospital network",</w:t>
      </w:r>
    </w:p>
    <w:p>
      <w:pPr>
        <w:shd w:fill="F0F0F0" w:val="clear"/>
        <w:spacing w:after="14" w:before="14"/>
        <w:ind w:left="360"/>
      </w:pPr>
      <w:r>
        <w:rPr>
          <w:rFonts w:ascii="Courier New" w:cs="Courier New" w:eastAsia="Courier New" w:hAnsi="Courier New"/>
          <w:color w:val="1B2A4A"/>
          <w:sz w:val="16"/>
          <w:szCs w:val="16"/>
        </w:rPr>
        <w:t xml:space="preserve">    "stat1n": "$65B",</w:t>
      </w:r>
    </w:p>
    <w:p>
      <w:pPr>
        <w:shd w:fill="F0F0F0" w:val="clear"/>
        <w:spacing w:after="14" w:before="14"/>
        <w:ind w:left="360"/>
      </w:pPr>
      <w:r>
        <w:rPr>
          <w:rFonts w:ascii="Courier New" w:cs="Courier New" w:eastAsia="Courier New" w:hAnsi="Courier New"/>
          <w:color w:val="1B2A4A"/>
          <w:sz w:val="16"/>
          <w:szCs w:val="16"/>
        </w:rPr>
        <w:t xml:space="preserve">    "stat1l": "Southeast Asia pharmaceutical market by 2028",</w:t>
      </w:r>
    </w:p>
    <w:p>
      <w:pPr>
        <w:shd w:fill="F0F0F0" w:val="clear"/>
        <w:spacing w:after="14" w:before="14"/>
        <w:ind w:left="360"/>
      </w:pPr>
      <w:r>
        <w:rPr>
          <w:rFonts w:ascii="Courier New" w:cs="Courier New" w:eastAsia="Courier New" w:hAnsi="Courier New"/>
          <w:color w:val="1B2A4A"/>
          <w:sz w:val="16"/>
          <w:szCs w:val="16"/>
        </w:rPr>
        <w:t xml:space="preserve">    "stat1b": "Universal health coverage expansion, generic medicine adoption, and specialty pharmaceutical demand driving 8% annual ASEAN pharma growth.",</w:t>
      </w:r>
    </w:p>
    <w:p>
      <w:pPr>
        <w:shd w:fill="F0F0F0" w:val="clear"/>
        <w:spacing w:after="14" w:before="14"/>
        <w:ind w:left="360"/>
      </w:pPr>
      <w:r>
        <w:rPr>
          <w:rFonts w:ascii="Courier New" w:cs="Courier New" w:eastAsia="Courier New" w:hAnsi="Courier New"/>
          <w:color w:val="1B2A4A"/>
          <w:sz w:val="16"/>
          <w:szCs w:val="16"/>
        </w:rPr>
        <w:t xml:space="preserve">    "stat2n": "30+",</w:t>
      </w:r>
    </w:p>
    <w:p>
      <w:pPr>
        <w:shd w:fill="F0F0F0" w:val="clear"/>
        <w:spacing w:after="14" w:before="14"/>
        <w:ind w:left="360"/>
      </w:pPr>
      <w:r>
        <w:rPr>
          <w:rFonts w:ascii="Courier New" w:cs="Courier New" w:eastAsia="Courier New" w:hAnsi="Courier New"/>
          <w:color w:val="1B2A4A"/>
          <w:sz w:val="16"/>
          <w:szCs w:val="16"/>
        </w:rPr>
        <w:t xml:space="preserve">    "stat2l": "Primary interviews per Southeast Asia pharma mandate",</w:t>
      </w:r>
    </w:p>
    <w:p>
      <w:pPr>
        <w:shd w:fill="F0F0F0" w:val="clear"/>
        <w:spacing w:after="14" w:before="14"/>
        <w:ind w:left="360"/>
      </w:pPr>
      <w:r>
        <w:rPr>
          <w:rFonts w:ascii="Courier New" w:cs="Courier New" w:eastAsia="Courier New" w:hAnsi="Courier New"/>
          <w:color w:val="1B2A4A"/>
          <w:sz w:val="16"/>
          <w:szCs w:val="16"/>
        </w:rPr>
        <w:t xml:space="preserve">    "stat2b": "ASEAN physicians, hospital pharmacy heads, and pharmaceutical distributors — every engagement grounded in direct primary research.",</w:t>
      </w:r>
    </w:p>
    <w:p>
      <w:pPr>
        <w:shd w:fill="F0F0F0" w:val="clear"/>
        <w:spacing w:after="14" w:before="14"/>
        <w:ind w:left="360"/>
      </w:pPr>
      <w:r>
        <w:rPr>
          <w:rFonts w:ascii="Courier New" w:cs="Courier New" w:eastAsia="Courier New" w:hAnsi="Courier New"/>
          <w:color w:val="1B2A4A"/>
          <w:sz w:val="16"/>
          <w:szCs w:val="16"/>
        </w:rPr>
        <w:t xml:space="preserve">    "stat3n": "10 weeks",</w:t>
      </w:r>
    </w:p>
    <w:p>
      <w:pPr>
        <w:shd w:fill="F0F0F0" w:val="clear"/>
        <w:spacing w:after="14" w:before="14"/>
        <w:ind w:left="360"/>
      </w:pPr>
      <w:r>
        <w:rPr>
          <w:rFonts w:ascii="Courier New" w:cs="Courier New" w:eastAsia="Courier New" w:hAnsi="Courier New"/>
          <w:color w:val="1B2A4A"/>
          <w:sz w:val="16"/>
          <w:szCs w:val="16"/>
        </w:rPr>
        <w:t xml:space="preserve">    "stat3l": "Southeast Asia pharmaceutical market entry strategy",</w:t>
      </w:r>
    </w:p>
    <w:p>
      <w:pPr>
        <w:shd w:fill="F0F0F0" w:val="clear"/>
        <w:spacing w:after="14" w:before="14"/>
        <w:ind w:left="360"/>
      </w:pPr>
      <w:r>
        <w:rPr>
          <w:rFonts w:ascii="Courier New" w:cs="Courier New" w:eastAsia="Courier New" w:hAnsi="Courier New"/>
          <w:color w:val="1B2A4A"/>
          <w:sz w:val="16"/>
          <w:szCs w:val="16"/>
        </w:rPr>
        <w:t xml:space="preserve">    "stat3b": "AI-augmented BPOM regulatory mapping and physician demand research delivers Southeast Asia pharma strategies efficiently."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"slug": "gulf-rare-earth",</w:t>
      </w:r>
    </w:p>
    <w:p>
      <w:pPr>
        <w:shd w:fill="F0F0F0" w:val="clear"/>
        <w:spacing w:after="14" w:before="14"/>
        <w:ind w:left="360"/>
      </w:pPr>
      <w:r>
        <w:rPr>
          <w:rFonts w:ascii="Courier New" w:cs="Courier New" w:eastAsia="Courier New" w:hAnsi="Courier New"/>
          <w:color w:val="1B2A4A"/>
          <w:sz w:val="16"/>
          <w:szCs w:val="16"/>
        </w:rPr>
        <w:t xml:space="preserve">    "parent": "rare-earth-metals",</w:t>
      </w:r>
    </w:p>
    <w:p>
      <w:pPr>
        <w:shd w:fill="F0F0F0" w:val="clear"/>
        <w:spacing w:after="14" w:before="14"/>
        <w:ind w:left="360"/>
      </w:pPr>
      <w:r>
        <w:rPr>
          <w:rFonts w:ascii="Courier New" w:cs="Courier New" w:eastAsia="Courier New" w:hAnsi="Courier New"/>
          <w:color w:val="1B2A4A"/>
          <w:sz w:val="16"/>
          <w:szCs w:val="16"/>
        </w:rPr>
        <w:t xml:space="preserve">    "title": "Gulf Critical Minerals &amp; Rare Earth Strategy | GreyRadius",</w:t>
      </w:r>
    </w:p>
    <w:p>
      <w:pPr>
        <w:shd w:fill="F0F0F0" w:val="clear"/>
        <w:spacing w:after="14" w:before="14"/>
        <w:ind w:left="360"/>
      </w:pPr>
      <w:r>
        <w:rPr>
          <w:rFonts w:ascii="Courier New" w:cs="Courier New" w:eastAsia="Courier New" w:hAnsi="Courier New"/>
          <w:color w:val="1B2A4A"/>
          <w:sz w:val="16"/>
          <w:szCs w:val="16"/>
        </w:rPr>
        <w:t xml:space="preserve">    "meta": "GreyRadius helps critical mineral companies access Gulf sovereign capital with PIF and Mubadala investment mapping, co-investment structure design, and strategic demand validation.",</w:t>
      </w:r>
    </w:p>
    <w:p>
      <w:pPr>
        <w:shd w:fill="F0F0F0" w:val="clear"/>
        <w:spacing w:after="14" w:before="14"/>
        <w:ind w:left="360"/>
      </w:pPr>
      <w:r>
        <w:rPr>
          <w:rFonts w:ascii="Courier New" w:cs="Courier New" w:eastAsia="Courier New" w:hAnsi="Courier New"/>
          <w:color w:val="1B2A4A"/>
          <w:sz w:val="16"/>
          <w:szCs w:val="16"/>
        </w:rPr>
        <w:t xml:space="preserve">    "h1": "Gulf critical minerals and rare earth investment strategy",</w:t>
      </w:r>
    </w:p>
    <w:p>
      <w:pPr>
        <w:shd w:fill="F0F0F0" w:val="clear"/>
        <w:spacing w:after="14" w:before="14"/>
        <w:ind w:left="360"/>
      </w:pPr>
      <w:r>
        <w:rPr>
          <w:rFonts w:ascii="Courier New" w:cs="Courier New" w:eastAsia="Courier New" w:hAnsi="Courier New"/>
          <w:color w:val="1B2A4A"/>
          <w:sz w:val="16"/>
          <w:szCs w:val="16"/>
        </w:rPr>
        <w:t xml:space="preserve">    "tagline": "From critical mineral technology to Gulf sovereign capital — strategy for companies seeking Gulf investment in critical mineral assets.",</w:t>
      </w:r>
    </w:p>
    <w:p>
      <w:pPr>
        <w:shd w:fill="F0F0F0" w:val="clear"/>
        <w:spacing w:after="14" w:before="14"/>
        <w:ind w:left="360"/>
      </w:pPr>
      <w:r>
        <w:rPr>
          <w:rFonts w:ascii="Courier New" w:cs="Courier New" w:eastAsia="Courier New" w:hAnsi="Courier New"/>
          <w:color w:val="1B2A4A"/>
          <w:sz w:val="16"/>
          <w:szCs w:val="16"/>
        </w:rPr>
        <w:t xml:space="preserve">    "hero": "The Gulf's critical minerals market is emerging as a significant strategic investment destination — with Saudi Arabia's PIF actively seeking critical mineral supply chain investments globally, UAE's sovereign wealth funds deploying capital into battery materials and rare earth processing, Gulf Vision 2030 AI and green energy programmes creating domestic critical mineral demand, and the Gulf's capital position enabling strategic mineral acquisition at a scale no other investor class can match. International critical mineral companies across mining, processing, and battery materials are all evaluating Gulf sovereign capital partnership. GreyRadius helps companies access Gulf sovereign capital for critical mineral investment, navigate PIF and Mubadala partnership requirements, and build the commercial case for Gulf co-investment.",</w:t>
      </w:r>
    </w:p>
    <w:p>
      <w:pPr>
        <w:shd w:fill="F0F0F0" w:val="clear"/>
        <w:spacing w:after="14" w:before="14"/>
        <w:ind w:left="360"/>
      </w:pPr>
      <w:r>
        <w:rPr>
          <w:rFonts w:ascii="Courier New" w:cs="Courier New" w:eastAsia="Courier New" w:hAnsi="Courier New"/>
          <w:color w:val="1B2A4A"/>
          <w:sz w:val="16"/>
          <w:szCs w:val="16"/>
        </w:rPr>
        <w:t xml:space="preserve">    "market_timing": "PIF's NEOM and Vision 2030 AI programme are creating domestic critical mineral demand — NEOM's battery storage requirements, Saudi Arabia's AI compute infrastructure, and Gulf EV ambitions all create motivated demand for critical minerals that Gulf investors can secure through equity investment rather than spot market dependence. Companies aligning their critical mineral assets with Gulf domestic demand in 2024-2027 access the most motivated long-horizon investor class globally.",</w:t>
      </w:r>
    </w:p>
    <w:p>
      <w:pPr>
        <w:shd w:fill="F0F0F0" w:val="clear"/>
        <w:spacing w:after="14" w:before="14"/>
        <w:ind w:left="360"/>
      </w:pPr>
      <w:r>
        <w:rPr>
          <w:rFonts w:ascii="Courier New" w:cs="Courier New" w:eastAsia="Courier New" w:hAnsi="Courier New"/>
          <w:color w:val="1B2A4A"/>
          <w:sz w:val="16"/>
          <w:szCs w:val="16"/>
        </w:rPr>
        <w:t xml:space="preserve">    "insights": [</w:t>
      </w:r>
    </w:p>
    <w:p>
      <w:pPr>
        <w:shd w:fill="F0F0F0" w:val="clear"/>
        <w:spacing w:after="14" w:before="14"/>
        <w:ind w:left="360"/>
      </w:pPr>
      <w:r>
        <w:rPr>
          <w:rFonts w:ascii="Courier New" w:cs="Courier New" w:eastAsia="Courier New" w:hAnsi="Courier New"/>
          <w:color w:val="1B2A4A"/>
          <w:sz w:val="16"/>
          <w:szCs w:val="16"/>
        </w:rPr>
        <w:t xml:space="preserve">      "Gulf sovereign wealth funds have deployed $15B+ in critical mineral supply chain investments globally since 2021 — PIF, Mubadala, and QIA all actively investing in lithium, cobalt, and rare earth assets.",</w:t>
      </w:r>
    </w:p>
    <w:p>
      <w:pPr>
        <w:shd w:fill="F0F0F0" w:val="clear"/>
        <w:spacing w:after="14" w:before="14"/>
        <w:ind w:left="360"/>
      </w:pPr>
      <w:r>
        <w:rPr>
          <w:rFonts w:ascii="Courier New" w:cs="Courier New" w:eastAsia="Courier New" w:hAnsi="Courier New"/>
          <w:color w:val="1B2A4A"/>
          <w:sz w:val="16"/>
          <w:szCs w:val="16"/>
        </w:rPr>
        <w:t xml:space="preserve">      "Saudi Arabia's domestic critical mineral demand from Vision 2030 creates motivated Gulf investor alignment — investors with domestic demand have longer investment horizons and lower return requirements than purely financial investors.",</w:t>
      </w:r>
    </w:p>
    <w:p>
      <w:pPr>
        <w:shd w:fill="F0F0F0" w:val="clear"/>
        <w:spacing w:after="14" w:before="14"/>
        <w:ind w:left="360"/>
      </w:pPr>
      <w:r>
        <w:rPr>
          <w:rFonts w:ascii="Courier New" w:cs="Courier New" w:eastAsia="Courier New" w:hAnsi="Courier New"/>
          <w:color w:val="1B2A4A"/>
          <w:sz w:val="16"/>
          <w:szCs w:val="16"/>
        </w:rPr>
        <w:t xml:space="preserve">      "UAE's position as a global commodity trading hub creates natural adjacency to critical mineral investment — DMCC's commodity trading infrastructure creating deal flow for Gulf critical mineral investment.",</w:t>
      </w:r>
    </w:p>
    <w:p>
      <w:pPr>
        <w:shd w:fill="F0F0F0" w:val="clear"/>
        <w:spacing w:after="14" w:before="14"/>
        <w:ind w:left="360"/>
      </w:pPr>
      <w:r>
        <w:rPr>
          <w:rFonts w:ascii="Courier New" w:cs="Courier New" w:eastAsia="Courier New" w:hAnsi="Courier New"/>
          <w:color w:val="1B2A4A"/>
          <w:sz w:val="16"/>
          <w:szCs w:val="16"/>
        </w:rPr>
        <w:t xml:space="preserve">      "Gulf sovereign capital is structuring as minority co-investor rather than majority acquirer — creating partnership opportunity for critical mineral companies that retain operational control."</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"challenges_market": [</w:t>
      </w:r>
    </w:p>
    <w:p>
      <w:pPr>
        <w:shd w:fill="F0F0F0" w:val="clear"/>
        <w:spacing w:after="14" w:before="14"/>
        <w:ind w:left="360"/>
      </w:pPr>
      <w:r>
        <w:rPr>
          <w:rFonts w:ascii="Courier New" w:cs="Courier New" w:eastAsia="Courier New" w:hAnsi="Courier New"/>
          <w:color w:val="1B2A4A"/>
          <w:sz w:val="16"/>
          <w:szCs w:val="16"/>
        </w:rPr>
        <w:t xml:space="preserve">      "PIF and Mubadala investment process requires substantial transaction preparation — investment committee approval requires financial model, ESG assessment, geopolitical risk analysis, and strategic rationale documentation.",</w:t>
      </w:r>
    </w:p>
    <w:p>
      <w:pPr>
        <w:shd w:fill="F0F0F0" w:val="clear"/>
        <w:spacing w:after="14" w:before="14"/>
        <w:ind w:left="360"/>
      </w:pPr>
      <w:r>
        <w:rPr>
          <w:rFonts w:ascii="Courier New" w:cs="Courier New" w:eastAsia="Courier New" w:hAnsi="Courier New"/>
          <w:color w:val="1B2A4A"/>
          <w:sz w:val="16"/>
          <w:szCs w:val="16"/>
        </w:rPr>
        <w:t xml:space="preserve">      "Gulf sovereign investors require ESG and responsible sourcing compliance — conflict mineral due diligence, environmental impact assessment, and community development commitment are all scrutinised.",</w:t>
      </w:r>
    </w:p>
    <w:p>
      <w:pPr>
        <w:shd w:fill="F0F0F0" w:val="clear"/>
        <w:spacing w:after="14" w:before="14"/>
        <w:ind w:left="360"/>
      </w:pPr>
      <w:r>
        <w:rPr>
          <w:rFonts w:ascii="Courier New" w:cs="Courier New" w:eastAsia="Courier New" w:hAnsi="Courier New"/>
          <w:color w:val="1B2A4A"/>
          <w:sz w:val="16"/>
          <w:szCs w:val="16"/>
        </w:rPr>
        <w:t xml:space="preserve">      "Gulf investor expectations on return profile differ from pure financial investors — strategic investors accept lower financial returns for supply chain security premium.",</w:t>
      </w:r>
    </w:p>
    <w:p>
      <w:pPr>
        <w:shd w:fill="F0F0F0" w:val="clear"/>
        <w:spacing w:after="14" w:before="14"/>
        <w:ind w:left="360"/>
      </w:pPr>
      <w:r>
        <w:rPr>
          <w:rFonts w:ascii="Courier New" w:cs="Courier New" w:eastAsia="Courier New" w:hAnsi="Courier New"/>
          <w:color w:val="1B2A4A"/>
          <w:sz w:val="16"/>
          <w:szCs w:val="16"/>
        </w:rPr>
        <w:t xml:space="preserve">      "Deal origination in Gulf sovereign capital requires relationship-first engagement — cold outreach to PIF or Mubadala without relationship intermediary rarely results in transaction."</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"challenges_we_solve": [</w:t>
      </w:r>
    </w:p>
    <w:p>
      <w:pPr>
        <w:shd w:fill="F0F0F0" w:val="clear"/>
        <w:spacing w:after="14" w:before="14"/>
        <w:ind w:left="360"/>
      </w:pPr>
      <w:r>
        <w:rPr>
          <w:rFonts w:ascii="Courier New" w:cs="Courier New" w:eastAsia="Courier New" w:hAnsi="Courier New"/>
          <w:color w:val="1B2A4A"/>
          <w:sz w:val="16"/>
          <w:szCs w:val="16"/>
        </w:rPr>
        <w:t xml:space="preserve">      "Gulf sovereign capital validation|You need to validate PIF, Mubadala, and QIA appetite for your critical mineral asset class and understand investment committee requirements.",</w:t>
      </w:r>
    </w:p>
    <w:p>
      <w:pPr>
        <w:shd w:fill="F0F0F0" w:val="clear"/>
        <w:spacing w:after="14" w:before="14"/>
        <w:ind w:left="360"/>
      </w:pPr>
      <w:r>
        <w:rPr>
          <w:rFonts w:ascii="Courier New" w:cs="Courier New" w:eastAsia="Courier New" w:hAnsi="Courier New"/>
          <w:color w:val="1B2A4A"/>
          <w:sz w:val="16"/>
          <w:szCs w:val="16"/>
        </w:rPr>
        <w:t xml:space="preserve">      "Gulf investor relationship and access|You need relationship intermediaries, transaction advisers with Gulf sovereign relationships, and investment committee document preparation.",</w:t>
      </w:r>
    </w:p>
    <w:p>
      <w:pPr>
        <w:shd w:fill="F0F0F0" w:val="clear"/>
        <w:spacing w:after="14" w:before="14"/>
        <w:ind w:left="360"/>
      </w:pPr>
      <w:r>
        <w:rPr>
          <w:rFonts w:ascii="Courier New" w:cs="Courier New" w:eastAsia="Courier New" w:hAnsi="Courier New"/>
          <w:color w:val="1B2A4A"/>
          <w:sz w:val="16"/>
          <w:szCs w:val="16"/>
        </w:rPr>
        <w:t xml:space="preserve">      "Gulf co-investment structure design|You need a minority co-investment structure that satisfies Gulf investor ESG, strategic, and return requirements while protecting operator control.",</w:t>
      </w:r>
    </w:p>
    <w:p>
      <w:pPr>
        <w:shd w:fill="F0F0F0" w:val="clear"/>
        <w:spacing w:after="14" w:before="14"/>
        <w:ind w:left="360"/>
      </w:pPr>
      <w:r>
        <w:rPr>
          <w:rFonts w:ascii="Courier New" w:cs="Courier New" w:eastAsia="Courier New" w:hAnsi="Courier New"/>
          <w:color w:val="1B2A4A"/>
          <w:sz w:val="16"/>
          <w:szCs w:val="16"/>
        </w:rPr>
        <w:t xml:space="preserve">      "Critical mineral pitch book for Gulf investors|You need an investment memorandum grounded in critical mineral market data, project feasibility, and responsible sourcing compliance.",</w:t>
      </w:r>
    </w:p>
    <w:p>
      <w:pPr>
        <w:shd w:fill="F0F0F0" w:val="clear"/>
        <w:spacing w:after="14" w:before="14"/>
        <w:ind w:left="360"/>
      </w:pPr>
      <w:r>
        <w:rPr>
          <w:rFonts w:ascii="Courier New" w:cs="Courier New" w:eastAsia="Courier New" w:hAnsi="Courier New"/>
          <w:color w:val="1B2A4A"/>
          <w:sz w:val="16"/>
          <w:szCs w:val="16"/>
        </w:rPr>
        <w:t xml:space="preserve">      "Gulf strategic demand validation|You need to quantify Gulf domestic demand for your critical mineral from NEOM, SDAIA, and Vision 2030 programmes as investor motivation.",</w:t>
      </w:r>
    </w:p>
    <w:p>
      <w:pPr>
        <w:shd w:fill="F0F0F0" w:val="clear"/>
        <w:spacing w:after="14" w:before="14"/>
        <w:ind w:left="360"/>
      </w:pPr>
      <w:r>
        <w:rPr>
          <w:rFonts w:ascii="Courier New" w:cs="Courier New" w:eastAsia="Courier New" w:hAnsi="Courier New"/>
          <w:color w:val="1B2A4A"/>
          <w:sz w:val="16"/>
          <w:szCs w:val="16"/>
        </w:rPr>
        <w:t xml:space="preserve">      "ESG and responsible sourcing compliance strategy|You need an ESG framework and responsible sourcing compliance architecture that satisfies Gulf sovereign investor requirements."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"service_angles": [</w:t>
      </w:r>
    </w:p>
    <w:p>
      <w:pPr>
        <w:shd w:fill="F0F0F0" w:val="clear"/>
        <w:spacing w:after="14" w:before="14"/>
        <w:ind w:left="360"/>
      </w:pPr>
      <w:r>
        <w:rPr>
          <w:rFonts w:ascii="Courier New" w:cs="Courier New" w:eastAsia="Courier New" w:hAnsi="Courier New"/>
          <w:color w:val="1B2A4A"/>
          <w:sz w:val="16"/>
          <w:szCs w:val="16"/>
        </w:rPr>
        <w:t xml:space="preserve">      "Validate Gulf sovereign investor appetite for your critical mineral asset with PIF and Mubadala preference research.",</w:t>
      </w:r>
    </w:p>
    <w:p>
      <w:pPr>
        <w:shd w:fill="F0F0F0" w:val="clear"/>
        <w:spacing w:after="14" w:before="14"/>
        <w:ind w:left="360"/>
      </w:pPr>
      <w:r>
        <w:rPr>
          <w:rFonts w:ascii="Courier New" w:cs="Courier New" w:eastAsia="Courier New" w:hAnsi="Courier New"/>
          <w:color w:val="1B2A4A"/>
          <w:sz w:val="16"/>
          <w:szCs w:val="16"/>
        </w:rPr>
        <w:t xml:space="preserve">      "Full financial feasibility for Gulf critical mineral co-investment covering strategic premium and Gulf investor return expectations.",</w:t>
      </w:r>
    </w:p>
    <w:p>
      <w:pPr>
        <w:shd w:fill="F0F0F0" w:val="clear"/>
        <w:spacing w:after="14" w:before="14"/>
        <w:ind w:left="360"/>
      </w:pPr>
      <w:r>
        <w:rPr>
          <w:rFonts w:ascii="Courier New" w:cs="Courier New" w:eastAsia="Courier New" w:hAnsi="Courier New"/>
          <w:color w:val="1B2A4A"/>
          <w:sz w:val="16"/>
          <w:szCs w:val="16"/>
        </w:rPr>
        <w:t xml:space="preserve">      "End-to-end Gulf critical mineral investment access including relationship pathway, co-investment structure, and first-term-sheet milestone.",</w:t>
      </w:r>
    </w:p>
    <w:p>
      <w:pPr>
        <w:shd w:fill="F0F0F0" w:val="clear"/>
        <w:spacing w:after="14" w:before="14"/>
        <w:ind w:left="360"/>
      </w:pPr>
      <w:r>
        <w:rPr>
          <w:rFonts w:ascii="Courier New" w:cs="Courier New" w:eastAsia="Courier New" w:hAnsi="Courier New"/>
          <w:color w:val="1B2A4A"/>
          <w:sz w:val="16"/>
          <w:szCs w:val="16"/>
        </w:rPr>
        <w:t xml:space="preserve">      "Embedded Gulf critical mineral capital access team covering PIF, Mubadala, and QIA outreach.",</w:t>
      </w:r>
    </w:p>
    <w:p>
      <w:pPr>
        <w:shd w:fill="F0F0F0" w:val="clear"/>
        <w:spacing w:after="14" w:before="14"/>
        <w:ind w:left="360"/>
      </w:pPr>
      <w:r>
        <w:rPr>
          <w:rFonts w:ascii="Courier New" w:cs="Courier New" w:eastAsia="Courier New" w:hAnsi="Courier New"/>
          <w:color w:val="1B2A4A"/>
          <w:sz w:val="16"/>
          <w:szCs w:val="16"/>
        </w:rPr>
        <w:t xml:space="preserve">      "Investor-ready investment memoranda for Gulf critical mineral co-investment with Vision 2030 strategic demand narrative.",</w:t>
      </w:r>
    </w:p>
    <w:p>
      <w:pPr>
        <w:shd w:fill="F0F0F0" w:val="clear"/>
        <w:spacing w:after="14" w:before="14"/>
        <w:ind w:left="360"/>
      </w:pPr>
      <w:r>
        <w:rPr>
          <w:rFonts w:ascii="Courier New" w:cs="Courier New" w:eastAsia="Courier New" w:hAnsi="Courier New"/>
          <w:color w:val="1B2A4A"/>
          <w:sz w:val="16"/>
          <w:szCs w:val="16"/>
        </w:rPr>
        <w:t xml:space="preserve">      "ESG compliance framework — from responsible sourcing documentation to Gulf sovereign investor ESG reporting requirements."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"faq": [</w:t>
      </w:r>
    </w:p>
    <w:p>
      <w:pPr>
        <w:shd w:fill="F0F0F0" w:val="clear"/>
        <w:spacing w:after="14" w:before="14"/>
        <w:ind w:left="360"/>
      </w:pPr>
      <w:r>
        <w:rPr>
          <w:rFonts w:ascii="Courier New" w:cs="Courier New" w:eastAsia="Courier New" w:hAnsi="Courier New"/>
          <w:color w:val="1B2A4A"/>
          <w:sz w:val="16"/>
          <w:szCs w:val="16"/>
        </w:rPr>
        <w:t xml:space="preserve">      "Does GreyRadius work with companies seeking Gulf co-investment in lithium or also cobalt, nickel, rare earths, and battery materials?|All critical mineral categories.",</w:t>
      </w:r>
    </w:p>
    <w:p>
      <w:pPr>
        <w:shd w:fill="F0F0F0" w:val="clear"/>
        <w:spacing w:after="14" w:before="14"/>
        <w:ind w:left="360"/>
      </w:pPr>
      <w:r>
        <w:rPr>
          <w:rFonts w:ascii="Courier New" w:cs="Courier New" w:eastAsia="Courier New" w:hAnsi="Courier New"/>
          <w:color w:val="1B2A4A"/>
          <w:sz w:val="16"/>
          <w:szCs w:val="16"/>
        </w:rPr>
        <w:t xml:space="preserve">      "How long does a Gulf critical mineral investment access engagement take?|Typically 12-16 weeks for investor appetite research, relationship mapping, co-investment structure development, and investment memorandum preparation.",</w:t>
      </w:r>
    </w:p>
    <w:p>
      <w:pPr>
        <w:shd w:fill="F0F0F0" w:val="clear"/>
        <w:spacing w:after="14" w:before="14"/>
        <w:ind w:left="360"/>
      </w:pPr>
      <w:r>
        <w:rPr>
          <w:rFonts w:ascii="Courier New" w:cs="Courier New" w:eastAsia="Courier New" w:hAnsi="Courier New"/>
          <w:color w:val="1B2A4A"/>
          <w:sz w:val="16"/>
          <w:szCs w:val="16"/>
        </w:rPr>
        <w:t xml:space="preserve">      "Can GreyRadius identify PIF and Mubadala relationship intermediaries for critical mineral companies?|Yes — Gulf sovereign capital relationship access is core to our critical mineral investment strategy service.",</w:t>
      </w:r>
    </w:p>
    <w:p>
      <w:pPr>
        <w:shd w:fill="F0F0F0" w:val="clear"/>
        <w:spacing w:after="14" w:before="14"/>
        <w:ind w:left="360"/>
      </w:pPr>
      <w:r>
        <w:rPr>
          <w:rFonts w:ascii="Courier New" w:cs="Courier New" w:eastAsia="Courier New" w:hAnsi="Courier New"/>
          <w:color w:val="1B2A4A"/>
          <w:sz w:val="16"/>
          <w:szCs w:val="16"/>
        </w:rPr>
        <w:t xml:space="preserve">      "What ESG standards do Gulf sovereign investors require?|OECD Due Diligence, IFC Performance Standards, and Equator Principles — we develop the ESG compliance framework in every engagement."</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"keywords": "Gulf critical mineral investment strategy, PIF Mubadala rare earth consulting, Saudi Arabia battery materials advisory, UAE critical mineral GTM strategy, Gulf sovereign capital critical minerals",</w:t>
      </w:r>
    </w:p>
    <w:p>
      <w:pPr>
        <w:shd w:fill="F0F0F0" w:val="clear"/>
        <w:spacing w:after="14" w:before="14"/>
        <w:ind w:left="360"/>
      </w:pPr>
      <w:r>
        <w:rPr>
          <w:rFonts w:ascii="Courier New" w:cs="Courier New" w:eastAsia="Courier New" w:hAnsi="Courier New"/>
          <w:color w:val="1B2A4A"/>
          <w:sz w:val="16"/>
          <w:szCs w:val="16"/>
        </w:rPr>
        <w:t xml:space="preserve">    "regions": "Saudi Arabia — PIF NEOM and Vision 2030 domestic critical mineral demand; UAE — Mubadala and ADNOC commodity investment; Qatar — QIA sovereign capital",</w:t>
      </w:r>
    </w:p>
    <w:p>
      <w:pPr>
        <w:shd w:fill="F0F0F0" w:val="clear"/>
        <w:spacing w:after="14" w:before="14"/>
        <w:ind w:left="360"/>
      </w:pPr>
      <w:r>
        <w:rPr>
          <w:rFonts w:ascii="Courier New" w:cs="Courier New" w:eastAsia="Courier New" w:hAnsi="Courier New"/>
          <w:color w:val="1B2A4A"/>
          <w:sz w:val="16"/>
          <w:szCs w:val="16"/>
        </w:rPr>
        <w:t xml:space="preserve">    "stat1n": "$15B+",</w:t>
      </w:r>
    </w:p>
    <w:p>
      <w:pPr>
        <w:shd w:fill="F0F0F0" w:val="clear"/>
        <w:spacing w:after="14" w:before="14"/>
        <w:ind w:left="360"/>
      </w:pPr>
      <w:r>
        <w:rPr>
          <w:rFonts w:ascii="Courier New" w:cs="Courier New" w:eastAsia="Courier New" w:hAnsi="Courier New"/>
          <w:color w:val="1B2A4A"/>
          <w:sz w:val="16"/>
          <w:szCs w:val="16"/>
        </w:rPr>
        <w:t xml:space="preserve">    "stat1l": "Gulf SWF critical mineral investments since 2021",</w:t>
      </w:r>
    </w:p>
    <w:p>
      <w:pPr>
        <w:shd w:fill="F0F0F0" w:val="clear"/>
        <w:spacing w:after="14" w:before="14"/>
        <w:ind w:left="360"/>
      </w:pPr>
      <w:r>
        <w:rPr>
          <w:rFonts w:ascii="Courier New" w:cs="Courier New" w:eastAsia="Courier New" w:hAnsi="Courier New"/>
          <w:color w:val="1B2A4A"/>
          <w:sz w:val="16"/>
          <w:szCs w:val="16"/>
        </w:rPr>
        <w:t xml:space="preserve">    "stat1b": "PIF, Mubadala, and QIA all actively deploying capital into lithium, cobalt, and rare earth supply chain assets globally.",</w:t>
      </w:r>
    </w:p>
    <w:p>
      <w:pPr>
        <w:shd w:fill="F0F0F0" w:val="clear"/>
        <w:spacing w:after="14" w:before="14"/>
        <w:ind w:left="360"/>
      </w:pPr>
      <w:r>
        <w:rPr>
          <w:rFonts w:ascii="Courier New" w:cs="Courier New" w:eastAsia="Courier New" w:hAnsi="Courier New"/>
          <w:color w:val="1B2A4A"/>
          <w:sz w:val="16"/>
          <w:szCs w:val="16"/>
        </w:rPr>
        <w:t xml:space="preserve">    "stat2n": "30+",</w:t>
      </w:r>
    </w:p>
    <w:p>
      <w:pPr>
        <w:shd w:fill="F0F0F0" w:val="clear"/>
        <w:spacing w:after="14" w:before="14"/>
        <w:ind w:left="360"/>
      </w:pPr>
      <w:r>
        <w:rPr>
          <w:rFonts w:ascii="Courier New" w:cs="Courier New" w:eastAsia="Courier New" w:hAnsi="Courier New"/>
          <w:color w:val="1B2A4A"/>
          <w:sz w:val="16"/>
          <w:szCs w:val="16"/>
        </w:rPr>
        <w:t xml:space="preserve">    "stat2l": "Primary interviews per Gulf critical mineral mandate",</w:t>
      </w:r>
    </w:p>
    <w:p>
      <w:pPr>
        <w:shd w:fill="F0F0F0" w:val="clear"/>
        <w:spacing w:after="14" w:before="14"/>
        <w:ind w:left="360"/>
      </w:pPr>
      <w:r>
        <w:rPr>
          <w:rFonts w:ascii="Courier New" w:cs="Courier New" w:eastAsia="Courier New" w:hAnsi="Courier New"/>
          <w:color w:val="1B2A4A"/>
          <w:sz w:val="16"/>
          <w:szCs w:val="16"/>
        </w:rPr>
        <w:t xml:space="preserve">    "stat2b": "PIF and Mubadala investment contacts, Gulf commodity advisers, and critical mineral executives — every engagement grounded in direct primary research.",</w:t>
      </w:r>
    </w:p>
    <w:p>
      <w:pPr>
        <w:shd w:fill="F0F0F0" w:val="clear"/>
        <w:spacing w:after="14" w:before="14"/>
        <w:ind w:left="360"/>
      </w:pPr>
      <w:r>
        <w:rPr>
          <w:rFonts w:ascii="Courier New" w:cs="Courier New" w:eastAsia="Courier New" w:hAnsi="Courier New"/>
          <w:color w:val="1B2A4A"/>
          <w:sz w:val="16"/>
          <w:szCs w:val="16"/>
        </w:rPr>
        <w:t xml:space="preserve">    "stat3n": "12 weeks",</w:t>
      </w:r>
    </w:p>
    <w:p>
      <w:pPr>
        <w:shd w:fill="F0F0F0" w:val="clear"/>
        <w:spacing w:after="14" w:before="14"/>
        <w:ind w:left="360"/>
      </w:pPr>
      <w:r>
        <w:rPr>
          <w:rFonts w:ascii="Courier New" w:cs="Courier New" w:eastAsia="Courier New" w:hAnsi="Courier New"/>
          <w:color w:val="1B2A4A"/>
          <w:sz w:val="16"/>
          <w:szCs w:val="16"/>
        </w:rPr>
        <w:t xml:space="preserve">    "stat3l": "Gulf critical mineral investment strategy",</w:t>
      </w:r>
    </w:p>
    <w:p>
      <w:pPr>
        <w:shd w:fill="F0F0F0" w:val="clear"/>
        <w:spacing w:after="14" w:before="14"/>
        <w:ind w:left="360"/>
      </w:pPr>
      <w:r>
        <w:rPr>
          <w:rFonts w:ascii="Courier New" w:cs="Courier New" w:eastAsia="Courier New" w:hAnsi="Courier New"/>
          <w:color w:val="1B2A4A"/>
          <w:sz w:val="16"/>
          <w:szCs w:val="16"/>
        </w:rPr>
        <w:t xml:space="preserve">    "stat3b": "AI-augmented Gulf sovereign investor mapping and strategic demand research delivers critical mineral investment access strategies efficiently."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"slug": "africa-data-centre",</w:t>
      </w:r>
    </w:p>
    <w:p>
      <w:pPr>
        <w:shd w:fill="F0F0F0" w:val="clear"/>
        <w:spacing w:after="14" w:before="14"/>
        <w:ind w:left="360"/>
      </w:pPr>
      <w:r>
        <w:rPr>
          <w:rFonts w:ascii="Courier New" w:cs="Courier New" w:eastAsia="Courier New" w:hAnsi="Courier New"/>
          <w:color w:val="1B2A4A"/>
          <w:sz w:val="16"/>
          <w:szCs w:val="16"/>
        </w:rPr>
        <w:t xml:space="preserve">    "parent": "data-centers",</w:t>
      </w:r>
    </w:p>
    <w:p>
      <w:pPr>
        <w:shd w:fill="F0F0F0" w:val="clear"/>
        <w:spacing w:after="14" w:before="14"/>
        <w:ind w:left="360"/>
      </w:pPr>
      <w:r>
        <w:rPr>
          <w:rFonts w:ascii="Courier New" w:cs="Courier New" w:eastAsia="Courier New" w:hAnsi="Courier New"/>
          <w:color w:val="1B2A4A"/>
          <w:sz w:val="16"/>
          <w:szCs w:val="16"/>
        </w:rPr>
        <w:t xml:space="preserve">    "title": "Africa Data Centre Market Entry Strategy | GreyRadius",</w:t>
      </w:r>
    </w:p>
    <w:p>
      <w:pPr>
        <w:shd w:fill="F0F0F0" w:val="clear"/>
        <w:spacing w:after="14" w:before="14"/>
        <w:ind w:left="360"/>
      </w:pPr>
      <w:r>
        <w:rPr>
          <w:rFonts w:ascii="Courier New" w:cs="Courier New" w:eastAsia="Courier New" w:hAnsi="Courier New"/>
          <w:color w:val="1B2A4A"/>
          <w:sz w:val="16"/>
          <w:szCs w:val="16"/>
        </w:rPr>
        <w:t xml:space="preserve">    "meta": "GreyRadius helps data centre operators enter Africa with market entry strategy, POPIA and NDPR data sovereignty mapping, power partner identification, and enterprise demand validation.",</w:t>
      </w:r>
    </w:p>
    <w:p>
      <w:pPr>
        <w:shd w:fill="F0F0F0" w:val="clear"/>
        <w:spacing w:after="14" w:before="14"/>
        <w:ind w:left="360"/>
      </w:pPr>
      <w:r>
        <w:rPr>
          <w:rFonts w:ascii="Courier New" w:cs="Courier New" w:eastAsia="Courier New" w:hAnsi="Courier New"/>
          <w:color w:val="1B2A4A"/>
          <w:sz w:val="16"/>
          <w:szCs w:val="16"/>
        </w:rPr>
        <w:t xml:space="preserve">    "h1": "Africa data centre market entry strategy",</w:t>
      </w:r>
    </w:p>
    <w:p>
      <w:pPr>
        <w:shd w:fill="F0F0F0" w:val="clear"/>
        <w:spacing w:after="14" w:before="14"/>
        <w:ind w:left="360"/>
      </w:pPr>
      <w:r>
        <w:rPr>
          <w:rFonts w:ascii="Courier New" w:cs="Courier New" w:eastAsia="Courier New" w:hAnsi="Courier New"/>
          <w:color w:val="1B2A4A"/>
          <w:sz w:val="16"/>
          <w:szCs w:val="16"/>
        </w:rPr>
        <w:t xml:space="preserve">    "tagline": "From data centre capacity to Africa's digital infrastructure — strategy for data centre companies entering Africa.",</w:t>
      </w:r>
    </w:p>
    <w:p>
      <w:pPr>
        <w:shd w:fill="F0F0F0" w:val="clear"/>
        <w:spacing w:after="14" w:before="14"/>
        <w:ind w:left="360"/>
      </w:pPr>
      <w:r>
        <w:rPr>
          <w:rFonts w:ascii="Courier New" w:cs="Courier New" w:eastAsia="Courier New" w:hAnsi="Courier New"/>
          <w:color w:val="1B2A4A"/>
          <w:sz w:val="16"/>
          <w:szCs w:val="16"/>
        </w:rPr>
        <w:t xml:space="preserve">    "hero": "Africa's data centre market is growing at extraordinary pace — with Africa's internet economy growing at 20% annually creating data demand, Equinix and Teraco already establishing African data centre infrastructure validating the market, pan-African hyperscaler expansion underway with AWS South Africa, Google Cloud Africa, and Azure Africa all expanding, and African digital banking and fintech creating institutional data processing demand. International data centre operators, colocation providers, and cloud infrastructure companies are all evaluating Africa as a data centre market. GreyRadius helps data centre companies validate African enterprise and hyperscaler demand, navigate country-specific regulatory requirements, identify power and land partners, and execute market entry.",</w:t>
      </w:r>
    </w:p>
    <w:p>
      <w:pPr>
        <w:shd w:fill="F0F0F0" w:val="clear"/>
        <w:spacing w:after="14" w:before="14"/>
        <w:ind w:left="360"/>
      </w:pPr>
      <w:r>
        <w:rPr>
          <w:rFonts w:ascii="Courier New" w:cs="Courier New" w:eastAsia="Courier New" w:hAnsi="Courier New"/>
          <w:color w:val="1B2A4A"/>
          <w:sz w:val="16"/>
          <w:szCs w:val="16"/>
        </w:rPr>
        <w:t xml:space="preserve">    "market_timing": "Hyperscaler expansion into Africa is creating co-location demand adjacent to their cloud regions — AWS South Africa, Google Cloud Johannesburg, and Microsoft Azure South Africa all creating enterprise cloud adoption that generates colocation demand from enterprises running hybrid workloads. Data centre companies that establish themselves as preferred colocation providers adjacent to Africa's hyperscaler regions in 2024-2027 will benefit from the hyperscaler-driven enterprise cloud adoption wave.",</w:t>
      </w:r>
    </w:p>
    <w:p>
      <w:pPr>
        <w:shd w:fill="F0F0F0" w:val="clear"/>
        <w:spacing w:after="14" w:before="14"/>
        <w:ind w:left="360"/>
      </w:pPr>
      <w:r>
        <w:rPr>
          <w:rFonts w:ascii="Courier New" w:cs="Courier New" w:eastAsia="Courier New" w:hAnsi="Courier New"/>
          <w:color w:val="1B2A4A"/>
          <w:sz w:val="16"/>
          <w:szCs w:val="16"/>
        </w:rPr>
        <w:t xml:space="preserve">    "insights": [</w:t>
      </w:r>
    </w:p>
    <w:p>
      <w:pPr>
        <w:shd w:fill="F0F0F0" w:val="clear"/>
        <w:spacing w:after="14" w:before="14"/>
        <w:ind w:left="360"/>
      </w:pPr>
      <w:r>
        <w:rPr>
          <w:rFonts w:ascii="Courier New" w:cs="Courier New" w:eastAsia="Courier New" w:hAnsi="Courier New"/>
          <w:color w:val="1B2A4A"/>
          <w:sz w:val="16"/>
          <w:szCs w:val="16"/>
        </w:rPr>
        <w:t xml:space="preserve">      "Africa's data centre market is projected to reach $5B by 2028 — growing at 25% annually as internet economy growth, hyperscaler expansion, and financial services data processing all drive capacity investment.",</w:t>
      </w:r>
    </w:p>
    <w:p>
      <w:pPr>
        <w:shd w:fill="F0F0F0" w:val="clear"/>
        <w:spacing w:after="14" w:before="14"/>
        <w:ind w:left="360"/>
      </w:pPr>
      <w:r>
        <w:rPr>
          <w:rFonts w:ascii="Courier New" w:cs="Courier New" w:eastAsia="Courier New" w:hAnsi="Courier New"/>
          <w:color w:val="1B2A4A"/>
          <w:sz w:val="16"/>
          <w:szCs w:val="16"/>
        </w:rPr>
        <w:t xml:space="preserve">      "South Africa is Africa's data centre hub — Teraco, Equinix, and PAIX already established in Johannesburg creating the most mature African colocation ecosystem.",</w:t>
      </w:r>
    </w:p>
    <w:p>
      <w:pPr>
        <w:shd w:fill="F0F0F0" w:val="clear"/>
        <w:spacing w:after="14" w:before="14"/>
        <w:ind w:left="360"/>
      </w:pPr>
      <w:r>
        <w:rPr>
          <w:rFonts w:ascii="Courier New" w:cs="Courier New" w:eastAsia="Courier New" w:hAnsi="Courier New"/>
          <w:color w:val="1B2A4A"/>
          <w:sz w:val="16"/>
          <w:szCs w:val="16"/>
        </w:rPr>
        <w:t xml:space="preserve">      "Nigeria is Africa's second-largest data centre market — Lagos as a financial services and fintech hub creating enterprise data processing demand that current capacity cannot serve.",</w:t>
      </w:r>
    </w:p>
    <w:p>
      <w:pPr>
        <w:shd w:fill="F0F0F0" w:val="clear"/>
        <w:spacing w:after="14" w:before="14"/>
        <w:ind w:left="360"/>
      </w:pPr>
      <w:r>
        <w:rPr>
          <w:rFonts w:ascii="Courier New" w:cs="Courier New" w:eastAsia="Courier New" w:hAnsi="Courier New"/>
          <w:color w:val="1B2A4A"/>
          <w:sz w:val="16"/>
          <w:szCs w:val="16"/>
        </w:rPr>
        <w:t xml:space="preserve">      "Subsea cable connectivity is transforming African data centre economics — 2Africa, Google Equiano, and Meta Simba cables all landing in Africa increasing bandwidth and reducing latency."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"challenges_market": [</w:t>
      </w:r>
    </w:p>
    <w:p>
      <w:pPr>
        <w:shd w:fill="F0F0F0" w:val="clear"/>
        <w:spacing w:after="14" w:before="14"/>
        <w:ind w:left="360"/>
      </w:pPr>
      <w:r>
        <w:rPr>
          <w:rFonts w:ascii="Courier New" w:cs="Courier New" w:eastAsia="Courier New" w:hAnsi="Courier New"/>
          <w:color w:val="1B2A4A"/>
          <w:sz w:val="16"/>
          <w:szCs w:val="16"/>
        </w:rPr>
        <w:t xml:space="preserve">      "Power reliability is Africa's primary data centre constraint — grid instability across most African markets requires data centre operators to invest in significant backup power.",</w:t>
      </w:r>
    </w:p>
    <w:p>
      <w:pPr>
        <w:shd w:fill="F0F0F0" w:val="clear"/>
        <w:spacing w:after="14" w:before="14"/>
        <w:ind w:left="360"/>
      </w:pPr>
      <w:r>
        <w:rPr>
          <w:rFonts w:ascii="Courier New" w:cs="Courier New" w:eastAsia="Courier New" w:hAnsi="Courier New"/>
          <w:color w:val="1B2A4A"/>
          <w:sz w:val="16"/>
          <w:szCs w:val="16"/>
        </w:rPr>
        <w:t xml:space="preserve">      "Data sovereignty regulation is developing across Africa — Nigeria NDPR, South Africa POPIA, and Kenya's Data Protection Act all creating data localisation requirements.",</w:t>
      </w:r>
    </w:p>
    <w:p>
      <w:pPr>
        <w:shd w:fill="F0F0F0" w:val="clear"/>
        <w:spacing w:after="14" w:before="14"/>
        <w:ind w:left="360"/>
      </w:pPr>
      <w:r>
        <w:rPr>
          <w:rFonts w:ascii="Courier New" w:cs="Courier New" w:eastAsia="Courier New" w:hAnsi="Courier New"/>
          <w:color w:val="1B2A4A"/>
          <w:sz w:val="16"/>
          <w:szCs w:val="16"/>
        </w:rPr>
        <w:t xml:space="preserve">      "Land acquisition and regulatory permitting varies significantly — South Africa's town planning processes, Nigeria's land tenure complexity, and Kenya's land administration all require local expertise.",</w:t>
      </w:r>
    </w:p>
    <w:p>
      <w:pPr>
        <w:shd w:fill="F0F0F0" w:val="clear"/>
        <w:spacing w:after="14" w:before="14"/>
        <w:ind w:left="360"/>
      </w:pPr>
      <w:r>
        <w:rPr>
          <w:rFonts w:ascii="Courier New" w:cs="Courier New" w:eastAsia="Courier New" w:hAnsi="Courier New"/>
          <w:color w:val="1B2A4A"/>
          <w:sz w:val="16"/>
          <w:szCs w:val="16"/>
        </w:rPr>
        <w:t xml:space="preserve">      "Competition from established African data centre operators — Teraco, Raxio, and Rack Centre — with existing enterprise relationships and connectivity infrastructure is intense."</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"challenges_we_solve": [</w:t>
      </w:r>
    </w:p>
    <w:p>
      <w:pPr>
        <w:shd w:fill="F0F0F0" w:val="clear"/>
        <w:spacing w:after="14" w:before="14"/>
        <w:ind w:left="360"/>
      </w:pPr>
      <w:r>
        <w:rPr>
          <w:rFonts w:ascii="Courier New" w:cs="Courier New" w:eastAsia="Courier New" w:hAnsi="Courier New"/>
          <w:color w:val="1B2A4A"/>
          <w:sz w:val="16"/>
          <w:szCs w:val="16"/>
        </w:rPr>
        <w:t xml:space="preserve">      "Africa data centre demand validation|You need to validate African enterprise colocation demand, hyperscaler wholesale opportunity, and data sovereignty compliance-driven demand.",</w:t>
      </w:r>
    </w:p>
    <w:p>
      <w:pPr>
        <w:shd w:fill="F0F0F0" w:val="clear"/>
        <w:spacing w:after="14" w:before="14"/>
        <w:ind w:left="360"/>
      </w:pPr>
      <w:r>
        <w:rPr>
          <w:rFonts w:ascii="Courier New" w:cs="Courier New" w:eastAsia="Courier New" w:hAnsi="Courier New"/>
          <w:color w:val="1B2A4A"/>
          <w:sz w:val="16"/>
          <w:szCs w:val="16"/>
        </w:rPr>
        <w:t xml:space="preserve">      "Africa data sovereignty and regulatory pathway|You need to understand POPIA South Africa, NDPR Nigeria, and Kenya Data Protection Act data localisation requirements.",</w:t>
      </w:r>
    </w:p>
    <w:p>
      <w:pPr>
        <w:shd w:fill="F0F0F0" w:val="clear"/>
        <w:spacing w:after="14" w:before="14"/>
        <w:ind w:left="360"/>
      </w:pPr>
      <w:r>
        <w:rPr>
          <w:rFonts w:ascii="Courier New" w:cs="Courier New" w:eastAsia="Courier New" w:hAnsi="Courier New"/>
          <w:color w:val="1B2A4A"/>
          <w:sz w:val="16"/>
          <w:szCs w:val="16"/>
        </w:rPr>
        <w:t xml:space="preserve">      "Africa data centre power and land partner identification|You need power utility contacts, backup power suppliers, and land and permitting partners in target African markets.",</w:t>
      </w:r>
    </w:p>
    <w:p>
      <w:pPr>
        <w:shd w:fill="F0F0F0" w:val="clear"/>
        <w:spacing w:after="14" w:before="14"/>
        <w:ind w:left="360"/>
      </w:pPr>
      <w:r>
        <w:rPr>
          <w:rFonts w:ascii="Courier New" w:cs="Courier New" w:eastAsia="Courier New" w:hAnsi="Courier New"/>
          <w:color w:val="1B2A4A"/>
          <w:sz w:val="16"/>
          <w:szCs w:val="16"/>
        </w:rPr>
        <w:t xml:space="preserve">      "Africa data centre GTM strategy|You need a South Africa-first Teraco-adjacent positioning or Nigeria-first Lagos enterprise demand strategy.",</w:t>
      </w:r>
    </w:p>
    <w:p>
      <w:pPr>
        <w:shd w:fill="F0F0F0" w:val="clear"/>
        <w:spacing w:after="14" w:before="14"/>
        <w:ind w:left="360"/>
      </w:pPr>
      <w:r>
        <w:rPr>
          <w:rFonts w:ascii="Courier New" w:cs="Courier New" w:eastAsia="Courier New" w:hAnsi="Courier New"/>
          <w:color w:val="1B2A4A"/>
          <w:sz w:val="16"/>
          <w:szCs w:val="16"/>
        </w:rPr>
        <w:t xml:space="preserve">      "Raising capital for Africa data centre investment|You need a pitch book grounded in Africa data centre market data, hyperscaler expansion analysis, and data sovereignty demand.",</w:t>
      </w:r>
    </w:p>
    <w:p>
      <w:pPr>
        <w:shd w:fill="F0F0F0" w:val="clear"/>
        <w:spacing w:after="14" w:before="14"/>
        <w:ind w:left="360"/>
      </w:pPr>
      <w:r>
        <w:rPr>
          <w:rFonts w:ascii="Courier New" w:cs="Courier New" w:eastAsia="Courier New" w:hAnsi="Courier New"/>
          <w:color w:val="1B2A4A"/>
          <w:sz w:val="16"/>
          <w:szCs w:val="16"/>
        </w:rPr>
        <w:t xml:space="preserve">      "Power and energy strategy|You need a solar-hybrid backup power architecture and energy procurement strategy for African data centre operations."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"service_angles": [</w:t>
      </w:r>
    </w:p>
    <w:p>
      <w:pPr>
        <w:shd w:fill="F0F0F0" w:val="clear"/>
        <w:spacing w:after="14" w:before="14"/>
        <w:ind w:left="360"/>
      </w:pPr>
      <w:r>
        <w:rPr>
          <w:rFonts w:ascii="Courier New" w:cs="Courier New" w:eastAsia="Courier New" w:hAnsi="Courier New"/>
          <w:color w:val="1B2A4A"/>
          <w:sz w:val="16"/>
          <w:szCs w:val="16"/>
        </w:rPr>
        <w:t xml:space="preserve">      "Validate African enterprise and hyperscaler colocation demand with IT director interviews and data sovereignty regulatory mapping.",</w:t>
      </w:r>
    </w:p>
    <w:p>
      <w:pPr>
        <w:shd w:fill="F0F0F0" w:val="clear"/>
        <w:spacing w:after="14" w:before="14"/>
        <w:ind w:left="360"/>
      </w:pPr>
      <w:r>
        <w:rPr>
          <w:rFonts w:ascii="Courier New" w:cs="Courier New" w:eastAsia="Courier New" w:hAnsi="Courier New"/>
          <w:color w:val="1B2A4A"/>
          <w:sz w:val="16"/>
          <w:szCs w:val="16"/>
        </w:rPr>
        <w:t xml:space="preserve">      "Full financial feasibility for Africa data centre investment covering power infrastructure cost and enterprise lease economics.",</w:t>
      </w:r>
    </w:p>
    <w:p>
      <w:pPr>
        <w:shd w:fill="F0F0F0" w:val="clear"/>
        <w:spacing w:after="14" w:before="14"/>
        <w:ind w:left="360"/>
      </w:pPr>
      <w:r>
        <w:rPr>
          <w:rFonts w:ascii="Courier New" w:cs="Courier New" w:eastAsia="Courier New" w:hAnsi="Courier New"/>
          <w:color w:val="1B2A4A"/>
          <w:sz w:val="16"/>
          <w:szCs w:val="16"/>
        </w:rPr>
        <w:t xml:space="preserve">      "End-to-end Africa data centre market entry including regulatory pathway, power partner identification, and enterprise anchor tenant identification.",</w:t>
      </w:r>
    </w:p>
    <w:p>
      <w:pPr>
        <w:shd w:fill="F0F0F0" w:val="clear"/>
        <w:spacing w:after="14" w:before="14"/>
        <w:ind w:left="360"/>
      </w:pPr>
      <w:r>
        <w:rPr>
          <w:rFonts w:ascii="Courier New" w:cs="Courier New" w:eastAsia="Courier New" w:hAnsi="Courier New"/>
          <w:color w:val="1B2A4A"/>
          <w:sz w:val="16"/>
          <w:szCs w:val="16"/>
        </w:rPr>
        <w:t xml:space="preserve">      "Embedded Africa data centre GTM team covering enterprise IT and hyperscaler wholesale outreach.",</w:t>
      </w:r>
    </w:p>
    <w:p>
      <w:pPr>
        <w:shd w:fill="F0F0F0" w:val="clear"/>
        <w:spacing w:after="14" w:before="14"/>
        <w:ind w:left="360"/>
      </w:pPr>
      <w:r>
        <w:rPr>
          <w:rFonts w:ascii="Courier New" w:cs="Courier New" w:eastAsia="Courier New" w:hAnsi="Courier New"/>
          <w:color w:val="1B2A4A"/>
          <w:sz w:val="16"/>
          <w:szCs w:val="16"/>
        </w:rPr>
        <w:t xml:space="preserve">      "Investor-ready pitch books for Africa data centre investment with hyperscaler expansion and data sovereignty narrative.",</w:t>
      </w:r>
    </w:p>
    <w:p>
      <w:pPr>
        <w:shd w:fill="F0F0F0" w:val="clear"/>
        <w:spacing w:after="14" w:before="14"/>
        <w:ind w:left="360"/>
      </w:pPr>
      <w:r>
        <w:rPr>
          <w:rFonts w:ascii="Courier New" w:cs="Courier New" w:eastAsia="Courier New" w:hAnsi="Courier New"/>
          <w:color w:val="1B2A4A"/>
          <w:sz w:val="16"/>
          <w:szCs w:val="16"/>
        </w:rPr>
        <w:t xml:space="preserve">      "Power and energy strategy — from solar-hybrid architecture to African power utility procurement."</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"faq": [</w:t>
      </w:r>
    </w:p>
    <w:p>
      <w:pPr>
        <w:shd w:fill="F0F0F0" w:val="clear"/>
        <w:spacing w:after="14" w:before="14"/>
        <w:ind w:left="360"/>
      </w:pPr>
      <w:r>
        <w:rPr>
          <w:rFonts w:ascii="Courier New" w:cs="Courier New" w:eastAsia="Courier New" w:hAnsi="Courier New"/>
          <w:color w:val="1B2A4A"/>
          <w:sz w:val="16"/>
          <w:szCs w:val="16"/>
        </w:rPr>
        <w:t xml:space="preserve">      "Does GreyRadius work with colocation operators or also with edge data centres, cloud infrastructure, and managed services companies entering Africa?|All data centre categories.",</w:t>
      </w:r>
    </w:p>
    <w:p>
      <w:pPr>
        <w:shd w:fill="F0F0F0" w:val="clear"/>
        <w:spacing w:after="14" w:before="14"/>
        <w:ind w:left="360"/>
      </w:pPr>
      <w:r>
        <w:rPr>
          <w:rFonts w:ascii="Courier New" w:cs="Courier New" w:eastAsia="Courier New" w:hAnsi="Courier New"/>
          <w:color w:val="1B2A4A"/>
          <w:sz w:val="16"/>
          <w:szCs w:val="16"/>
        </w:rPr>
        <w:t xml:space="preserve">      "Which African data centre markets does GreyRadius prioritise?|South Africa for established hyperscaler ecosystem and Teraco infrastructure adjacency; Nigeria for enterprise data processing demand.",</w:t>
      </w:r>
    </w:p>
    <w:p>
      <w:pPr>
        <w:shd w:fill="F0F0F0" w:val="clear"/>
        <w:spacing w:after="14" w:before="14"/>
        <w:ind w:left="360"/>
      </w:pPr>
      <w:r>
        <w:rPr>
          <w:rFonts w:ascii="Courier New" w:cs="Courier New" w:eastAsia="Courier New" w:hAnsi="Courier New"/>
          <w:color w:val="1B2A4A"/>
          <w:sz w:val="16"/>
          <w:szCs w:val="16"/>
        </w:rPr>
        <w:t xml:space="preserve">      "How long does an Africa data centre engagement take?|Typically 10-14 weeks for demand validation, data sovereignty regulatory mapping, and power partner identification.",</w:t>
      </w:r>
    </w:p>
    <w:p>
      <w:pPr>
        <w:shd w:fill="F0F0F0" w:val="clear"/>
        <w:spacing w:after="14" w:before="14"/>
        <w:ind w:left="360"/>
      </w:pPr>
      <w:r>
        <w:rPr>
          <w:rFonts w:ascii="Courier New" w:cs="Courier New" w:eastAsia="Courier New" w:hAnsi="Courier New"/>
          <w:color w:val="1B2A4A"/>
          <w:sz w:val="16"/>
          <w:szCs w:val="16"/>
        </w:rPr>
        <w:t xml:space="preserve">      "Can GreyRadius identify power utility and backup power partners for African data centre projects?|Yes."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"keywords": "Africa data centre market entry, South Africa colocation GTM strategy, Nigeria data centre consulting, Africa data sovereignty advisory, Africa cloud infrastructure market entry",</w:t>
      </w:r>
    </w:p>
    <w:p>
      <w:pPr>
        <w:shd w:fill="F0F0F0" w:val="clear"/>
        <w:spacing w:after="14" w:before="14"/>
        <w:ind w:left="360"/>
      </w:pPr>
      <w:r>
        <w:rPr>
          <w:rFonts w:ascii="Courier New" w:cs="Courier New" w:eastAsia="Courier New" w:hAnsi="Courier New"/>
          <w:color w:val="1B2A4A"/>
          <w:sz w:val="16"/>
          <w:szCs w:val="16"/>
        </w:rPr>
        <w:t xml:space="preserve">    "regions": "South Africa — Johannesburg Teraco and Equinix adjacent colocation; Nigeria — Lagos enterprise data centre; Kenya — Nairobi East Africa internet exchange adjacent",</w:t>
      </w:r>
    </w:p>
    <w:p>
      <w:pPr>
        <w:shd w:fill="F0F0F0" w:val="clear"/>
        <w:spacing w:after="14" w:before="14"/>
        <w:ind w:left="360"/>
      </w:pPr>
      <w:r>
        <w:rPr>
          <w:rFonts w:ascii="Courier New" w:cs="Courier New" w:eastAsia="Courier New" w:hAnsi="Courier New"/>
          <w:color w:val="1B2A4A"/>
          <w:sz w:val="16"/>
          <w:szCs w:val="16"/>
        </w:rPr>
        <w:t xml:space="preserve">    "stat1n": "$5B",</w:t>
      </w:r>
    </w:p>
    <w:p>
      <w:pPr>
        <w:shd w:fill="F0F0F0" w:val="clear"/>
        <w:spacing w:after="14" w:before="14"/>
        <w:ind w:left="360"/>
      </w:pPr>
      <w:r>
        <w:rPr>
          <w:rFonts w:ascii="Courier New" w:cs="Courier New" w:eastAsia="Courier New" w:hAnsi="Courier New"/>
          <w:color w:val="1B2A4A"/>
          <w:sz w:val="16"/>
          <w:szCs w:val="16"/>
        </w:rPr>
        <w:t xml:space="preserve">    "stat1l": "Africa data centre market by 2028",</w:t>
      </w:r>
    </w:p>
    <w:p>
      <w:pPr>
        <w:shd w:fill="F0F0F0" w:val="clear"/>
        <w:spacing w:after="14" w:before="14"/>
        <w:ind w:left="360"/>
      </w:pPr>
      <w:r>
        <w:rPr>
          <w:rFonts w:ascii="Courier New" w:cs="Courier New" w:eastAsia="Courier New" w:hAnsi="Courier New"/>
          <w:color w:val="1B2A4A"/>
          <w:sz w:val="16"/>
          <w:szCs w:val="16"/>
        </w:rPr>
        <w:t xml:space="preserve">    "stat1b": "Internet economy growth, hyperscaler expansion, and financial services data processing driving 25% annual Africa data centre investment.",</w:t>
      </w:r>
    </w:p>
    <w:p>
      <w:pPr>
        <w:shd w:fill="F0F0F0" w:val="clear"/>
        <w:spacing w:after="14" w:before="14"/>
        <w:ind w:left="360"/>
      </w:pPr>
      <w:r>
        <w:rPr>
          <w:rFonts w:ascii="Courier New" w:cs="Courier New" w:eastAsia="Courier New" w:hAnsi="Courier New"/>
          <w:color w:val="1B2A4A"/>
          <w:sz w:val="16"/>
          <w:szCs w:val="16"/>
        </w:rPr>
        <w:t xml:space="preserve">    "stat2n": "30+",</w:t>
      </w:r>
    </w:p>
    <w:p>
      <w:pPr>
        <w:shd w:fill="F0F0F0" w:val="clear"/>
        <w:spacing w:after="14" w:before="14"/>
        <w:ind w:left="360"/>
      </w:pPr>
      <w:r>
        <w:rPr>
          <w:rFonts w:ascii="Courier New" w:cs="Courier New" w:eastAsia="Courier New" w:hAnsi="Courier New"/>
          <w:color w:val="1B2A4A"/>
          <w:sz w:val="16"/>
          <w:szCs w:val="16"/>
        </w:rPr>
        <w:t xml:space="preserve">    "stat2l": "Primary interviews per Africa data centre mandate",</w:t>
      </w:r>
    </w:p>
    <w:p>
      <w:pPr>
        <w:shd w:fill="F0F0F0" w:val="clear"/>
        <w:spacing w:after="14" w:before="14"/>
        <w:ind w:left="360"/>
      </w:pPr>
      <w:r>
        <w:rPr>
          <w:rFonts w:ascii="Courier New" w:cs="Courier New" w:eastAsia="Courier New" w:hAnsi="Courier New"/>
          <w:color w:val="1B2A4A"/>
          <w:sz w:val="16"/>
          <w:szCs w:val="16"/>
        </w:rPr>
        <w:t xml:space="preserve">    "stat2b": "African enterprise IT heads, hyperscaler infrastructure contacts, and utility power officials — every engagement grounded in direct primary research.",</w:t>
      </w:r>
    </w:p>
    <w:p>
      <w:pPr>
        <w:shd w:fill="F0F0F0" w:val="clear"/>
        <w:spacing w:after="14" w:before="14"/>
        <w:ind w:left="360"/>
      </w:pPr>
      <w:r>
        <w:rPr>
          <w:rFonts w:ascii="Courier New" w:cs="Courier New" w:eastAsia="Courier New" w:hAnsi="Courier New"/>
          <w:color w:val="1B2A4A"/>
          <w:sz w:val="16"/>
          <w:szCs w:val="16"/>
        </w:rPr>
        <w:t xml:space="preserve">    "stat3n": "10 weeks",</w:t>
      </w:r>
    </w:p>
    <w:p>
      <w:pPr>
        <w:shd w:fill="F0F0F0" w:val="clear"/>
        <w:spacing w:after="14" w:before="14"/>
        <w:ind w:left="360"/>
      </w:pPr>
      <w:r>
        <w:rPr>
          <w:rFonts w:ascii="Courier New" w:cs="Courier New" w:eastAsia="Courier New" w:hAnsi="Courier New"/>
          <w:color w:val="1B2A4A"/>
          <w:sz w:val="16"/>
          <w:szCs w:val="16"/>
        </w:rPr>
        <w:t xml:space="preserve">    "stat3l": "Africa data centre market entry strategy",</w:t>
      </w:r>
    </w:p>
    <w:p>
      <w:pPr>
        <w:shd w:fill="F0F0F0" w:val="clear"/>
        <w:spacing w:after="14" w:before="14"/>
        <w:ind w:left="360"/>
      </w:pPr>
      <w:r>
        <w:rPr>
          <w:rFonts w:ascii="Courier New" w:cs="Courier New" w:eastAsia="Courier New" w:hAnsi="Courier New"/>
          <w:color w:val="1B2A4A"/>
          <w:sz w:val="16"/>
          <w:szCs w:val="16"/>
        </w:rPr>
        <w:t xml:space="preserve">    "stat3b": "AI-augmented data sovereignty regulatory mapping and enterprise demand research delivers Africa data centre strategies efficiently."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"slug": "southeast-asia-cybersecurity",</w:t>
      </w:r>
    </w:p>
    <w:p>
      <w:pPr>
        <w:shd w:fill="F0F0F0" w:val="clear"/>
        <w:spacing w:after="14" w:before="14"/>
        <w:ind w:left="360"/>
      </w:pPr>
      <w:r>
        <w:rPr>
          <w:rFonts w:ascii="Courier New" w:cs="Courier New" w:eastAsia="Courier New" w:hAnsi="Courier New"/>
          <w:color w:val="1B2A4A"/>
          <w:sz w:val="16"/>
          <w:szCs w:val="16"/>
        </w:rPr>
        <w:t xml:space="preserve">    "parent": "cybersecurity",</w:t>
      </w:r>
    </w:p>
    <w:p>
      <w:pPr>
        <w:shd w:fill="F0F0F0" w:val="clear"/>
        <w:spacing w:after="14" w:before="14"/>
        <w:ind w:left="360"/>
      </w:pPr>
      <w:r>
        <w:rPr>
          <w:rFonts w:ascii="Courier New" w:cs="Courier New" w:eastAsia="Courier New" w:hAnsi="Courier New"/>
          <w:color w:val="1B2A4A"/>
          <w:sz w:val="16"/>
          <w:szCs w:val="16"/>
        </w:rPr>
        <w:t xml:space="preserve">    "title": "Southeast Asia Cybersecurity Market Entry | GreyRadius",</w:t>
      </w:r>
    </w:p>
    <w:p>
      <w:pPr>
        <w:shd w:fill="F0F0F0" w:val="clear"/>
        <w:spacing w:after="14" w:before="14"/>
        <w:ind w:left="360"/>
      </w:pPr>
      <w:r>
        <w:rPr>
          <w:rFonts w:ascii="Courier New" w:cs="Courier New" w:eastAsia="Courier New" w:hAnsi="Courier New"/>
          <w:color w:val="1B2A4A"/>
          <w:sz w:val="16"/>
          <w:szCs w:val="16"/>
        </w:rPr>
        <w:t xml:space="preserve">    "meta": "GreyRadius helps cybersecurity companies enter Southeast Asia with Singapore CSA licensing mapping, MAS TRM compliance advisory, enterprise buyer research, and GTM planning.",</w:t>
      </w:r>
    </w:p>
    <w:p>
      <w:pPr>
        <w:shd w:fill="F0F0F0" w:val="clear"/>
        <w:spacing w:after="14" w:before="14"/>
        <w:ind w:left="360"/>
      </w:pPr>
      <w:r>
        <w:rPr>
          <w:rFonts w:ascii="Courier New" w:cs="Courier New" w:eastAsia="Courier New" w:hAnsi="Courier New"/>
          <w:color w:val="1B2A4A"/>
          <w:sz w:val="16"/>
          <w:szCs w:val="16"/>
        </w:rPr>
        <w:t xml:space="preserve">    "h1": "Southeast Asia cybersecurity market entry strategy",</w:t>
      </w:r>
    </w:p>
    <w:p>
      <w:pPr>
        <w:shd w:fill="F0F0F0" w:val="clear"/>
        <w:spacing w:after="14" w:before="14"/>
        <w:ind w:left="360"/>
      </w:pPr>
      <w:r>
        <w:rPr>
          <w:rFonts w:ascii="Courier New" w:cs="Courier New" w:eastAsia="Courier New" w:hAnsi="Courier New"/>
          <w:color w:val="1B2A4A"/>
          <w:sz w:val="16"/>
          <w:szCs w:val="16"/>
        </w:rPr>
        <w:t xml:space="preserve">    "tagline": "From cybersecurity product to Southeast Asian enterprise deployment — strategy for cybersecurity companies entering ASEAN.",</w:t>
      </w:r>
    </w:p>
    <w:p>
      <w:pPr>
        <w:shd w:fill="F0F0F0" w:val="clear"/>
        <w:spacing w:after="14" w:before="14"/>
        <w:ind w:left="360"/>
      </w:pPr>
      <w:r>
        <w:rPr>
          <w:rFonts w:ascii="Courier New" w:cs="Courier New" w:eastAsia="Courier New" w:hAnsi="Courier New"/>
          <w:color w:val="1B2A4A"/>
          <w:sz w:val="16"/>
          <w:szCs w:val="16"/>
        </w:rPr>
        <w:t xml:space="preserve">    "hero": "Southeast Asia's cybersecurity market is growing at extraordinary speed — with Singapore as ASEAN's cybersecurity hub and CSA regulatory leader, Indonesia's BSSN national cybersecurity agency creating compliance frameworks, Malaysia's CyberSecurity Malaysia and Thailand's NCSA both issuing cybersecurity standards, and Southeast Asia's rapidly digitalising financial services sector creating mandatory cybersecurity investment. International cybersecurity companies across endpoint security, SOC platforms, identity management, and OT security are all evaluating Southeast Asia as a priority cybersecurity market. GreyRadius helps cybersecurity companies validate ASEAN enterprise demand, navigate CSA and BSSN regulatory requirements, identify local partners, and execute GTM.",</w:t>
      </w:r>
    </w:p>
    <w:p>
      <w:pPr>
        <w:shd w:fill="F0F0F0" w:val="clear"/>
        <w:spacing w:after="14" w:before="14"/>
        <w:ind w:left="360"/>
      </w:pPr>
      <w:r>
        <w:rPr>
          <w:rFonts w:ascii="Courier New" w:cs="Courier New" w:eastAsia="Courier New" w:hAnsi="Courier New"/>
          <w:color w:val="1B2A4A"/>
          <w:sz w:val="16"/>
          <w:szCs w:val="16"/>
        </w:rPr>
        <w:t xml:space="preserve">    "market_timing": "Singapore's Cybersecurity Act requirements and MAS Technology Risk Management guidelines are both being updated in 2024-2025 — companies with MAS TRM and CSA compliant cybersecurity products are being actively sought by Singapore financial services and critical information infrastructure operators who must achieve compliance by the updated guidelines' effective dates.",</w:t>
      </w:r>
    </w:p>
    <w:p>
      <w:pPr>
        <w:shd w:fill="F0F0F0" w:val="clear"/>
        <w:spacing w:after="14" w:before="14"/>
        <w:ind w:left="360"/>
      </w:pPr>
      <w:r>
        <w:rPr>
          <w:rFonts w:ascii="Courier New" w:cs="Courier New" w:eastAsia="Courier New" w:hAnsi="Courier New"/>
          <w:color w:val="1B2A4A"/>
          <w:sz w:val="16"/>
          <w:szCs w:val="16"/>
        </w:rPr>
        <w:t xml:space="preserve">    "insights": [</w:t>
      </w:r>
    </w:p>
    <w:p>
      <w:pPr>
        <w:shd w:fill="F0F0F0" w:val="clear"/>
        <w:spacing w:after="14" w:before="14"/>
        <w:ind w:left="360"/>
      </w:pPr>
      <w:r>
        <w:rPr>
          <w:rFonts w:ascii="Courier New" w:cs="Courier New" w:eastAsia="Courier New" w:hAnsi="Courier New"/>
          <w:color w:val="1B2A4A"/>
          <w:sz w:val="16"/>
          <w:szCs w:val="16"/>
        </w:rPr>
        <w:t xml:space="preserve">      "Southeast Asia cybersecurity market is projected to reach $5B by 2028 — growing at 18% annually as digital economy expansion, financial services regulation, and government cybersecurity investment all drive demand.",</w:t>
      </w:r>
    </w:p>
    <w:p>
      <w:pPr>
        <w:shd w:fill="F0F0F0" w:val="clear"/>
        <w:spacing w:after="14" w:before="14"/>
        <w:ind w:left="360"/>
      </w:pPr>
      <w:r>
        <w:rPr>
          <w:rFonts w:ascii="Courier New" w:cs="Courier New" w:eastAsia="Courier New" w:hAnsi="Courier New"/>
          <w:color w:val="1B2A4A"/>
          <w:sz w:val="16"/>
          <w:szCs w:val="16"/>
        </w:rPr>
        <w:t xml:space="preserve">      "Singapore is Southeast Asia's most sophisticated cybersecurity market — CSA licensing for managed security services, MAS TRM guidelines for financial services, and Critical Information Infrastructure protection requirements all creating structured cybersecurity demand.",</w:t>
      </w:r>
    </w:p>
    <w:p>
      <w:pPr>
        <w:shd w:fill="F0F0F0" w:val="clear"/>
        <w:spacing w:after="14" w:before="14"/>
        <w:ind w:left="360"/>
      </w:pPr>
      <w:r>
        <w:rPr>
          <w:rFonts w:ascii="Courier New" w:cs="Courier New" w:eastAsia="Courier New" w:hAnsi="Courier New"/>
          <w:color w:val="1B2A4A"/>
          <w:sz w:val="16"/>
          <w:szCs w:val="16"/>
        </w:rPr>
        <w:t xml:space="preserve">      "Indonesia's digital economy is creating cybersecurity demand — BSSN national cybersecurity framework and OJK financial services cybersecurity requirements creating mandatory enterprise investment.",</w:t>
      </w:r>
    </w:p>
    <w:p>
      <w:pPr>
        <w:shd w:fill="F0F0F0" w:val="clear"/>
        <w:spacing w:after="14" w:before="14"/>
        <w:ind w:left="360"/>
      </w:pPr>
      <w:r>
        <w:rPr>
          <w:rFonts w:ascii="Courier New" w:cs="Courier New" w:eastAsia="Courier New" w:hAnsi="Courier New"/>
          <w:color w:val="1B2A4A"/>
          <w:sz w:val="16"/>
          <w:szCs w:val="16"/>
        </w:rPr>
        <w:t xml:space="preserve">      "Southeast Asia's banking sector is the largest cybersecurity spender — MAS-regulated Singapore banks, OJK-regulated Indonesian banks, and BSP-regulated Philippines banks all investing in cybersecurity as a regulatory requirement."</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"challenges_market": [</w:t>
      </w:r>
    </w:p>
    <w:p>
      <w:pPr>
        <w:shd w:fill="F0F0F0" w:val="clear"/>
        <w:spacing w:after="14" w:before="14"/>
        <w:ind w:left="360"/>
      </w:pPr>
      <w:r>
        <w:rPr>
          <w:rFonts w:ascii="Courier New" w:cs="Courier New" w:eastAsia="Courier New" w:hAnsi="Courier New"/>
          <w:color w:val="1B2A4A"/>
          <w:sz w:val="16"/>
          <w:szCs w:val="16"/>
        </w:rPr>
        <w:t xml:space="preserve">      "CSA licensing in Singapore is required for managed security services — MSSP operations require CSA licensing under the Cybersecurity Act.",</w:t>
      </w:r>
    </w:p>
    <w:p>
      <w:pPr>
        <w:shd w:fill="F0F0F0" w:val="clear"/>
        <w:spacing w:after="14" w:before="14"/>
        <w:ind w:left="360"/>
      </w:pPr>
      <w:r>
        <w:rPr>
          <w:rFonts w:ascii="Courier New" w:cs="Courier New" w:eastAsia="Courier New" w:hAnsi="Courier New"/>
          <w:color w:val="1B2A4A"/>
          <w:sz w:val="16"/>
          <w:szCs w:val="16"/>
        </w:rPr>
        <w:t xml:space="preserve">      "Multiple ASEAN cybersecurity regulatory frameworks require simultaneous navigation — CSA Singapore, BSSN Indonesia, and BNM Malaysia all have different compliance requirements.",</w:t>
      </w:r>
    </w:p>
    <w:p>
      <w:pPr>
        <w:shd w:fill="F0F0F0" w:val="clear"/>
        <w:spacing w:after="14" w:before="14"/>
        <w:ind w:left="360"/>
      </w:pPr>
      <w:r>
        <w:rPr>
          <w:rFonts w:ascii="Courier New" w:cs="Courier New" w:eastAsia="Courier New" w:hAnsi="Courier New"/>
          <w:color w:val="1B2A4A"/>
          <w:sz w:val="16"/>
          <w:szCs w:val="16"/>
        </w:rPr>
        <w:t xml:space="preserve">      "Southeast Asian cybersecurity sales are relationship-driven — CISO relationships in Singapore banks, telcos, and government entities are built through sustained in-person engagement.",</w:t>
      </w:r>
    </w:p>
    <w:p>
      <w:pPr>
        <w:shd w:fill="F0F0F0" w:val="clear"/>
        <w:spacing w:after="14" w:before="14"/>
        <w:ind w:left="360"/>
      </w:pPr>
      <w:r>
        <w:rPr>
          <w:rFonts w:ascii="Courier New" w:cs="Courier New" w:eastAsia="Courier New" w:hAnsi="Courier New"/>
          <w:color w:val="1B2A4A"/>
          <w:sz w:val="16"/>
          <w:szCs w:val="16"/>
        </w:rPr>
        <w:t xml:space="preserve">      "Competition from established Southeast Asian cybersecurity operators — Ensign InfoSecurity, LGMS, and regional MSSPs — with existing enterprise relationships is intense."</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"challenges_we_solve": [</w:t>
      </w:r>
    </w:p>
    <w:p>
      <w:pPr>
        <w:shd w:fill="F0F0F0" w:val="clear"/>
        <w:spacing w:after="14" w:before="14"/>
        <w:ind w:left="360"/>
      </w:pPr>
      <w:r>
        <w:rPr>
          <w:rFonts w:ascii="Courier New" w:cs="Courier New" w:eastAsia="Courier New" w:hAnsi="Courier New"/>
          <w:color w:val="1B2A4A"/>
          <w:sz w:val="16"/>
          <w:szCs w:val="16"/>
        </w:rPr>
        <w:t xml:space="preserve">      "Southeast Asia cybersecurity demand validation|You need to validate ASEAN CISO and enterprise demand for your cybersecurity product and understand CSA and BSSN regulatory requirements.",</w:t>
      </w:r>
    </w:p>
    <w:p>
      <w:pPr>
        <w:shd w:fill="F0F0F0" w:val="clear"/>
        <w:spacing w:after="14" w:before="14"/>
        <w:ind w:left="360"/>
      </w:pPr>
      <w:r>
        <w:rPr>
          <w:rFonts w:ascii="Courier New" w:cs="Courier New" w:eastAsia="Courier New" w:hAnsi="Courier New"/>
          <w:color w:val="1B2A4A"/>
          <w:sz w:val="16"/>
          <w:szCs w:val="16"/>
        </w:rPr>
        <w:t xml:space="preserve">      "CSA and BSSN regulatory pathway|You need to understand Singapore CSA MSSP licensing, MAS TRM compliance requirements, and Indonesia BSSN cybersecurity framework.",</w:t>
      </w:r>
    </w:p>
    <w:p>
      <w:pPr>
        <w:shd w:fill="F0F0F0" w:val="clear"/>
        <w:spacing w:after="14" w:before="14"/>
        <w:ind w:left="360"/>
      </w:pPr>
      <w:r>
        <w:rPr>
          <w:rFonts w:ascii="Courier New" w:cs="Courier New" w:eastAsia="Courier New" w:hAnsi="Courier New"/>
          <w:color w:val="1B2A4A"/>
          <w:sz w:val="16"/>
          <w:szCs w:val="16"/>
        </w:rPr>
        <w:t xml:space="preserve">      "Southeast Asia cybersecurity partner identification|You need CSA-licensed system integrators, MAS TRM-compliant MSSPs, and government cybersecurity programme contacts.",</w:t>
      </w:r>
    </w:p>
    <w:p>
      <w:pPr>
        <w:shd w:fill="F0F0F0" w:val="clear"/>
        <w:spacing w:after="14" w:before="14"/>
        <w:ind w:left="360"/>
      </w:pPr>
      <w:r>
        <w:rPr>
          <w:rFonts w:ascii="Courier New" w:cs="Courier New" w:eastAsia="Courier New" w:hAnsi="Courier New"/>
          <w:color w:val="1B2A4A"/>
          <w:sz w:val="16"/>
          <w:szCs w:val="16"/>
        </w:rPr>
        <w:t xml:space="preserve">      "Southeast Asia cybersecurity GTM strategy|You need a go-to-market plan covering Singapore MAS TRM compliance, Indonesia BSSN enterprise, and regional CISO outreach.",</w:t>
      </w:r>
    </w:p>
    <w:p>
      <w:pPr>
        <w:shd w:fill="F0F0F0" w:val="clear"/>
        <w:spacing w:after="14" w:before="14"/>
        <w:ind w:left="360"/>
      </w:pPr>
      <w:r>
        <w:rPr>
          <w:rFonts w:ascii="Courier New" w:cs="Courier New" w:eastAsia="Courier New" w:hAnsi="Courier New"/>
          <w:color w:val="1B2A4A"/>
          <w:sz w:val="16"/>
          <w:szCs w:val="16"/>
        </w:rPr>
        <w:t xml:space="preserve">      "Raising capital for Southeast Asia cybersecurity investment|You need a pitch book grounded in ASEAN cybersecurity market data and MAS TRM regulatory driver analysis.",</w:t>
      </w:r>
    </w:p>
    <w:p>
      <w:pPr>
        <w:shd w:fill="F0F0F0" w:val="clear"/>
        <w:spacing w:after="14" w:before="14"/>
        <w:ind w:left="360"/>
      </w:pPr>
      <w:r>
        <w:rPr>
          <w:rFonts w:ascii="Courier New" w:cs="Courier New" w:eastAsia="Courier New" w:hAnsi="Courier New"/>
          <w:color w:val="1B2A4A"/>
          <w:sz w:val="16"/>
          <w:szCs w:val="16"/>
        </w:rPr>
        <w:t xml:space="preserve">      "ASEAN regulatory compliance architecture|You need a multi-market cybersecurity compliance framework covering CSA, BSSN, and MAS TRM simultaneously."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"service_angles": [</w:t>
      </w:r>
    </w:p>
    <w:p>
      <w:pPr>
        <w:shd w:fill="F0F0F0" w:val="clear"/>
        <w:spacing w:after="14" w:before="14"/>
        <w:ind w:left="360"/>
      </w:pPr>
      <w:r>
        <w:rPr>
          <w:rFonts w:ascii="Courier New" w:cs="Courier New" w:eastAsia="Courier New" w:hAnsi="Courier New"/>
          <w:color w:val="1B2A4A"/>
          <w:sz w:val="16"/>
          <w:szCs w:val="16"/>
        </w:rPr>
        <w:t xml:space="preserve">      "Validate Southeast Asian CISO and enterprise demand for your cybersecurity product with interviews and CSA regulatory mapping.",</w:t>
      </w:r>
    </w:p>
    <w:p>
      <w:pPr>
        <w:shd w:fill="F0F0F0" w:val="clear"/>
        <w:spacing w:after="14" w:before="14"/>
        <w:ind w:left="360"/>
      </w:pPr>
      <w:r>
        <w:rPr>
          <w:rFonts w:ascii="Courier New" w:cs="Courier New" w:eastAsia="Courier New" w:hAnsi="Courier New"/>
          <w:color w:val="1B2A4A"/>
          <w:sz w:val="16"/>
          <w:szCs w:val="16"/>
        </w:rPr>
        <w:t xml:space="preserve">      "Full financial feasibility for Southeast Asia cybersecurity investment covering CSA licensing cost and enterprise sales cycle economics.",</w:t>
      </w:r>
    </w:p>
    <w:p>
      <w:pPr>
        <w:shd w:fill="F0F0F0" w:val="clear"/>
        <w:spacing w:after="14" w:before="14"/>
        <w:ind w:left="360"/>
      </w:pPr>
      <w:r>
        <w:rPr>
          <w:rFonts w:ascii="Courier New" w:cs="Courier New" w:eastAsia="Courier New" w:hAnsi="Courier New"/>
          <w:color w:val="1B2A4A"/>
          <w:sz w:val="16"/>
          <w:szCs w:val="16"/>
        </w:rPr>
        <w:t xml:space="preserve">      "End-to-end Southeast Asia cybersecurity market entry including CSA pathway, SI partner identification, and first-enterprise-contract milestone.",</w:t>
      </w:r>
    </w:p>
    <w:p>
      <w:pPr>
        <w:shd w:fill="F0F0F0" w:val="clear"/>
        <w:spacing w:after="14" w:before="14"/>
        <w:ind w:left="360"/>
      </w:pPr>
      <w:r>
        <w:rPr>
          <w:rFonts w:ascii="Courier New" w:cs="Courier New" w:eastAsia="Courier New" w:hAnsi="Courier New"/>
          <w:color w:val="1B2A4A"/>
          <w:sz w:val="16"/>
          <w:szCs w:val="16"/>
        </w:rPr>
        <w:t xml:space="preserve">      "Embedded Southeast Asia cybersecurity GTM team covering CISO and MAS TRM compliance outreach.",</w:t>
      </w:r>
    </w:p>
    <w:p>
      <w:pPr>
        <w:shd w:fill="F0F0F0" w:val="clear"/>
        <w:spacing w:after="14" w:before="14"/>
        <w:ind w:left="360"/>
      </w:pPr>
      <w:r>
        <w:rPr>
          <w:rFonts w:ascii="Courier New" w:cs="Courier New" w:eastAsia="Courier New" w:hAnsi="Courier New"/>
          <w:color w:val="1B2A4A"/>
          <w:sz w:val="16"/>
          <w:szCs w:val="16"/>
        </w:rPr>
        <w:t xml:space="preserve">      "Investor-ready pitch books for Southeast Asia cybersecurity investment with MAS TRM compliance and digital economy narrative.",</w:t>
      </w:r>
    </w:p>
    <w:p>
      <w:pPr>
        <w:shd w:fill="F0F0F0" w:val="clear"/>
        <w:spacing w:after="14" w:before="14"/>
        <w:ind w:left="360"/>
      </w:pPr>
      <w:r>
        <w:rPr>
          <w:rFonts w:ascii="Courier New" w:cs="Courier New" w:eastAsia="Courier New" w:hAnsi="Courier New"/>
          <w:color w:val="1B2A4A"/>
          <w:sz w:val="16"/>
          <w:szCs w:val="16"/>
        </w:rPr>
        <w:t xml:space="preserve">      "ASEAN compliance architecture — from CSA MSSP licensing to multi-market cybersecurity regulatory framework."</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"faq": [</w:t>
      </w:r>
    </w:p>
    <w:p>
      <w:pPr>
        <w:shd w:fill="F0F0F0" w:val="clear"/>
        <w:spacing w:after="14" w:before="14"/>
        <w:ind w:left="360"/>
      </w:pPr>
      <w:r>
        <w:rPr>
          <w:rFonts w:ascii="Courier New" w:cs="Courier New" w:eastAsia="Courier New" w:hAnsi="Courier New"/>
          <w:color w:val="1B2A4A"/>
          <w:sz w:val="16"/>
          <w:szCs w:val="16"/>
        </w:rPr>
        <w:t xml:space="preserve">      "Does GreyRadius work with endpoint security companies or also with SOC platforms, identity management, and OT security companies entering Southeast Asia?|All cybersecurity categories.",</w:t>
      </w:r>
    </w:p>
    <w:p>
      <w:pPr>
        <w:shd w:fill="F0F0F0" w:val="clear"/>
        <w:spacing w:after="14" w:before="14"/>
        <w:ind w:left="360"/>
      </w:pPr>
      <w:r>
        <w:rPr>
          <w:rFonts w:ascii="Courier New" w:cs="Courier New" w:eastAsia="Courier New" w:hAnsi="Courier New"/>
          <w:color w:val="1B2A4A"/>
          <w:sz w:val="16"/>
          <w:szCs w:val="16"/>
        </w:rPr>
        <w:t xml:space="preserve">      "Which Southeast Asian cybersecurity market should companies enter first?|Singapore for CSA regulatory clarity and MAS TRM mandate; Indonesia for BSSN framework and largest enterprise market volume.",</w:t>
      </w:r>
    </w:p>
    <w:p>
      <w:pPr>
        <w:shd w:fill="F0F0F0" w:val="clear"/>
        <w:spacing w:after="14" w:before="14"/>
        <w:ind w:left="360"/>
      </w:pPr>
      <w:r>
        <w:rPr>
          <w:rFonts w:ascii="Courier New" w:cs="Courier New" w:eastAsia="Courier New" w:hAnsi="Courier New"/>
          <w:color w:val="1B2A4A"/>
          <w:sz w:val="16"/>
          <w:szCs w:val="16"/>
        </w:rPr>
        <w:t xml:space="preserve">      "How long does a Southeast Asia cybersecurity engagement take?|Typically 8-12 weeks for CISO demand research, CSA regulatory mapping, and SI partner identification.",</w:t>
      </w:r>
    </w:p>
    <w:p>
      <w:pPr>
        <w:shd w:fill="F0F0F0" w:val="clear"/>
        <w:spacing w:after="14" w:before="14"/>
        <w:ind w:left="360"/>
      </w:pPr>
      <w:r>
        <w:rPr>
          <w:rFonts w:ascii="Courier New" w:cs="Courier New" w:eastAsia="Courier New" w:hAnsi="Courier New"/>
          <w:color w:val="1B2A4A"/>
          <w:sz w:val="16"/>
          <w:szCs w:val="16"/>
        </w:rPr>
        <w:t xml:space="preserve">      "Can GreyRadius identify CSA-licensed system integrator partners for cybersecurity companies?|Yes."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"keywords": "Southeast Asia cybersecurity market entry, Singapore CSA licensing consulting, MAS TRM compliance advisory, Indonesia BSSN GTM strategy, ASEAN cybersecurity market entry",</w:t>
      </w:r>
    </w:p>
    <w:p>
      <w:pPr>
        <w:shd w:fill="F0F0F0" w:val="clear"/>
        <w:spacing w:after="14" w:before="14"/>
        <w:ind w:left="360"/>
      </w:pPr>
      <w:r>
        <w:rPr>
          <w:rFonts w:ascii="Courier New" w:cs="Courier New" w:eastAsia="Courier New" w:hAnsi="Courier New"/>
          <w:color w:val="1B2A4A"/>
          <w:sz w:val="16"/>
          <w:szCs w:val="16"/>
        </w:rPr>
        <w:t xml:space="preserve">    "regions": "Singapore — CSA-licensed MSSP and MAS TRM-compliant financial services cybersecurity; Indonesia — BSSN-framework enterprise cybersecurity in Jakarta; Malaysia — CyberSecurity Malaysia framework",</w:t>
      </w:r>
    </w:p>
    <w:p>
      <w:pPr>
        <w:shd w:fill="F0F0F0" w:val="clear"/>
        <w:spacing w:after="14" w:before="14"/>
        <w:ind w:left="360"/>
      </w:pPr>
      <w:r>
        <w:rPr>
          <w:rFonts w:ascii="Courier New" w:cs="Courier New" w:eastAsia="Courier New" w:hAnsi="Courier New"/>
          <w:color w:val="1B2A4A"/>
          <w:sz w:val="16"/>
          <w:szCs w:val="16"/>
        </w:rPr>
        <w:t xml:space="preserve">    "stat1n": "$5B",</w:t>
      </w:r>
    </w:p>
    <w:p>
      <w:pPr>
        <w:shd w:fill="F0F0F0" w:val="clear"/>
        <w:spacing w:after="14" w:before="14"/>
        <w:ind w:left="360"/>
      </w:pPr>
      <w:r>
        <w:rPr>
          <w:rFonts w:ascii="Courier New" w:cs="Courier New" w:eastAsia="Courier New" w:hAnsi="Courier New"/>
          <w:color w:val="1B2A4A"/>
          <w:sz w:val="16"/>
          <w:szCs w:val="16"/>
        </w:rPr>
        <w:t xml:space="preserve">    "stat1l": "Southeast Asia cybersecurity market by 2028",</w:t>
      </w:r>
    </w:p>
    <w:p>
      <w:pPr>
        <w:shd w:fill="F0F0F0" w:val="clear"/>
        <w:spacing w:after="14" w:before="14"/>
        <w:ind w:left="360"/>
      </w:pPr>
      <w:r>
        <w:rPr>
          <w:rFonts w:ascii="Courier New" w:cs="Courier New" w:eastAsia="Courier New" w:hAnsi="Courier New"/>
          <w:color w:val="1B2A4A"/>
          <w:sz w:val="16"/>
          <w:szCs w:val="16"/>
        </w:rPr>
        <w:t xml:space="preserve">    "stat1b": "Digital economy expansion, financial services regulation, and government cybersecurity mandates driving 18% annual ASEAN cybersecurity growth.",</w:t>
      </w:r>
    </w:p>
    <w:p>
      <w:pPr>
        <w:shd w:fill="F0F0F0" w:val="clear"/>
        <w:spacing w:after="14" w:before="14"/>
        <w:ind w:left="360"/>
      </w:pPr>
      <w:r>
        <w:rPr>
          <w:rFonts w:ascii="Courier New" w:cs="Courier New" w:eastAsia="Courier New" w:hAnsi="Courier New"/>
          <w:color w:val="1B2A4A"/>
          <w:sz w:val="16"/>
          <w:szCs w:val="16"/>
        </w:rPr>
        <w:t xml:space="preserve">    "stat2n": "30+",</w:t>
      </w:r>
    </w:p>
    <w:p>
      <w:pPr>
        <w:shd w:fill="F0F0F0" w:val="clear"/>
        <w:spacing w:after="14" w:before="14"/>
        <w:ind w:left="360"/>
      </w:pPr>
      <w:r>
        <w:rPr>
          <w:rFonts w:ascii="Courier New" w:cs="Courier New" w:eastAsia="Courier New" w:hAnsi="Courier New"/>
          <w:color w:val="1B2A4A"/>
          <w:sz w:val="16"/>
          <w:szCs w:val="16"/>
        </w:rPr>
        <w:t xml:space="preserve">    "stat2l": "Primary interviews per Southeast Asia cybersecurity mandate",</w:t>
      </w:r>
    </w:p>
    <w:p>
      <w:pPr>
        <w:shd w:fill="F0F0F0" w:val="clear"/>
        <w:spacing w:after="14" w:before="14"/>
        <w:ind w:left="360"/>
      </w:pPr>
      <w:r>
        <w:rPr>
          <w:rFonts w:ascii="Courier New" w:cs="Courier New" w:eastAsia="Courier New" w:hAnsi="Courier New"/>
          <w:color w:val="1B2A4A"/>
          <w:sz w:val="16"/>
          <w:szCs w:val="16"/>
        </w:rPr>
        <w:t xml:space="preserve">    "stat2b": "ASEAN CISOs, CSA officials, and cybersecurity SI partners — every engagement grounded in direct primary research.",</w:t>
      </w:r>
    </w:p>
    <w:p>
      <w:pPr>
        <w:shd w:fill="F0F0F0" w:val="clear"/>
        <w:spacing w:after="14" w:before="14"/>
        <w:ind w:left="360"/>
      </w:pPr>
      <w:r>
        <w:rPr>
          <w:rFonts w:ascii="Courier New" w:cs="Courier New" w:eastAsia="Courier New" w:hAnsi="Courier New"/>
          <w:color w:val="1B2A4A"/>
          <w:sz w:val="16"/>
          <w:szCs w:val="16"/>
        </w:rPr>
        <w:t xml:space="preserve">    "stat3n": "8 weeks",</w:t>
      </w:r>
    </w:p>
    <w:p>
      <w:pPr>
        <w:shd w:fill="F0F0F0" w:val="clear"/>
        <w:spacing w:after="14" w:before="14"/>
        <w:ind w:left="360"/>
      </w:pPr>
      <w:r>
        <w:rPr>
          <w:rFonts w:ascii="Courier New" w:cs="Courier New" w:eastAsia="Courier New" w:hAnsi="Courier New"/>
          <w:color w:val="1B2A4A"/>
          <w:sz w:val="16"/>
          <w:szCs w:val="16"/>
        </w:rPr>
        <w:t xml:space="preserve">    "stat3l": "Southeast Asia cybersecurity market entry strategy",</w:t>
      </w:r>
    </w:p>
    <w:p>
      <w:pPr>
        <w:shd w:fill="F0F0F0" w:val="clear"/>
        <w:spacing w:after="14" w:before="14"/>
        <w:ind w:left="360"/>
      </w:pPr>
      <w:r>
        <w:rPr>
          <w:rFonts w:ascii="Courier New" w:cs="Courier New" w:eastAsia="Courier New" w:hAnsi="Courier New"/>
          <w:color w:val="1B2A4A"/>
          <w:sz w:val="16"/>
          <w:szCs w:val="16"/>
        </w:rPr>
        <w:t xml:space="preserve">    "stat3b": "AI-augmented CSA regulatory mapping and enterprise demand research delivers Southeast Asia cybersecurity strategies efficiently."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"slug": "india-food-tech",</w:t>
      </w:r>
    </w:p>
    <w:p>
      <w:pPr>
        <w:shd w:fill="F0F0F0" w:val="clear"/>
        <w:spacing w:after="14" w:before="14"/>
        <w:ind w:left="360"/>
      </w:pPr>
      <w:r>
        <w:rPr>
          <w:rFonts w:ascii="Courier New" w:cs="Courier New" w:eastAsia="Courier New" w:hAnsi="Courier New"/>
          <w:color w:val="1B2A4A"/>
          <w:sz w:val="16"/>
          <w:szCs w:val="16"/>
        </w:rPr>
        <w:t xml:space="preserve">    "parent": "food-beverage",</w:t>
      </w:r>
    </w:p>
    <w:p>
      <w:pPr>
        <w:shd w:fill="F0F0F0" w:val="clear"/>
        <w:spacing w:after="14" w:before="14"/>
        <w:ind w:left="360"/>
      </w:pPr>
      <w:r>
        <w:rPr>
          <w:rFonts w:ascii="Courier New" w:cs="Courier New" w:eastAsia="Courier New" w:hAnsi="Courier New"/>
          <w:color w:val="1B2A4A"/>
          <w:sz w:val="16"/>
          <w:szCs w:val="16"/>
        </w:rPr>
        <w:t xml:space="preserve">    "title": "India Food Technology Market Entry Strategy | GreyRadius",</w:t>
      </w:r>
    </w:p>
    <w:p>
      <w:pPr>
        <w:shd w:fill="F0F0F0" w:val="clear"/>
        <w:spacing w:after="14" w:before="14"/>
        <w:ind w:left="360"/>
      </w:pPr>
      <w:r>
        <w:rPr>
          <w:rFonts w:ascii="Courier New" w:cs="Courier New" w:eastAsia="Courier New" w:hAnsi="Courier New"/>
          <w:color w:val="1B2A4A"/>
          <w:sz w:val="16"/>
          <w:szCs w:val="16"/>
        </w:rPr>
        <w:t xml:space="preserve">    "meta": "GreyRadius helps food technology companies enter India with FSSAI novel food regulatory mapping, alternative protein demand research, B2B pilot partner identification, and GTM strategy.",</w:t>
      </w:r>
    </w:p>
    <w:p>
      <w:pPr>
        <w:shd w:fill="F0F0F0" w:val="clear"/>
        <w:spacing w:after="14" w:before="14"/>
        <w:ind w:left="360"/>
      </w:pPr>
      <w:r>
        <w:rPr>
          <w:rFonts w:ascii="Courier New" w:cs="Courier New" w:eastAsia="Courier New" w:hAnsi="Courier New"/>
          <w:color w:val="1B2A4A"/>
          <w:sz w:val="16"/>
          <w:szCs w:val="16"/>
        </w:rPr>
        <w:t xml:space="preserve">    "h1": "India food technology market entry strategy",</w:t>
      </w:r>
    </w:p>
    <w:p>
      <w:pPr>
        <w:shd w:fill="F0F0F0" w:val="clear"/>
        <w:spacing w:after="14" w:before="14"/>
        <w:ind w:left="360"/>
      </w:pPr>
      <w:r>
        <w:rPr>
          <w:rFonts w:ascii="Courier New" w:cs="Courier New" w:eastAsia="Courier New" w:hAnsi="Courier New"/>
          <w:color w:val="1B2A4A"/>
          <w:sz w:val="16"/>
          <w:szCs w:val="16"/>
        </w:rPr>
        <w:t xml:space="preserve">    "tagline": "From food technology to India's alternative protein and agri-tech revolution — strategy for food tech companies entering India.",</w:t>
      </w:r>
    </w:p>
    <w:p>
      <w:pPr>
        <w:shd w:fill="F0F0F0" w:val="clear"/>
        <w:spacing w:after="14" w:before="14"/>
        <w:ind w:left="360"/>
      </w:pPr>
      <w:r>
        <w:rPr>
          <w:rFonts w:ascii="Courier New" w:cs="Courier New" w:eastAsia="Courier New" w:hAnsi="Courier New"/>
          <w:color w:val="1B2A4A"/>
          <w:sz w:val="16"/>
          <w:szCs w:val="16"/>
        </w:rPr>
        <w:t xml:space="preserve">    "hero": "India's food technology market is one of the world's most significant — with India as the world's second-largest producer of fruits and vegetables creating agri-tech market opportunity, plant-based and alternative protein growing rapidly as India's middle class seeks sustainable food options, quick commerce creating hyperlocal food delivery infrastructure, and FSSAI's regulatory framework creating structured pathways for novel food technology approval. International food technology companies across alternative protein, precision fermentation, agri-tech, food waste reduction, and food safety technology are all evaluating India as a priority market. GreyRadius helps food tech companies validate Indian consumer and institutional demand, navigate FSSAI novel food regulatory requirements, identify pilot and distribution partners, and execute GTM.",</w:t>
      </w:r>
    </w:p>
    <w:p>
      <w:pPr>
        <w:shd w:fill="F0F0F0" w:val="clear"/>
        <w:spacing w:after="14" w:before="14"/>
        <w:ind w:left="360"/>
      </w:pPr>
      <w:r>
        <w:rPr>
          <w:rFonts w:ascii="Courier New" w:cs="Courier New" w:eastAsia="Courier New" w:hAnsi="Courier New"/>
          <w:color w:val="1B2A4A"/>
          <w:sz w:val="16"/>
          <w:szCs w:val="16"/>
        </w:rPr>
        <w:t xml:space="preserve">    "market_timing": "FSSAI's novel food approval framework is creating structured regulatory pathways for food technology innovations — precision fermented proteins, cell-based meat, and functional ingredients all have defined FSSAI approval processes in 2024-2025 that did not exist three years ago. Food tech companies that engage with FSSAI novel food approval in 2024-2026 will be first-to-market in categories that will scale as approval frameworks mature.",</w:t>
      </w:r>
    </w:p>
    <w:p>
      <w:pPr>
        <w:shd w:fill="F0F0F0" w:val="clear"/>
        <w:spacing w:after="14" w:before="14"/>
        <w:ind w:left="360"/>
      </w:pPr>
      <w:r>
        <w:rPr>
          <w:rFonts w:ascii="Courier New" w:cs="Courier New" w:eastAsia="Courier New" w:hAnsi="Courier New"/>
          <w:color w:val="1B2A4A"/>
          <w:sz w:val="16"/>
          <w:szCs w:val="16"/>
        </w:rPr>
        <w:t xml:space="preserve">    "insights": [</w:t>
      </w:r>
    </w:p>
    <w:p>
      <w:pPr>
        <w:shd w:fill="F0F0F0" w:val="clear"/>
        <w:spacing w:after="14" w:before="14"/>
        <w:ind w:left="360"/>
      </w:pPr>
      <w:r>
        <w:rPr>
          <w:rFonts w:ascii="Courier New" w:cs="Courier New" w:eastAsia="Courier New" w:hAnsi="Courier New"/>
          <w:color w:val="1B2A4A"/>
          <w:sz w:val="16"/>
          <w:szCs w:val="16"/>
        </w:rPr>
        <w:t xml:space="preserve">      "India's food technology market is projected to reach $10B by 2027 — growing at 30% annually as alternative protein adoption, agri-tech investment, and food safety technology scale.",</w:t>
      </w:r>
    </w:p>
    <w:p>
      <w:pPr>
        <w:shd w:fill="F0F0F0" w:val="clear"/>
        <w:spacing w:after="14" w:before="14"/>
        <w:ind w:left="360"/>
      </w:pPr>
      <w:r>
        <w:rPr>
          <w:rFonts w:ascii="Courier New" w:cs="Courier New" w:eastAsia="Courier New" w:hAnsi="Courier New"/>
          <w:color w:val="1B2A4A"/>
          <w:sz w:val="16"/>
          <w:szCs w:val="16"/>
        </w:rPr>
        <w:t xml:space="preserve">      "India's plant-based food market is growing at 25% annually — urbanising Indian consumers with growing environmental awareness and health consciousness creating demand for plant-based proteins.",</w:t>
      </w:r>
    </w:p>
    <w:p>
      <w:pPr>
        <w:shd w:fill="F0F0F0" w:val="clear"/>
        <w:spacing w:after="14" w:before="14"/>
        <w:ind w:left="360"/>
      </w:pPr>
      <w:r>
        <w:rPr>
          <w:rFonts w:ascii="Courier New" w:cs="Courier New" w:eastAsia="Courier New" w:hAnsi="Courier New"/>
          <w:color w:val="1B2A4A"/>
          <w:sz w:val="16"/>
          <w:szCs w:val="16"/>
        </w:rPr>
        <w:t xml:space="preserve">      "India's agri-tech market is the world's fastest-growing — $1B+ in agri-tech investment annually as India addresses post-harvest losses, supply chain inefficiency, and farmer income improvement.",</w:t>
      </w:r>
    </w:p>
    <w:p>
      <w:pPr>
        <w:shd w:fill="F0F0F0" w:val="clear"/>
        <w:spacing w:after="14" w:before="14"/>
        <w:ind w:left="360"/>
      </w:pPr>
      <w:r>
        <w:rPr>
          <w:rFonts w:ascii="Courier New" w:cs="Courier New" w:eastAsia="Courier New" w:hAnsi="Courier New"/>
          <w:color w:val="1B2A4A"/>
          <w:sz w:val="16"/>
          <w:szCs w:val="16"/>
        </w:rPr>
        <w:t xml:space="preserve">      "FSSAI's novel food regulation is creating structured approval pathways — food technology companies can now navigate FSSAI approval for precision fermentation, alternative protein, and functional ingredient innovations."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"challenges_market": [</w:t>
      </w:r>
    </w:p>
    <w:p>
      <w:pPr>
        <w:shd w:fill="F0F0F0" w:val="clear"/>
        <w:spacing w:after="14" w:before="14"/>
        <w:ind w:left="360"/>
      </w:pPr>
      <w:r>
        <w:rPr>
          <w:rFonts w:ascii="Courier New" w:cs="Courier New" w:eastAsia="Courier New" w:hAnsi="Courier New"/>
          <w:color w:val="1B2A4A"/>
          <w:sz w:val="16"/>
          <w:szCs w:val="16"/>
        </w:rPr>
        <w:t xml:space="preserve">      "FSSAI novel food approval is the primary regulatory hurdle — precision fermented proteins and cell-based products require case-by-case FSSAI assessment with no defined timeline.",</w:t>
      </w:r>
    </w:p>
    <w:p>
      <w:pPr>
        <w:shd w:fill="F0F0F0" w:val="clear"/>
        <w:spacing w:after="14" w:before="14"/>
        <w:ind w:left="360"/>
      </w:pPr>
      <w:r>
        <w:rPr>
          <w:rFonts w:ascii="Courier New" w:cs="Courier New" w:eastAsia="Courier New" w:hAnsi="Courier New"/>
          <w:color w:val="1B2A4A"/>
          <w:sz w:val="16"/>
          <w:szCs w:val="16"/>
        </w:rPr>
        <w:t xml:space="preserve">      "Indian consumer price sensitivity limits premium food tech adoption — alternative protein and functional food products priced at parity with Western markets find limited Indian mass consumer adoption.",</w:t>
      </w:r>
    </w:p>
    <w:p>
      <w:pPr>
        <w:shd w:fill="F0F0F0" w:val="clear"/>
        <w:spacing w:after="14" w:before="14"/>
        <w:ind w:left="360"/>
      </w:pPr>
      <w:r>
        <w:rPr>
          <w:rFonts w:ascii="Courier New" w:cs="Courier New" w:eastAsia="Courier New" w:hAnsi="Courier New"/>
          <w:color w:val="1B2A4A"/>
          <w:sz w:val="16"/>
          <w:szCs w:val="16"/>
        </w:rPr>
        <w:t xml:space="preserve">      "Cold chain infrastructure limits some food tech product reach — temperature-sensitive products face distribution constraints beyond Tier 1 cities.",</w:t>
      </w:r>
    </w:p>
    <w:p>
      <w:pPr>
        <w:shd w:fill="F0F0F0" w:val="clear"/>
        <w:spacing w:after="14" w:before="14"/>
        <w:ind w:left="360"/>
      </w:pPr>
      <w:r>
        <w:rPr>
          <w:rFonts w:ascii="Courier New" w:cs="Courier New" w:eastAsia="Courier New" w:hAnsi="Courier New"/>
          <w:color w:val="1B2A4A"/>
          <w:sz w:val="16"/>
          <w:szCs w:val="16"/>
        </w:rPr>
        <w:t xml:space="preserve">      "Competition from India's agri-tech ecosystem — DeHaat, AgriBazaar, and Waycool — with established farmer relationships and supply chain positions is intense."</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"challenges_we_solve": [</w:t>
      </w:r>
    </w:p>
    <w:p>
      <w:pPr>
        <w:shd w:fill="F0F0F0" w:val="clear"/>
        <w:spacing w:after="14" w:before="14"/>
        <w:ind w:left="360"/>
      </w:pPr>
      <w:r>
        <w:rPr>
          <w:rFonts w:ascii="Courier New" w:cs="Courier New" w:eastAsia="Courier New" w:hAnsi="Courier New"/>
          <w:color w:val="1B2A4A"/>
          <w:sz w:val="16"/>
          <w:szCs w:val="16"/>
        </w:rPr>
        <w:t xml:space="preserve">      "India food tech demand validation|You need to validate Indian consumer and institutional demand for your food technology product and understand FSSAI regulatory pathway.",</w:t>
      </w:r>
    </w:p>
    <w:p>
      <w:pPr>
        <w:shd w:fill="F0F0F0" w:val="clear"/>
        <w:spacing w:after="14" w:before="14"/>
        <w:ind w:left="360"/>
      </w:pPr>
      <w:r>
        <w:rPr>
          <w:rFonts w:ascii="Courier New" w:cs="Courier New" w:eastAsia="Courier New" w:hAnsi="Courier New"/>
          <w:color w:val="1B2A4A"/>
          <w:sz w:val="16"/>
          <w:szCs w:val="16"/>
        </w:rPr>
        <w:t xml:space="preserve">      "FSSAI novel food regulatory pathway|You need to understand FSSAI novel food application process, clinical substantiation requirements, and label claim approval.",</w:t>
      </w:r>
    </w:p>
    <w:p>
      <w:pPr>
        <w:shd w:fill="F0F0F0" w:val="clear"/>
        <w:spacing w:after="14" w:before="14"/>
        <w:ind w:left="360"/>
      </w:pPr>
      <w:r>
        <w:rPr>
          <w:rFonts w:ascii="Courier New" w:cs="Courier New" w:eastAsia="Courier New" w:hAnsi="Courier New"/>
          <w:color w:val="1B2A4A"/>
          <w:sz w:val="16"/>
          <w:szCs w:val="16"/>
        </w:rPr>
        <w:t xml:space="preserve">      "India food tech pilot and distribution partner identification|You need quick commerce platform partners, modern trade distribution contacts, and B2B food service partners.",</w:t>
      </w:r>
    </w:p>
    <w:p>
      <w:pPr>
        <w:shd w:fill="F0F0F0" w:val="clear"/>
        <w:spacing w:after="14" w:before="14"/>
        <w:ind w:left="360"/>
      </w:pPr>
      <w:r>
        <w:rPr>
          <w:rFonts w:ascii="Courier New" w:cs="Courier New" w:eastAsia="Courier New" w:hAnsi="Courier New"/>
          <w:color w:val="1B2A4A"/>
          <w:sz w:val="16"/>
          <w:szCs w:val="16"/>
        </w:rPr>
        <w:t xml:space="preserve">      "India food tech GTM strategy|You need a B2B-first food service and ingredient supply positioning or B2C consumer launch strategy for India.",</w:t>
      </w:r>
    </w:p>
    <w:p>
      <w:pPr>
        <w:shd w:fill="F0F0F0" w:val="clear"/>
        <w:spacing w:after="14" w:before="14"/>
        <w:ind w:left="360"/>
      </w:pPr>
      <w:r>
        <w:rPr>
          <w:rFonts w:ascii="Courier New" w:cs="Courier New" w:eastAsia="Courier New" w:hAnsi="Courier New"/>
          <w:color w:val="1B2A4A"/>
          <w:sz w:val="16"/>
          <w:szCs w:val="16"/>
        </w:rPr>
        <w:t xml:space="preserve">      "Raising capital for India food tech investment|You need a pitch book grounded in India food tech market data and FSSAI novel food regulatory analysis.",</w:t>
      </w:r>
    </w:p>
    <w:p>
      <w:pPr>
        <w:shd w:fill="F0F0F0" w:val="clear"/>
        <w:spacing w:after="14" w:before="14"/>
        <w:ind w:left="360"/>
      </w:pPr>
      <w:r>
        <w:rPr>
          <w:rFonts w:ascii="Courier New" w:cs="Courier New" w:eastAsia="Courier New" w:hAnsi="Courier New"/>
          <w:color w:val="1B2A4A"/>
          <w:sz w:val="16"/>
          <w:szCs w:val="16"/>
        </w:rPr>
        <w:t xml:space="preserve">      "India-specific pricing and packaging strategy|You need a price architecture that delivers food tech margins while reaching Indian consumer accessible price points."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"service_angles": [</w:t>
      </w:r>
    </w:p>
    <w:p>
      <w:pPr>
        <w:shd w:fill="F0F0F0" w:val="clear"/>
        <w:spacing w:after="14" w:before="14"/>
        <w:ind w:left="360"/>
      </w:pPr>
      <w:r>
        <w:rPr>
          <w:rFonts w:ascii="Courier New" w:cs="Courier New" w:eastAsia="Courier New" w:hAnsi="Courier New"/>
          <w:color w:val="1B2A4A"/>
          <w:sz w:val="16"/>
          <w:szCs w:val="16"/>
        </w:rPr>
        <w:t xml:space="preserve">      "Validate Indian consumer and institutional demand for your food technology with consumer research and FSSAI regulatory mapping.",</w:t>
      </w:r>
    </w:p>
    <w:p>
      <w:pPr>
        <w:shd w:fill="F0F0F0" w:val="clear"/>
        <w:spacing w:after="14" w:before="14"/>
        <w:ind w:left="360"/>
      </w:pPr>
      <w:r>
        <w:rPr>
          <w:rFonts w:ascii="Courier New" w:cs="Courier New" w:eastAsia="Courier New" w:hAnsi="Courier New"/>
          <w:color w:val="1B2A4A"/>
          <w:sz w:val="16"/>
          <w:szCs w:val="16"/>
        </w:rPr>
        <w:t xml:space="preserve">      "Full financial feasibility for India food tech investment covering FSSAI approval cost and distribution economics.",</w:t>
      </w:r>
    </w:p>
    <w:p>
      <w:pPr>
        <w:shd w:fill="F0F0F0" w:val="clear"/>
        <w:spacing w:after="14" w:before="14"/>
        <w:ind w:left="360"/>
      </w:pPr>
      <w:r>
        <w:rPr>
          <w:rFonts w:ascii="Courier New" w:cs="Courier New" w:eastAsia="Courier New" w:hAnsi="Courier New"/>
          <w:color w:val="1B2A4A"/>
          <w:sz w:val="16"/>
          <w:szCs w:val="16"/>
        </w:rPr>
        <w:t xml:space="preserve">      "End-to-end India food tech market entry including FSSAI pathway, pilot partner identification, and first-revenue milestone.",</w:t>
      </w:r>
    </w:p>
    <w:p>
      <w:pPr>
        <w:shd w:fill="F0F0F0" w:val="clear"/>
        <w:spacing w:after="14" w:before="14"/>
        <w:ind w:left="360"/>
      </w:pPr>
      <w:r>
        <w:rPr>
          <w:rFonts w:ascii="Courier New" w:cs="Courier New" w:eastAsia="Courier New" w:hAnsi="Courier New"/>
          <w:color w:val="1B2A4A"/>
          <w:sz w:val="16"/>
          <w:szCs w:val="16"/>
        </w:rPr>
        <w:t xml:space="preserve">      "Embedded India food tech GTM team covering B2B food service and quick commerce platform outreach.",</w:t>
      </w:r>
    </w:p>
    <w:p>
      <w:pPr>
        <w:shd w:fill="F0F0F0" w:val="clear"/>
        <w:spacing w:after="14" w:before="14"/>
        <w:ind w:left="360"/>
      </w:pPr>
      <w:r>
        <w:rPr>
          <w:rFonts w:ascii="Courier New" w:cs="Courier New" w:eastAsia="Courier New" w:hAnsi="Courier New"/>
          <w:color w:val="1B2A4A"/>
          <w:sz w:val="16"/>
          <w:szCs w:val="16"/>
        </w:rPr>
        <w:t xml:space="preserve">      "Investor-ready pitch books for India food tech investment with alternative protein growth and agri-tech investment narrative.",</w:t>
      </w:r>
    </w:p>
    <w:p>
      <w:pPr>
        <w:shd w:fill="F0F0F0" w:val="clear"/>
        <w:spacing w:after="14" w:before="14"/>
        <w:ind w:left="360"/>
      </w:pPr>
      <w:r>
        <w:rPr>
          <w:rFonts w:ascii="Courier New" w:cs="Courier New" w:eastAsia="Courier New" w:hAnsi="Courier New"/>
          <w:color w:val="1B2A4A"/>
          <w:sz w:val="16"/>
          <w:szCs w:val="16"/>
        </w:rPr>
        <w:t xml:space="preserve">      "AI use-case identification — from AI-powered India supply chain optimisation to FSSAI novel food documentation automation."</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"faq": [</w:t>
      </w:r>
    </w:p>
    <w:p>
      <w:pPr>
        <w:shd w:fill="F0F0F0" w:val="clear"/>
        <w:spacing w:after="14" w:before="14"/>
        <w:ind w:left="360"/>
      </w:pPr>
      <w:r>
        <w:rPr>
          <w:rFonts w:ascii="Courier New" w:cs="Courier New" w:eastAsia="Courier New" w:hAnsi="Courier New"/>
          <w:color w:val="1B2A4A"/>
          <w:sz w:val="16"/>
          <w:szCs w:val="16"/>
        </w:rPr>
        <w:t xml:space="preserve">      "Does GreyRadius work with alternative protein companies or also with precision fermentation, agri-tech, food safety, and food waste technology companies entering India?|All food technology categories.",</w:t>
      </w:r>
    </w:p>
    <w:p>
      <w:pPr>
        <w:shd w:fill="F0F0F0" w:val="clear"/>
        <w:spacing w:after="14" w:before="14"/>
        <w:ind w:left="360"/>
      </w:pPr>
      <w:r>
        <w:rPr>
          <w:rFonts w:ascii="Courier New" w:cs="Courier New" w:eastAsia="Courier New" w:hAnsi="Courier New"/>
          <w:color w:val="1B2A4A"/>
          <w:sz w:val="16"/>
          <w:szCs w:val="16"/>
        </w:rPr>
        <w:t xml:space="preserve">      "How long does an India food tech engagement take?|Typically 8-12 weeks for consumer demand research, FSSAI regulatory mapping, and pilot partner identification.",</w:t>
      </w:r>
    </w:p>
    <w:p>
      <w:pPr>
        <w:shd w:fill="F0F0F0" w:val="clear"/>
        <w:spacing w:after="14" w:before="14"/>
        <w:ind w:left="360"/>
      </w:pPr>
      <w:r>
        <w:rPr>
          <w:rFonts w:ascii="Courier New" w:cs="Courier New" w:eastAsia="Courier New" w:hAnsi="Courier New"/>
          <w:color w:val="1B2A4A"/>
          <w:sz w:val="16"/>
          <w:szCs w:val="16"/>
        </w:rPr>
        <w:t xml:space="preserve">      "Can GreyRadius support FSSAI novel food approval preparation?|We prepare the market and commercial case — FSSAI technical submissions are prepared by specialist regulatory affairs companies.",</w:t>
      </w:r>
    </w:p>
    <w:p>
      <w:pPr>
        <w:shd w:fill="F0F0F0" w:val="clear"/>
        <w:spacing w:after="14" w:before="14"/>
        <w:ind w:left="360"/>
      </w:pPr>
      <w:r>
        <w:rPr>
          <w:rFonts w:ascii="Courier New" w:cs="Courier New" w:eastAsia="Courier New" w:hAnsi="Courier New"/>
          <w:color w:val="1B2A4A"/>
          <w:sz w:val="16"/>
          <w:szCs w:val="16"/>
        </w:rPr>
        <w:t xml:space="preserve">      "What is the recommended India food tech entry route?|B2B food service and ingredient supply first to establish proof of scale before direct consumer launch."</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"keywords": "India food technology market entry, FSSAI novel food consulting, India alternative protein GTM strategy, India agri-tech advisory, India food innovation market entry",</w:t>
      </w:r>
    </w:p>
    <w:p>
      <w:pPr>
        <w:shd w:fill="F0F0F0" w:val="clear"/>
        <w:spacing w:after="14" w:before="14"/>
        <w:ind w:left="360"/>
      </w:pPr>
      <w:r>
        <w:rPr>
          <w:rFonts w:ascii="Courier New" w:cs="Courier New" w:eastAsia="Courier New" w:hAnsi="Courier New"/>
          <w:color w:val="1B2A4A"/>
          <w:sz w:val="16"/>
          <w:szCs w:val="16"/>
        </w:rPr>
        <w:t xml:space="preserve">    "regions": "India — Mumbai, Delhi NCR, Bengaluru, Hyderabad urban consumer food tech adoption; pan-India agri-tech via farmer and supply chain network",</w:t>
      </w:r>
    </w:p>
    <w:p>
      <w:pPr>
        <w:shd w:fill="F0F0F0" w:val="clear"/>
        <w:spacing w:after="14" w:before="14"/>
        <w:ind w:left="360"/>
      </w:pPr>
      <w:r>
        <w:rPr>
          <w:rFonts w:ascii="Courier New" w:cs="Courier New" w:eastAsia="Courier New" w:hAnsi="Courier New"/>
          <w:color w:val="1B2A4A"/>
          <w:sz w:val="16"/>
          <w:szCs w:val="16"/>
        </w:rPr>
        <w:t xml:space="preserve">    "stat1n": "$10B",</w:t>
      </w:r>
    </w:p>
    <w:p>
      <w:pPr>
        <w:shd w:fill="F0F0F0" w:val="clear"/>
        <w:spacing w:after="14" w:before="14"/>
        <w:ind w:left="360"/>
      </w:pPr>
      <w:r>
        <w:rPr>
          <w:rFonts w:ascii="Courier New" w:cs="Courier New" w:eastAsia="Courier New" w:hAnsi="Courier New"/>
          <w:color w:val="1B2A4A"/>
          <w:sz w:val="16"/>
          <w:szCs w:val="16"/>
        </w:rPr>
        <w:t xml:space="preserve">    "stat1l": "India food technology market by 2027",</w:t>
      </w:r>
    </w:p>
    <w:p>
      <w:pPr>
        <w:shd w:fill="F0F0F0" w:val="clear"/>
        <w:spacing w:after="14" w:before="14"/>
        <w:ind w:left="360"/>
      </w:pPr>
      <w:r>
        <w:rPr>
          <w:rFonts w:ascii="Courier New" w:cs="Courier New" w:eastAsia="Courier New" w:hAnsi="Courier New"/>
          <w:color w:val="1B2A4A"/>
          <w:sz w:val="16"/>
          <w:szCs w:val="16"/>
        </w:rPr>
        <w:t xml:space="preserve">    "stat1b": "Alternative protein adoption, agri-tech investment, and food safety technology driving 30% annual India food tech market growth.",</w:t>
      </w:r>
    </w:p>
    <w:p>
      <w:pPr>
        <w:shd w:fill="F0F0F0" w:val="clear"/>
        <w:spacing w:after="14" w:before="14"/>
        <w:ind w:left="360"/>
      </w:pPr>
      <w:r>
        <w:rPr>
          <w:rFonts w:ascii="Courier New" w:cs="Courier New" w:eastAsia="Courier New" w:hAnsi="Courier New"/>
          <w:color w:val="1B2A4A"/>
          <w:sz w:val="16"/>
          <w:szCs w:val="16"/>
        </w:rPr>
        <w:t xml:space="preserve">    "stat2n": "30+",</w:t>
      </w:r>
    </w:p>
    <w:p>
      <w:pPr>
        <w:shd w:fill="F0F0F0" w:val="clear"/>
        <w:spacing w:after="14" w:before="14"/>
        <w:ind w:left="360"/>
      </w:pPr>
      <w:r>
        <w:rPr>
          <w:rFonts w:ascii="Courier New" w:cs="Courier New" w:eastAsia="Courier New" w:hAnsi="Courier New"/>
          <w:color w:val="1B2A4A"/>
          <w:sz w:val="16"/>
          <w:szCs w:val="16"/>
        </w:rPr>
        <w:t xml:space="preserve">    "stat2l": "Primary interviews per India food tech mandate",</w:t>
      </w:r>
    </w:p>
    <w:p>
      <w:pPr>
        <w:shd w:fill="F0F0F0" w:val="clear"/>
        <w:spacing w:after="14" w:before="14"/>
        <w:ind w:left="360"/>
      </w:pPr>
      <w:r>
        <w:rPr>
          <w:rFonts w:ascii="Courier New" w:cs="Courier New" w:eastAsia="Courier New" w:hAnsi="Courier New"/>
          <w:color w:val="1B2A4A"/>
          <w:sz w:val="16"/>
          <w:szCs w:val="16"/>
        </w:rPr>
        <w:t xml:space="preserve">    "stat2b": "Indian food tech investors, FSSAI officials, and institutional food buyers — every engagement grounded in direct primary research.",</w:t>
      </w:r>
    </w:p>
    <w:p>
      <w:pPr>
        <w:shd w:fill="F0F0F0" w:val="clear"/>
        <w:spacing w:after="14" w:before="14"/>
        <w:ind w:left="360"/>
      </w:pPr>
      <w:r>
        <w:rPr>
          <w:rFonts w:ascii="Courier New" w:cs="Courier New" w:eastAsia="Courier New" w:hAnsi="Courier New"/>
          <w:color w:val="1B2A4A"/>
          <w:sz w:val="16"/>
          <w:szCs w:val="16"/>
        </w:rPr>
        <w:t xml:space="preserve">    "stat3n": "8 weeks",</w:t>
      </w:r>
    </w:p>
    <w:p>
      <w:pPr>
        <w:shd w:fill="F0F0F0" w:val="clear"/>
        <w:spacing w:after="14" w:before="14"/>
        <w:ind w:left="360"/>
      </w:pPr>
      <w:r>
        <w:rPr>
          <w:rFonts w:ascii="Courier New" w:cs="Courier New" w:eastAsia="Courier New" w:hAnsi="Courier New"/>
          <w:color w:val="1B2A4A"/>
          <w:sz w:val="16"/>
          <w:szCs w:val="16"/>
        </w:rPr>
        <w:t xml:space="preserve">    "stat3l": "India food technology market entry strategy",</w:t>
      </w:r>
    </w:p>
    <w:p>
      <w:pPr>
        <w:shd w:fill="F0F0F0" w:val="clear"/>
        <w:spacing w:after="14" w:before="14"/>
        <w:ind w:left="360"/>
      </w:pPr>
      <w:r>
        <w:rPr>
          <w:rFonts w:ascii="Courier New" w:cs="Courier New" w:eastAsia="Courier New" w:hAnsi="Courier New"/>
          <w:color w:val="1B2A4A"/>
          <w:sz w:val="16"/>
          <w:szCs w:val="16"/>
        </w:rPr>
        <w:t xml:space="preserve">    "stat3b": "AI-augmented FSSAI regulatory mapping and consumer demand research delivers India food technology strategies efficiently."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"slug": "africa-last-mile",</w:t>
      </w:r>
    </w:p>
    <w:p>
      <w:pPr>
        <w:shd w:fill="F0F0F0" w:val="clear"/>
        <w:spacing w:after="14" w:before="14"/>
        <w:ind w:left="360"/>
      </w:pPr>
      <w:r>
        <w:rPr>
          <w:rFonts w:ascii="Courier New" w:cs="Courier New" w:eastAsia="Courier New" w:hAnsi="Courier New"/>
          <w:color w:val="1B2A4A"/>
          <w:sz w:val="16"/>
          <w:szCs w:val="16"/>
        </w:rPr>
        <w:t xml:space="preserve">    "parent": "last-mile-delivery",</w:t>
      </w:r>
    </w:p>
    <w:p>
      <w:pPr>
        <w:shd w:fill="F0F0F0" w:val="clear"/>
        <w:spacing w:after="14" w:before="14"/>
        <w:ind w:left="360"/>
      </w:pPr>
      <w:r>
        <w:rPr>
          <w:rFonts w:ascii="Courier New" w:cs="Courier New" w:eastAsia="Courier New" w:hAnsi="Courier New"/>
          <w:color w:val="1B2A4A"/>
          <w:sz w:val="16"/>
          <w:szCs w:val="16"/>
        </w:rPr>
        <w:t xml:space="preserve">    "title": "Africa Last Mile Delivery Market Entry Strategy | GreyRadius",</w:t>
      </w:r>
    </w:p>
    <w:p>
      <w:pPr>
        <w:shd w:fill="F0F0F0" w:val="clear"/>
        <w:spacing w:after="14" w:before="14"/>
        <w:ind w:left="360"/>
      </w:pPr>
      <w:r>
        <w:rPr>
          <w:rFonts w:ascii="Courier New" w:cs="Courier New" w:eastAsia="Courier New" w:hAnsi="Courier New"/>
          <w:color w:val="1B2A4A"/>
          <w:sz w:val="16"/>
          <w:szCs w:val="16"/>
        </w:rPr>
        <w:t xml:space="preserve">    "meta": "GreyRadius helps last mile delivery companies enter Africa with e-commerce logistics demand research, Jumia and Takealot ecosystem mapping, mobile money integration strategy, and GTM planning.",</w:t>
      </w:r>
    </w:p>
    <w:p>
      <w:pPr>
        <w:shd w:fill="F0F0F0" w:val="clear"/>
        <w:spacing w:after="14" w:before="14"/>
        <w:ind w:left="360"/>
      </w:pPr>
      <w:r>
        <w:rPr>
          <w:rFonts w:ascii="Courier New" w:cs="Courier New" w:eastAsia="Courier New" w:hAnsi="Courier New"/>
          <w:color w:val="1B2A4A"/>
          <w:sz w:val="16"/>
          <w:szCs w:val="16"/>
        </w:rPr>
        <w:t xml:space="preserve">    "h1": "Africa last mile delivery market entry strategy",</w:t>
      </w:r>
    </w:p>
    <w:p>
      <w:pPr>
        <w:shd w:fill="F0F0F0" w:val="clear"/>
        <w:spacing w:after="14" w:before="14"/>
        <w:ind w:left="360"/>
      </w:pPr>
      <w:r>
        <w:rPr>
          <w:rFonts w:ascii="Courier New" w:cs="Courier New" w:eastAsia="Courier New" w:hAnsi="Courier New"/>
          <w:color w:val="1B2A4A"/>
          <w:sz w:val="16"/>
          <w:szCs w:val="16"/>
        </w:rPr>
        <w:t xml:space="preserve">    "tagline": "From last mile technology to Africa's e-commerce and informal economy delivery — strategy for delivery companies entering Africa.",</w:t>
      </w:r>
    </w:p>
    <w:p>
      <w:pPr>
        <w:shd w:fill="F0F0F0" w:val="clear"/>
        <w:spacing w:after="14" w:before="14"/>
        <w:ind w:left="360"/>
      </w:pPr>
      <w:r>
        <w:rPr>
          <w:rFonts w:ascii="Courier New" w:cs="Courier New" w:eastAsia="Courier New" w:hAnsi="Courier New"/>
          <w:color w:val="1B2A4A"/>
          <w:sz w:val="16"/>
          <w:szCs w:val="16"/>
        </w:rPr>
        <w:t xml:space="preserve">    "hero": "Africa's last mile delivery market is one of the world's most complex and highest-growth — with Africa's rapidly growing e-commerce creating delivery demand, mobile money payment infrastructure enabling cashless delivery transactions, Africa's informal economy and fragmented address systems requiring innovative last mile technology, and Jumia, Kilimall, and Takealot creating e-commerce platforms that need last mile delivery capability. International last mile delivery companies, delivery technology platforms, and logistics automation companies are all evaluating Africa as a priority market. GreyRadius helps last mile companies validate African e-commerce and retail delivery demand, navigate regulatory requirements, identify anchor customer and partner opportunities, and execute GTM.",</w:t>
      </w:r>
    </w:p>
    <w:p>
      <w:pPr>
        <w:shd w:fill="F0F0F0" w:val="clear"/>
        <w:spacing w:after="14" w:before="14"/>
        <w:ind w:left="360"/>
      </w:pPr>
      <w:r>
        <w:rPr>
          <w:rFonts w:ascii="Courier New" w:cs="Courier New" w:eastAsia="Courier New" w:hAnsi="Courier New"/>
          <w:color w:val="1B2A4A"/>
          <w:sz w:val="16"/>
          <w:szCs w:val="16"/>
        </w:rPr>
        <w:t xml:space="preserve">    "market_timing": "Africa's e-commerce is growing at 25% annually from a very low base — the companies establishing last mile delivery infrastructure relationships with Jumia, Takealot, and African e-commerce platforms in 2024-2027 will be embedded in Africa's e-commerce logistics infrastructure as it scales from single-digit to double-digit percent of retail. Last mile delivery companies that build African infrastructure early will have structural cost and relationship advantages over later entrants.",</w:t>
      </w:r>
    </w:p>
    <w:p>
      <w:pPr>
        <w:shd w:fill="F0F0F0" w:val="clear"/>
        <w:spacing w:after="14" w:before="14"/>
        <w:ind w:left="360"/>
      </w:pPr>
      <w:r>
        <w:rPr>
          <w:rFonts w:ascii="Courier New" w:cs="Courier New" w:eastAsia="Courier New" w:hAnsi="Courier New"/>
          <w:color w:val="1B2A4A"/>
          <w:sz w:val="16"/>
          <w:szCs w:val="16"/>
        </w:rPr>
        <w:t xml:space="preserve">    "insights": [</w:t>
      </w:r>
    </w:p>
    <w:p>
      <w:pPr>
        <w:shd w:fill="F0F0F0" w:val="clear"/>
        <w:spacing w:after="14" w:before="14"/>
        <w:ind w:left="360"/>
      </w:pPr>
      <w:r>
        <w:rPr>
          <w:rFonts w:ascii="Courier New" w:cs="Courier New" w:eastAsia="Courier New" w:hAnsi="Courier New"/>
          <w:color w:val="1B2A4A"/>
          <w:sz w:val="16"/>
          <w:szCs w:val="16"/>
        </w:rPr>
        <w:t xml:space="preserve">      "Africa's last mile delivery market is projected to reach $5B by 2028 — growing at 20% annually as e-commerce adoption, mobile money infrastructure, and urban delivery demand all scale.",</w:t>
      </w:r>
    </w:p>
    <w:p>
      <w:pPr>
        <w:shd w:fill="F0F0F0" w:val="clear"/>
        <w:spacing w:after="14" w:before="14"/>
        <w:ind w:left="360"/>
      </w:pPr>
      <w:r>
        <w:rPr>
          <w:rFonts w:ascii="Courier New" w:cs="Courier New" w:eastAsia="Courier New" w:hAnsi="Courier New"/>
          <w:color w:val="1B2A4A"/>
          <w:sz w:val="16"/>
          <w:szCs w:val="16"/>
        </w:rPr>
        <w:t xml:space="preserve">      "South Africa's e-commerce is Africa's most sophisticated — Takealot, Mr Price online, and Woolworths online all creating modern last mile delivery demand for international delivery technology.",</w:t>
      </w:r>
    </w:p>
    <w:p>
      <w:pPr>
        <w:shd w:fill="F0F0F0" w:val="clear"/>
        <w:spacing w:after="14" w:before="14"/>
        <w:ind w:left="360"/>
      </w:pPr>
      <w:r>
        <w:rPr>
          <w:rFonts w:ascii="Courier New" w:cs="Courier New" w:eastAsia="Courier New" w:hAnsi="Courier New"/>
          <w:color w:val="1B2A4A"/>
          <w:sz w:val="16"/>
          <w:szCs w:val="16"/>
        </w:rPr>
        <w:t xml:space="preserve">      "Nigeria's informal trade is creating informal last mile demand — Lagos's traffic complexity, fragmented addressing, and cash economy creating unique last mile delivery challenges that require African-specific solutions.",</w:t>
      </w:r>
    </w:p>
    <w:p>
      <w:pPr>
        <w:shd w:fill="F0F0F0" w:val="clear"/>
        <w:spacing w:after="14" w:before="14"/>
        <w:ind w:left="360"/>
      </w:pPr>
      <w:r>
        <w:rPr>
          <w:rFonts w:ascii="Courier New" w:cs="Courier New" w:eastAsia="Courier New" w:hAnsi="Courier New"/>
          <w:color w:val="1B2A4A"/>
          <w:sz w:val="16"/>
          <w:szCs w:val="16"/>
        </w:rPr>
        <w:t xml:space="preserve">      "Mobile money is transforming African last mile payment — M-Pesa in Kenya, MTN Mobile Money in West Africa, and Vodacom in South Africa enabling cashless delivery that unlocks COD replacement."</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"challenges_market": [</w:t>
      </w:r>
    </w:p>
    <w:p>
      <w:pPr>
        <w:shd w:fill="F0F0F0" w:val="clear"/>
        <w:spacing w:after="14" w:before="14"/>
        <w:ind w:left="360"/>
      </w:pPr>
      <w:r>
        <w:rPr>
          <w:rFonts w:ascii="Courier New" w:cs="Courier New" w:eastAsia="Courier New" w:hAnsi="Courier New"/>
          <w:color w:val="1B2A4A"/>
          <w:sz w:val="16"/>
          <w:szCs w:val="16"/>
        </w:rPr>
        <w:t xml:space="preserve">      "Address infrastructure is fragmented across most African markets — informal settlements, unnumbered streets, and rural delivery complexity require GPS-based and landmark-based delivery systems.",</w:t>
      </w:r>
    </w:p>
    <w:p>
      <w:pPr>
        <w:shd w:fill="F0F0F0" w:val="clear"/>
        <w:spacing w:after="14" w:before="14"/>
        <w:ind w:left="360"/>
      </w:pPr>
      <w:r>
        <w:rPr>
          <w:rFonts w:ascii="Courier New" w:cs="Courier New" w:eastAsia="Courier New" w:hAnsi="Courier New"/>
          <w:color w:val="1B2A4A"/>
          <w:sz w:val="16"/>
          <w:szCs w:val="16"/>
        </w:rPr>
        <w:t xml:space="preserve">      "Road infrastructure and traffic complexity in Lagos and Nairobi — Africa's worst traffic creating last mile delivery time unpredictability that affects consumer trust.",</w:t>
      </w:r>
    </w:p>
    <w:p>
      <w:pPr>
        <w:shd w:fill="F0F0F0" w:val="clear"/>
        <w:spacing w:after="14" w:before="14"/>
        <w:ind w:left="360"/>
      </w:pPr>
      <w:r>
        <w:rPr>
          <w:rFonts w:ascii="Courier New" w:cs="Courier New" w:eastAsia="Courier New" w:hAnsi="Courier New"/>
          <w:color w:val="1B2A4A"/>
          <w:sz w:val="16"/>
          <w:szCs w:val="16"/>
        </w:rPr>
        <w:t xml:space="preserve">      "Competition from established Africa last mile operators — The Courier Guy, Aramex Africa, and DHL Express Africa — with existing retailer relationships is intense.",</w:t>
      </w:r>
    </w:p>
    <w:p>
      <w:pPr>
        <w:shd w:fill="F0F0F0" w:val="clear"/>
        <w:spacing w:after="14" w:before="14"/>
        <w:ind w:left="360"/>
      </w:pPr>
      <w:r>
        <w:rPr>
          <w:rFonts w:ascii="Courier New" w:cs="Courier New" w:eastAsia="Courier New" w:hAnsi="Courier New"/>
          <w:color w:val="1B2A4A"/>
          <w:sz w:val="16"/>
          <w:szCs w:val="16"/>
        </w:rPr>
        <w:t xml:space="preserve">      "Security considerations affect last mile operations in some African markets — delivery driver security protocols and secure handover procedures require Africa-specific operational design."</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"challenges_we_solve": [</w:t>
      </w:r>
    </w:p>
    <w:p>
      <w:pPr>
        <w:shd w:fill="F0F0F0" w:val="clear"/>
        <w:spacing w:after="14" w:before="14"/>
        <w:ind w:left="360"/>
      </w:pPr>
      <w:r>
        <w:rPr>
          <w:rFonts w:ascii="Courier New" w:cs="Courier New" w:eastAsia="Courier New" w:hAnsi="Courier New"/>
          <w:color w:val="1B2A4A"/>
          <w:sz w:val="16"/>
          <w:szCs w:val="16"/>
        </w:rPr>
        <w:t xml:space="preserve">      "Africa last mile demand validation|You need to validate African e-commerce retailer and brand demand for your last mile service and understand regulatory requirements.",</w:t>
      </w:r>
    </w:p>
    <w:p>
      <w:pPr>
        <w:shd w:fill="F0F0F0" w:val="clear"/>
        <w:spacing w:after="14" w:before="14"/>
        <w:ind w:left="360"/>
      </w:pPr>
      <w:r>
        <w:rPr>
          <w:rFonts w:ascii="Courier New" w:cs="Courier New" w:eastAsia="Courier New" w:hAnsi="Courier New"/>
          <w:color w:val="1B2A4A"/>
          <w:sz w:val="16"/>
          <w:szCs w:val="16"/>
        </w:rPr>
        <w:t xml:space="preserve">      "Africa last mile regulatory pathway|You need to understand South Africa road freight licensing, Nigeria FCCPC e-commerce delivery regulations, and Kenya county delivery permit requirements.",</w:t>
      </w:r>
    </w:p>
    <w:p>
      <w:pPr>
        <w:shd w:fill="F0F0F0" w:val="clear"/>
        <w:spacing w:after="14" w:before="14"/>
        <w:ind w:left="360"/>
      </w:pPr>
      <w:r>
        <w:rPr>
          <w:rFonts w:ascii="Courier New" w:cs="Courier New" w:eastAsia="Courier New" w:hAnsi="Courier New"/>
          <w:color w:val="1B2A4A"/>
          <w:sz w:val="16"/>
          <w:szCs w:val="16"/>
        </w:rPr>
        <w:t xml:space="preserve">      "Africa last mile anchor customer identification|You need Jumia, Takealot, and African e-commerce platform fulfilment partnership contacts as anchor clients.",</w:t>
      </w:r>
    </w:p>
    <w:p>
      <w:pPr>
        <w:shd w:fill="F0F0F0" w:val="clear"/>
        <w:spacing w:after="14" w:before="14"/>
        <w:ind w:left="360"/>
      </w:pPr>
      <w:r>
        <w:rPr>
          <w:rFonts w:ascii="Courier New" w:cs="Courier New" w:eastAsia="Courier New" w:hAnsi="Courier New"/>
          <w:color w:val="1B2A4A"/>
          <w:sz w:val="16"/>
          <w:szCs w:val="16"/>
        </w:rPr>
        <w:t xml:space="preserve">      "Africa last mile GTM strategy|You need a South Africa-first formal e-commerce entry or Nigeria-first informal trade technology strategy.",</w:t>
      </w:r>
    </w:p>
    <w:p>
      <w:pPr>
        <w:shd w:fill="F0F0F0" w:val="clear"/>
        <w:spacing w:after="14" w:before="14"/>
        <w:ind w:left="360"/>
      </w:pPr>
      <w:r>
        <w:rPr>
          <w:rFonts w:ascii="Courier New" w:cs="Courier New" w:eastAsia="Courier New" w:hAnsi="Courier New"/>
          <w:color w:val="1B2A4A"/>
          <w:sz w:val="16"/>
          <w:szCs w:val="16"/>
        </w:rPr>
        <w:t xml:space="preserve">      "Raising capital for Africa last mile investment|You need a pitch book grounded in Africa e-commerce growth data and informal trade delivery opportunity analysis.",</w:t>
      </w:r>
    </w:p>
    <w:p>
      <w:pPr>
        <w:shd w:fill="F0F0F0" w:val="clear"/>
        <w:spacing w:after="14" w:before="14"/>
        <w:ind w:left="360"/>
      </w:pPr>
      <w:r>
        <w:rPr>
          <w:rFonts w:ascii="Courier New" w:cs="Courier New" w:eastAsia="Courier New" w:hAnsi="Courier New"/>
          <w:color w:val="1B2A4A"/>
          <w:sz w:val="16"/>
          <w:szCs w:val="16"/>
        </w:rPr>
        <w:t xml:space="preserve">      "Africa-specific operational design|You need a landmark-based delivery, mobile money payment integration, and driver security protocol architecture for African operations."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"service_angles": [</w:t>
      </w:r>
    </w:p>
    <w:p>
      <w:pPr>
        <w:shd w:fill="F0F0F0" w:val="clear"/>
        <w:spacing w:after="14" w:before="14"/>
        <w:ind w:left="360"/>
      </w:pPr>
      <w:r>
        <w:rPr>
          <w:rFonts w:ascii="Courier New" w:cs="Courier New" w:eastAsia="Courier New" w:hAnsi="Courier New"/>
          <w:color w:val="1B2A4A"/>
          <w:sz w:val="16"/>
          <w:szCs w:val="16"/>
        </w:rPr>
        <w:t xml:space="preserve">      "Validate African e-commerce retailer demand for your last mile service with shipper interviews and regulatory mapping.",</w:t>
      </w:r>
    </w:p>
    <w:p>
      <w:pPr>
        <w:shd w:fill="F0F0F0" w:val="clear"/>
        <w:spacing w:after="14" w:before="14"/>
        <w:ind w:left="360"/>
      </w:pPr>
      <w:r>
        <w:rPr>
          <w:rFonts w:ascii="Courier New" w:cs="Courier New" w:eastAsia="Courier New" w:hAnsi="Courier New"/>
          <w:color w:val="1B2A4A"/>
          <w:sz w:val="16"/>
          <w:szCs w:val="16"/>
        </w:rPr>
        <w:t xml:space="preserve">      "Full financial feasibility for Africa last mile investment covering vehicle economics and anchor customer contract analysis.",</w:t>
      </w:r>
    </w:p>
    <w:p>
      <w:pPr>
        <w:shd w:fill="F0F0F0" w:val="clear"/>
        <w:spacing w:after="14" w:before="14"/>
        <w:ind w:left="360"/>
      </w:pPr>
      <w:r>
        <w:rPr>
          <w:rFonts w:ascii="Courier New" w:cs="Courier New" w:eastAsia="Courier New" w:hAnsi="Courier New"/>
          <w:color w:val="1B2A4A"/>
          <w:sz w:val="16"/>
          <w:szCs w:val="16"/>
        </w:rPr>
        <w:t xml:space="preserve">      "End-to-end Africa last mile market entry including regulatory pathway, anchor customer identification, and first-delivery-volume milestone.",</w:t>
      </w:r>
    </w:p>
    <w:p>
      <w:pPr>
        <w:shd w:fill="F0F0F0" w:val="clear"/>
        <w:spacing w:after="14" w:before="14"/>
        <w:ind w:left="360"/>
      </w:pPr>
      <w:r>
        <w:rPr>
          <w:rFonts w:ascii="Courier New" w:cs="Courier New" w:eastAsia="Courier New" w:hAnsi="Courier New"/>
          <w:color w:val="1B2A4A"/>
          <w:sz w:val="16"/>
          <w:szCs w:val="16"/>
        </w:rPr>
        <w:t xml:space="preserve">      "Embedded Africa last mile GTM team covering Jumia and Takealot fulfilment outreach.",</w:t>
      </w:r>
    </w:p>
    <w:p>
      <w:pPr>
        <w:shd w:fill="F0F0F0" w:val="clear"/>
        <w:spacing w:after="14" w:before="14"/>
        <w:ind w:left="360"/>
      </w:pPr>
      <w:r>
        <w:rPr>
          <w:rFonts w:ascii="Courier New" w:cs="Courier New" w:eastAsia="Courier New" w:hAnsi="Courier New"/>
          <w:color w:val="1B2A4A"/>
          <w:sz w:val="16"/>
          <w:szCs w:val="16"/>
        </w:rPr>
        <w:t xml:space="preserve">      "Investor-ready pitch books for Africa last mile investment with e-commerce growth and mobile money payment narrative.",</w:t>
      </w:r>
    </w:p>
    <w:p>
      <w:pPr>
        <w:shd w:fill="F0F0F0" w:val="clear"/>
        <w:spacing w:after="14" w:before="14"/>
        <w:ind w:left="360"/>
      </w:pPr>
      <w:r>
        <w:rPr>
          <w:rFonts w:ascii="Courier New" w:cs="Courier New" w:eastAsia="Courier New" w:hAnsi="Courier New"/>
          <w:color w:val="1B2A4A"/>
          <w:sz w:val="16"/>
          <w:szCs w:val="16"/>
        </w:rPr>
        <w:t xml:space="preserve">      "AI use-case identification — from AI-powered African address resolution to last mile routing optimisation for African traffic complexity."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"faq": [</w:t>
      </w:r>
    </w:p>
    <w:p>
      <w:pPr>
        <w:shd w:fill="F0F0F0" w:val="clear"/>
        <w:spacing w:after="14" w:before="14"/>
        <w:ind w:left="360"/>
      </w:pPr>
      <w:r>
        <w:rPr>
          <w:rFonts w:ascii="Courier New" w:cs="Courier New" w:eastAsia="Courier New" w:hAnsi="Courier New"/>
          <w:color w:val="1B2A4A"/>
          <w:sz w:val="16"/>
          <w:szCs w:val="16"/>
        </w:rPr>
        <w:t xml:space="preserve">      "Does GreyRadius work with last mile delivery operators or also with delivery technology, routing optimisation, and mobile money payment companies entering Africa?|All last mile categories.",</w:t>
      </w:r>
    </w:p>
    <w:p>
      <w:pPr>
        <w:shd w:fill="F0F0F0" w:val="clear"/>
        <w:spacing w:after="14" w:before="14"/>
        <w:ind w:left="360"/>
      </w:pPr>
      <w:r>
        <w:rPr>
          <w:rFonts w:ascii="Courier New" w:cs="Courier New" w:eastAsia="Courier New" w:hAnsi="Courier New"/>
          <w:color w:val="1B2A4A"/>
          <w:sz w:val="16"/>
          <w:szCs w:val="16"/>
        </w:rPr>
        <w:t xml:space="preserve">      "Which African last mile market should companies enter first?|South Africa for most sophisticated e-commerce infrastructure; Nigeria for largest volume but highest complexity.",</w:t>
      </w:r>
    </w:p>
    <w:p>
      <w:pPr>
        <w:shd w:fill="F0F0F0" w:val="clear"/>
        <w:spacing w:after="14" w:before="14"/>
        <w:ind w:left="360"/>
      </w:pPr>
      <w:r>
        <w:rPr>
          <w:rFonts w:ascii="Courier New" w:cs="Courier New" w:eastAsia="Courier New" w:hAnsi="Courier New"/>
          <w:color w:val="1B2A4A"/>
          <w:sz w:val="16"/>
          <w:szCs w:val="16"/>
        </w:rPr>
        <w:t xml:space="preserve">      "How long does an Africa last mile engagement take?|Typically 6-8 weeks for shipper demand research, regulatory mapping, and anchor customer identification.",</w:t>
      </w:r>
    </w:p>
    <w:p>
      <w:pPr>
        <w:shd w:fill="F0F0F0" w:val="clear"/>
        <w:spacing w:after="14" w:before="14"/>
        <w:ind w:left="360"/>
      </w:pPr>
      <w:r>
        <w:rPr>
          <w:rFonts w:ascii="Courier New" w:cs="Courier New" w:eastAsia="Courier New" w:hAnsi="Courier New"/>
          <w:color w:val="1B2A4A"/>
          <w:sz w:val="16"/>
          <w:szCs w:val="16"/>
        </w:rPr>
        <w:t xml:space="preserve">      "Can GreyRadius identify Jumia and Takealot fulfilment partnership contacts?|Yes."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"keywords": "Africa last mile delivery market entry, South Africa logistics GTM strategy, Nigeria e-commerce delivery consulting, Jumia fulfilment advisory, Africa last mile market entry",</w:t>
      </w:r>
    </w:p>
    <w:p>
      <w:pPr>
        <w:shd w:fill="F0F0F0" w:val="clear"/>
        <w:spacing w:after="14" w:before="14"/>
        <w:ind w:left="360"/>
      </w:pPr>
      <w:r>
        <w:rPr>
          <w:rFonts w:ascii="Courier New" w:cs="Courier New" w:eastAsia="Courier New" w:hAnsi="Courier New"/>
          <w:color w:val="1B2A4A"/>
          <w:sz w:val="16"/>
          <w:szCs w:val="16"/>
        </w:rPr>
        <w:t xml:space="preserve">    "regions": "South Africa — Takealot and formal e-commerce last mile in Johannesburg and Cape Town; Nigeria — Lagos informal trade and e-commerce delivery; Kenya — Nairobi Jumia and M-Pesa enabled delivery",</w:t>
      </w:r>
    </w:p>
    <w:p>
      <w:pPr>
        <w:shd w:fill="F0F0F0" w:val="clear"/>
        <w:spacing w:after="14" w:before="14"/>
        <w:ind w:left="360"/>
      </w:pPr>
      <w:r>
        <w:rPr>
          <w:rFonts w:ascii="Courier New" w:cs="Courier New" w:eastAsia="Courier New" w:hAnsi="Courier New"/>
          <w:color w:val="1B2A4A"/>
          <w:sz w:val="16"/>
          <w:szCs w:val="16"/>
        </w:rPr>
        <w:t xml:space="preserve">    "stat1n": "$5B",</w:t>
      </w:r>
    </w:p>
    <w:p>
      <w:pPr>
        <w:shd w:fill="F0F0F0" w:val="clear"/>
        <w:spacing w:after="14" w:before="14"/>
        <w:ind w:left="360"/>
      </w:pPr>
      <w:r>
        <w:rPr>
          <w:rFonts w:ascii="Courier New" w:cs="Courier New" w:eastAsia="Courier New" w:hAnsi="Courier New"/>
          <w:color w:val="1B2A4A"/>
          <w:sz w:val="16"/>
          <w:szCs w:val="16"/>
        </w:rPr>
        <w:t xml:space="preserve">    "stat1l": "Africa last mile delivery market by 2028",</w:t>
      </w:r>
    </w:p>
    <w:p>
      <w:pPr>
        <w:shd w:fill="F0F0F0" w:val="clear"/>
        <w:spacing w:after="14" w:before="14"/>
        <w:ind w:left="360"/>
      </w:pPr>
      <w:r>
        <w:rPr>
          <w:rFonts w:ascii="Courier New" w:cs="Courier New" w:eastAsia="Courier New" w:hAnsi="Courier New"/>
          <w:color w:val="1B2A4A"/>
          <w:sz w:val="16"/>
          <w:szCs w:val="16"/>
        </w:rPr>
        <w:t xml:space="preserve">    "stat1b": "E-commerce adoption, mobile money infrastructure, and urban delivery demand driving 20% annual Africa last mile market growth.",</w:t>
      </w:r>
    </w:p>
    <w:p>
      <w:pPr>
        <w:shd w:fill="F0F0F0" w:val="clear"/>
        <w:spacing w:after="14" w:before="14"/>
        <w:ind w:left="360"/>
      </w:pPr>
      <w:r>
        <w:rPr>
          <w:rFonts w:ascii="Courier New" w:cs="Courier New" w:eastAsia="Courier New" w:hAnsi="Courier New"/>
          <w:color w:val="1B2A4A"/>
          <w:sz w:val="16"/>
          <w:szCs w:val="16"/>
        </w:rPr>
        <w:t xml:space="preserve">    "stat2n": "30+",</w:t>
      </w:r>
    </w:p>
    <w:p>
      <w:pPr>
        <w:shd w:fill="F0F0F0" w:val="clear"/>
        <w:spacing w:after="14" w:before="14"/>
        <w:ind w:left="360"/>
      </w:pPr>
      <w:r>
        <w:rPr>
          <w:rFonts w:ascii="Courier New" w:cs="Courier New" w:eastAsia="Courier New" w:hAnsi="Courier New"/>
          <w:color w:val="1B2A4A"/>
          <w:sz w:val="16"/>
          <w:szCs w:val="16"/>
        </w:rPr>
        <w:t xml:space="preserve">    "stat2l": "Primary interviews per Africa last mile mandate",</w:t>
      </w:r>
    </w:p>
    <w:p>
      <w:pPr>
        <w:shd w:fill="F0F0F0" w:val="clear"/>
        <w:spacing w:after="14" w:before="14"/>
        <w:ind w:left="360"/>
      </w:pPr>
      <w:r>
        <w:rPr>
          <w:rFonts w:ascii="Courier New" w:cs="Courier New" w:eastAsia="Courier New" w:hAnsi="Courier New"/>
          <w:color w:val="1B2A4A"/>
          <w:sz w:val="16"/>
          <w:szCs w:val="16"/>
        </w:rPr>
        <w:t xml:space="preserve">    "stat2b": "African e-commerce retailers, mobile money integration contacts, and last mile technology buyers — every engagement grounded in direct primary research.",</w:t>
      </w:r>
    </w:p>
    <w:p>
      <w:pPr>
        <w:shd w:fill="F0F0F0" w:val="clear"/>
        <w:spacing w:after="14" w:before="14"/>
        <w:ind w:left="360"/>
      </w:pPr>
      <w:r>
        <w:rPr>
          <w:rFonts w:ascii="Courier New" w:cs="Courier New" w:eastAsia="Courier New" w:hAnsi="Courier New"/>
          <w:color w:val="1B2A4A"/>
          <w:sz w:val="16"/>
          <w:szCs w:val="16"/>
        </w:rPr>
        <w:t xml:space="preserve">    "stat3n": "6 weeks",</w:t>
      </w:r>
    </w:p>
    <w:p>
      <w:pPr>
        <w:shd w:fill="F0F0F0" w:val="clear"/>
        <w:spacing w:after="14" w:before="14"/>
        <w:ind w:left="360"/>
      </w:pPr>
      <w:r>
        <w:rPr>
          <w:rFonts w:ascii="Courier New" w:cs="Courier New" w:eastAsia="Courier New" w:hAnsi="Courier New"/>
          <w:color w:val="1B2A4A"/>
          <w:sz w:val="16"/>
          <w:szCs w:val="16"/>
        </w:rPr>
        <w:t xml:space="preserve">    "stat3l": "Africa last mile delivery market entry strategy",</w:t>
      </w:r>
    </w:p>
    <w:p>
      <w:pPr>
        <w:shd w:fill="F0F0F0" w:val="clear"/>
        <w:spacing w:after="14" w:before="14"/>
        <w:ind w:left="360"/>
      </w:pPr>
      <w:r>
        <w:rPr>
          <w:rFonts w:ascii="Courier New" w:cs="Courier New" w:eastAsia="Courier New" w:hAnsi="Courier New"/>
          <w:color w:val="1B2A4A"/>
          <w:sz w:val="16"/>
          <w:szCs w:val="16"/>
        </w:rPr>
        <w:t xml:space="preserve">    "stat3b": "AI-augmented shipper demand research and regulatory mapping delivers Africa last mile strategies efficiently."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"slug": "southeast-asia-corporate-learning",</w:t>
      </w:r>
    </w:p>
    <w:p>
      <w:pPr>
        <w:shd w:fill="F0F0F0" w:val="clear"/>
        <w:spacing w:after="14" w:before="14"/>
        <w:ind w:left="360"/>
      </w:pPr>
      <w:r>
        <w:rPr>
          <w:rFonts w:ascii="Courier New" w:cs="Courier New" w:eastAsia="Courier New" w:hAnsi="Courier New"/>
          <w:color w:val="1B2A4A"/>
          <w:sz w:val="16"/>
          <w:szCs w:val="16"/>
        </w:rPr>
        <w:t xml:space="preserve">    "parent": "corporate-learning",</w:t>
      </w:r>
    </w:p>
    <w:p>
      <w:pPr>
        <w:shd w:fill="F0F0F0" w:val="clear"/>
        <w:spacing w:after="14" w:before="14"/>
        <w:ind w:left="360"/>
      </w:pPr>
      <w:r>
        <w:rPr>
          <w:rFonts w:ascii="Courier New" w:cs="Courier New" w:eastAsia="Courier New" w:hAnsi="Courier New"/>
          <w:color w:val="1B2A4A"/>
          <w:sz w:val="16"/>
          <w:szCs w:val="16"/>
        </w:rPr>
        <w:t xml:space="preserve">    "title": "Southeast Asia Corporate Learning Market Entry | GreyRadius",</w:t>
      </w:r>
    </w:p>
    <w:p>
      <w:pPr>
        <w:shd w:fill="F0F0F0" w:val="clear"/>
        <w:spacing w:after="14" w:before="14"/>
        <w:ind w:left="360"/>
      </w:pPr>
      <w:r>
        <w:rPr>
          <w:rFonts w:ascii="Courier New" w:cs="Courier New" w:eastAsia="Courier New" w:hAnsi="Courier New"/>
          <w:color w:val="1B2A4A"/>
          <w:sz w:val="16"/>
          <w:szCs w:val="16"/>
        </w:rPr>
        <w:t xml:space="preserve">    "meta": "GreyRadius helps corporate learning companies enter Southeast Asia with Singapore SkillsFuture SSG mapping, Indonesia Kartu Prakerja advisory, Malaysia HRDF PSMB accreditation, and GTM strategy.",</w:t>
      </w:r>
    </w:p>
    <w:p>
      <w:pPr>
        <w:shd w:fill="F0F0F0" w:val="clear"/>
        <w:spacing w:after="14" w:before="14"/>
        <w:ind w:left="360"/>
      </w:pPr>
      <w:r>
        <w:rPr>
          <w:rFonts w:ascii="Courier New" w:cs="Courier New" w:eastAsia="Courier New" w:hAnsi="Courier New"/>
          <w:color w:val="1B2A4A"/>
          <w:sz w:val="16"/>
          <w:szCs w:val="16"/>
        </w:rPr>
        <w:t xml:space="preserve">    "h1": "Southeast Asia corporate learning and L&amp;D market entry strategy",</w:t>
      </w:r>
    </w:p>
    <w:p>
      <w:pPr>
        <w:shd w:fill="F0F0F0" w:val="clear"/>
        <w:spacing w:after="14" w:before="14"/>
        <w:ind w:left="360"/>
      </w:pPr>
      <w:r>
        <w:rPr>
          <w:rFonts w:ascii="Courier New" w:cs="Courier New" w:eastAsia="Courier New" w:hAnsi="Courier New"/>
          <w:color w:val="1B2A4A"/>
          <w:sz w:val="16"/>
          <w:szCs w:val="16"/>
        </w:rPr>
        <w:t xml:space="preserve">    "tagline": "From learning platform to Southeast Asian enterprise workforce — strategy for corporate learning companies entering ASEAN.",</w:t>
      </w:r>
    </w:p>
    <w:p>
      <w:pPr>
        <w:shd w:fill="F0F0F0" w:val="clear"/>
        <w:spacing w:after="14" w:before="14"/>
        <w:ind w:left="360"/>
      </w:pPr>
      <w:r>
        <w:rPr>
          <w:rFonts w:ascii="Courier New" w:cs="Courier New" w:eastAsia="Courier New" w:hAnsi="Courier New"/>
          <w:color w:val="1B2A4A"/>
          <w:sz w:val="16"/>
          <w:szCs w:val="16"/>
        </w:rPr>
        <w:t xml:space="preserve">    "hero": "Southeast Asia's corporate learning market is growing at extraordinary pace — with Singapore's SkillsFuture programme creating one of the world's most generous worker training subsidy systems, Indonesia's Pre-Employment Card creating government-funded digital skills training demand, Malaysia's HRDF creating mandatory enterprise L&amp;D spending, and Southeast Asia's rapidly digitalising corporate workforce requiring continuous learning. International corporate learning companies across LMS platforms, digital skills training, professional development, and leadership programmes are all evaluating Southeast Asia as a high-growth L&amp;D market. GreyRadius helps L&amp;D companies validate ASEAN enterprise demand, navigate SkillsFuture and HRDF programme access, identify content localisation requirements, and execute GTM.",</w:t>
      </w:r>
    </w:p>
    <w:p>
      <w:pPr>
        <w:shd w:fill="F0F0F0" w:val="clear"/>
        <w:spacing w:after="14" w:before="14"/>
        <w:ind w:left="360"/>
      </w:pPr>
      <w:r>
        <w:rPr>
          <w:rFonts w:ascii="Courier New" w:cs="Courier New" w:eastAsia="Courier New" w:hAnsi="Courier New"/>
          <w:color w:val="1B2A4A"/>
          <w:sz w:val="16"/>
          <w:szCs w:val="16"/>
        </w:rPr>
        <w:t xml:space="preserve">    "market_timing": "Singapore's SkillsFuture Enterprise Credit is creating a B2B corporate L&amp;D subsidy that international training providers can access — Singapore employers receive SkillsFuture Enterprise Credits that can be used on approved training programmes, creating government-funded demand for enterprise digital skills training. International L&amp;D companies with SkillsFuture-approved programme status access enterprise training budgets that are government-supported rather than purely discretionary.",</w:t>
      </w:r>
    </w:p>
    <w:p>
      <w:pPr>
        <w:shd w:fill="F0F0F0" w:val="clear"/>
        <w:spacing w:after="14" w:before="14"/>
        <w:ind w:left="360"/>
      </w:pPr>
      <w:r>
        <w:rPr>
          <w:rFonts w:ascii="Courier New" w:cs="Courier New" w:eastAsia="Courier New" w:hAnsi="Courier New"/>
          <w:color w:val="1B2A4A"/>
          <w:sz w:val="16"/>
          <w:szCs w:val="16"/>
        </w:rPr>
        <w:t xml:space="preserve">    "insights": [</w:t>
      </w:r>
    </w:p>
    <w:p>
      <w:pPr>
        <w:shd w:fill="F0F0F0" w:val="clear"/>
        <w:spacing w:after="14" w:before="14"/>
        <w:ind w:left="360"/>
      </w:pPr>
      <w:r>
        <w:rPr>
          <w:rFonts w:ascii="Courier New" w:cs="Courier New" w:eastAsia="Courier New" w:hAnsi="Courier New"/>
          <w:color w:val="1B2A4A"/>
          <w:sz w:val="16"/>
          <w:szCs w:val="16"/>
        </w:rPr>
        <w:t xml:space="preserve">      "Southeast Asia corporate learning market is projected to reach $5B by 2028 — growing at 18% annually as government training subsidies, enterprise digital transformation, and skills development investment all scale.",</w:t>
      </w:r>
    </w:p>
    <w:p>
      <w:pPr>
        <w:shd w:fill="F0F0F0" w:val="clear"/>
        <w:spacing w:after="14" w:before="14"/>
        <w:ind w:left="360"/>
      </w:pPr>
      <w:r>
        <w:rPr>
          <w:rFonts w:ascii="Courier New" w:cs="Courier New" w:eastAsia="Courier New" w:hAnsi="Courier New"/>
          <w:color w:val="1B2A4A"/>
          <w:sz w:val="16"/>
          <w:szCs w:val="16"/>
        </w:rPr>
        <w:t xml:space="preserve">      "Singapore's SkillsFuture has created the world's most comprehensive worker training subsidy — every Singapore citizen and PR has S$500+ in SkillsFuture credit plus enterprise subsidies creating funded L&amp;D demand.",</w:t>
      </w:r>
    </w:p>
    <w:p>
      <w:pPr>
        <w:shd w:fill="F0F0F0" w:val="clear"/>
        <w:spacing w:after="14" w:before="14"/>
        <w:ind w:left="360"/>
      </w:pPr>
      <w:r>
        <w:rPr>
          <w:rFonts w:ascii="Courier New" w:cs="Courier New" w:eastAsia="Courier New" w:hAnsi="Courier New"/>
          <w:color w:val="1B2A4A"/>
          <w:sz w:val="16"/>
          <w:szCs w:val="16"/>
        </w:rPr>
        <w:t xml:space="preserve">      "Indonesia's Kartu Prakerja (Pre-Employment Card) is creating mass digital skills training demand — government-funded online training programme with 16 million+ participants creating volume L&amp;D market.",</w:t>
      </w:r>
    </w:p>
    <w:p>
      <w:pPr>
        <w:shd w:fill="F0F0F0" w:val="clear"/>
        <w:spacing w:after="14" w:before="14"/>
        <w:ind w:left="360"/>
      </w:pPr>
      <w:r>
        <w:rPr>
          <w:rFonts w:ascii="Courier New" w:cs="Courier New" w:eastAsia="Courier New" w:hAnsi="Courier New"/>
          <w:color w:val="1B2A4A"/>
          <w:sz w:val="16"/>
          <w:szCs w:val="16"/>
        </w:rPr>
        <w:t xml:space="preserve">      "Malaysia's HRDF provides employer levy-funded training — 1% payroll levy creating mandatory enterprise L&amp;D spending accessible through PSMB-accredited training providers."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"challenges_market": [</w:t>
      </w:r>
    </w:p>
    <w:p>
      <w:pPr>
        <w:shd w:fill="F0F0F0" w:val="clear"/>
        <w:spacing w:after="14" w:before="14"/>
        <w:ind w:left="360"/>
      </w:pPr>
      <w:r>
        <w:rPr>
          <w:rFonts w:ascii="Courier New" w:cs="Courier New" w:eastAsia="Courier New" w:hAnsi="Courier New"/>
          <w:color w:val="1B2A4A"/>
          <w:sz w:val="16"/>
          <w:szCs w:val="16"/>
        </w:rPr>
        <w:t xml:space="preserve">      "SkillsFuture programme approval requires SSG (SkillsFuture Singapore) course recognition — approved training providers gain access to SkillsFuture funding requiring course quality assessment.",</w:t>
      </w:r>
    </w:p>
    <w:p>
      <w:pPr>
        <w:shd w:fill="F0F0F0" w:val="clear"/>
        <w:spacing w:after="14" w:before="14"/>
        <w:ind w:left="360"/>
      </w:pPr>
      <w:r>
        <w:rPr>
          <w:rFonts w:ascii="Courier New" w:cs="Courier New" w:eastAsia="Courier New" w:hAnsi="Courier New"/>
          <w:color w:val="1B2A4A"/>
          <w:sz w:val="16"/>
          <w:szCs w:val="16"/>
        </w:rPr>
        <w:t xml:space="preserve">      "HRDF Malaysia accreditation (PSMB-registered) is required for SDL-funded training — international L&amp;D companies must register with PSMB before accessing Malaysian employer training levy funding.",</w:t>
      </w:r>
    </w:p>
    <w:p>
      <w:pPr>
        <w:shd w:fill="F0F0F0" w:val="clear"/>
        <w:spacing w:after="14" w:before="14"/>
        <w:ind w:left="360"/>
      </w:pPr>
      <w:r>
        <w:rPr>
          <w:rFonts w:ascii="Courier New" w:cs="Courier New" w:eastAsia="Courier New" w:hAnsi="Courier New"/>
          <w:color w:val="1B2A4A"/>
          <w:sz w:val="16"/>
          <w:szCs w:val="16"/>
        </w:rPr>
        <w:t xml:space="preserve">      "Language localisation requirements vary across ASEAN — Bahasa Indonesia, Bahasa Malaysia, Thai, and Vietnamese all required for non-English speaker training markets.",</w:t>
      </w:r>
    </w:p>
    <w:p>
      <w:pPr>
        <w:shd w:fill="F0F0F0" w:val="clear"/>
        <w:spacing w:after="14" w:before="14"/>
        <w:ind w:left="360"/>
      </w:pPr>
      <w:r>
        <w:rPr>
          <w:rFonts w:ascii="Courier New" w:cs="Courier New" w:eastAsia="Courier New" w:hAnsi="Courier New"/>
          <w:color w:val="1B2A4A"/>
          <w:sz w:val="16"/>
          <w:szCs w:val="16"/>
        </w:rPr>
        <w:t xml:space="preserve">      "Competition from established Southeast Asian L&amp;D providers — Coursera for Business SEA, LinkedIn Learning — with existing enterprise relationships is intense."</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"challenges_we_solve": [</w:t>
      </w:r>
    </w:p>
    <w:p>
      <w:pPr>
        <w:shd w:fill="F0F0F0" w:val="clear"/>
        <w:spacing w:after="14" w:before="14"/>
        <w:ind w:left="360"/>
      </w:pPr>
      <w:r>
        <w:rPr>
          <w:rFonts w:ascii="Courier New" w:cs="Courier New" w:eastAsia="Courier New" w:hAnsi="Courier New"/>
          <w:color w:val="1B2A4A"/>
          <w:sz w:val="16"/>
          <w:szCs w:val="16"/>
        </w:rPr>
        <w:t xml:space="preserve">      "Southeast Asia corporate learning demand validation|You need to validate ASEAN enterprise HR and L&amp;D buyer demand and understand SkillsFuture and HRDF programme access requirements.",</w:t>
      </w:r>
    </w:p>
    <w:p>
      <w:pPr>
        <w:shd w:fill="F0F0F0" w:val="clear"/>
        <w:spacing w:after="14" w:before="14"/>
        <w:ind w:left="360"/>
      </w:pPr>
      <w:r>
        <w:rPr>
          <w:rFonts w:ascii="Courier New" w:cs="Courier New" w:eastAsia="Courier New" w:hAnsi="Courier New"/>
          <w:color w:val="1B2A4A"/>
          <w:sz w:val="16"/>
          <w:szCs w:val="16"/>
        </w:rPr>
        <w:t xml:space="preserve">      "SkillsFuture SSG and HRDF PSMB programme access|You need to understand Singapore SSG course recognition, Malaysia PSMB accreditation, and Indonesia Kartu Prakerja platform integration.",</w:t>
      </w:r>
    </w:p>
    <w:p>
      <w:pPr>
        <w:shd w:fill="F0F0F0" w:val="clear"/>
        <w:spacing w:after="14" w:before="14"/>
        <w:ind w:left="360"/>
      </w:pPr>
      <w:r>
        <w:rPr>
          <w:rFonts w:ascii="Courier New" w:cs="Courier New" w:eastAsia="Courier New" w:hAnsi="Courier New"/>
          <w:color w:val="1B2A4A"/>
          <w:sz w:val="16"/>
          <w:szCs w:val="16"/>
        </w:rPr>
        <w:t xml:space="preserve">      "Southeast Asia corporate learning partner identification|You need HR consulting firms, SkillsFuture-approved training providers, and HRDF-registered delivery partners.",</w:t>
      </w:r>
    </w:p>
    <w:p>
      <w:pPr>
        <w:shd w:fill="F0F0F0" w:val="clear"/>
        <w:spacing w:after="14" w:before="14"/>
        <w:ind w:left="360"/>
      </w:pPr>
      <w:r>
        <w:rPr>
          <w:rFonts w:ascii="Courier New" w:cs="Courier New" w:eastAsia="Courier New" w:hAnsi="Courier New"/>
          <w:color w:val="1B2A4A"/>
          <w:sz w:val="16"/>
          <w:szCs w:val="16"/>
        </w:rPr>
        <w:t xml:space="preserve">      "Southeast Asia corporate learning GTM strategy|You need a Singapore-first SkillsFuture positioning or Indonesia-first Kartu Prakerja volume strategy for ASEAN L&amp;D entry.",</w:t>
      </w:r>
    </w:p>
    <w:p>
      <w:pPr>
        <w:shd w:fill="F0F0F0" w:val="clear"/>
        <w:spacing w:after="14" w:before="14"/>
        <w:ind w:left="360"/>
      </w:pPr>
      <w:r>
        <w:rPr>
          <w:rFonts w:ascii="Courier New" w:cs="Courier New" w:eastAsia="Courier New" w:hAnsi="Courier New"/>
          <w:color w:val="1B2A4A"/>
          <w:sz w:val="16"/>
          <w:szCs w:val="16"/>
        </w:rPr>
        <w:t xml:space="preserve">      "Raising capital for Southeast Asia corporate learning investment|You need a pitch book grounded in ASEAN L&amp;D market data and government training subsidy analysis.",</w:t>
      </w:r>
    </w:p>
    <w:p>
      <w:pPr>
        <w:shd w:fill="F0F0F0" w:val="clear"/>
        <w:spacing w:after="14" w:before="14"/>
        <w:ind w:left="360"/>
      </w:pPr>
      <w:r>
        <w:rPr>
          <w:rFonts w:ascii="Courier New" w:cs="Courier New" w:eastAsia="Courier New" w:hAnsi="Courier New"/>
          <w:color w:val="1B2A4A"/>
          <w:sz w:val="16"/>
          <w:szCs w:val="16"/>
        </w:rPr>
        <w:t xml:space="preserve">      "Localisation strategy|You need a Bahasa Indonesia, Bahasa Malaysia, and Thai content localisation roadmap for ASEAN L&amp;D expansion."</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"service_angles": [</w:t>
      </w:r>
    </w:p>
    <w:p>
      <w:pPr>
        <w:shd w:fill="F0F0F0" w:val="clear"/>
        <w:spacing w:after="14" w:before="14"/>
        <w:ind w:left="360"/>
      </w:pPr>
      <w:r>
        <w:rPr>
          <w:rFonts w:ascii="Courier New" w:cs="Courier New" w:eastAsia="Courier New" w:hAnsi="Courier New"/>
          <w:color w:val="1B2A4A"/>
          <w:sz w:val="16"/>
          <w:szCs w:val="16"/>
        </w:rPr>
        <w:t xml:space="preserve">      "Validate Southeast Asian enterprise HR and L&amp;D demand with CHRO interviews and SkillsFuture regulatory mapping.",</w:t>
      </w:r>
    </w:p>
    <w:p>
      <w:pPr>
        <w:shd w:fill="F0F0F0" w:val="clear"/>
        <w:spacing w:after="14" w:before="14"/>
        <w:ind w:left="360"/>
      </w:pPr>
      <w:r>
        <w:rPr>
          <w:rFonts w:ascii="Courier New" w:cs="Courier New" w:eastAsia="Courier New" w:hAnsi="Courier New"/>
          <w:color w:val="1B2A4A"/>
          <w:sz w:val="16"/>
          <w:szCs w:val="16"/>
        </w:rPr>
        <w:t xml:space="preserve">      "Full financial feasibility for Southeast Asia corporate learning investment covering SSG accreditation cost and enterprise sales economics.",</w:t>
      </w:r>
    </w:p>
    <w:p>
      <w:pPr>
        <w:shd w:fill="F0F0F0" w:val="clear"/>
        <w:spacing w:after="14" w:before="14"/>
        <w:ind w:left="360"/>
      </w:pPr>
      <w:r>
        <w:rPr>
          <w:rFonts w:ascii="Courier New" w:cs="Courier New" w:eastAsia="Courier New" w:hAnsi="Courier New"/>
          <w:color w:val="1B2A4A"/>
          <w:sz w:val="16"/>
          <w:szCs w:val="16"/>
        </w:rPr>
        <w:t xml:space="preserve">      "End-to-end Southeast Asia corporate learning market entry including SkillsFuture pathway, enterprise L&amp;D partner identification, and first-programme-delivery milestone.",</w:t>
      </w:r>
    </w:p>
    <w:p>
      <w:pPr>
        <w:shd w:fill="F0F0F0" w:val="clear"/>
        <w:spacing w:after="14" w:before="14"/>
        <w:ind w:left="360"/>
      </w:pPr>
      <w:r>
        <w:rPr>
          <w:rFonts w:ascii="Courier New" w:cs="Courier New" w:eastAsia="Courier New" w:hAnsi="Courier New"/>
          <w:color w:val="1B2A4A"/>
          <w:sz w:val="16"/>
          <w:szCs w:val="16"/>
        </w:rPr>
        <w:t xml:space="preserve">      "Embedded Southeast Asia corporate learning GTM team covering enterprise L&amp;D and government programme outreach.",</w:t>
      </w:r>
    </w:p>
    <w:p>
      <w:pPr>
        <w:shd w:fill="F0F0F0" w:val="clear"/>
        <w:spacing w:after="14" w:before="14"/>
        <w:ind w:left="360"/>
      </w:pPr>
      <w:r>
        <w:rPr>
          <w:rFonts w:ascii="Courier New" w:cs="Courier New" w:eastAsia="Courier New" w:hAnsi="Courier New"/>
          <w:color w:val="1B2A4A"/>
          <w:sz w:val="16"/>
          <w:szCs w:val="16"/>
        </w:rPr>
        <w:t xml:space="preserve">      "Investor-ready pitch books for Southeast Asia corporate learning investment with SkillsFuture subsidy and enterprise digital skills narrative.",</w:t>
      </w:r>
    </w:p>
    <w:p>
      <w:pPr>
        <w:shd w:fill="F0F0F0" w:val="clear"/>
        <w:spacing w:after="14" w:before="14"/>
        <w:ind w:left="360"/>
      </w:pPr>
      <w:r>
        <w:rPr>
          <w:rFonts w:ascii="Courier New" w:cs="Courier New" w:eastAsia="Courier New" w:hAnsi="Courier New"/>
          <w:color w:val="1B2A4A"/>
          <w:sz w:val="16"/>
          <w:szCs w:val="16"/>
        </w:rPr>
        <w:t xml:space="preserve">      "AI use-case identification — from Bahasa Indonesia AI tutoring to Southeast Asian workforce skills gap prediction."</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"faq": [</w:t>
      </w:r>
    </w:p>
    <w:p>
      <w:pPr>
        <w:shd w:fill="F0F0F0" w:val="clear"/>
        <w:spacing w:after="14" w:before="14"/>
        <w:ind w:left="360"/>
      </w:pPr>
      <w:r>
        <w:rPr>
          <w:rFonts w:ascii="Courier New" w:cs="Courier New" w:eastAsia="Courier New" w:hAnsi="Courier New"/>
          <w:color w:val="1B2A4A"/>
          <w:sz w:val="16"/>
          <w:szCs w:val="16"/>
        </w:rPr>
        <w:t xml:space="preserve">      "Does GreyRadius work with LMS companies or also with professional certification, digital skills, and leadership development companies entering Southeast Asia?|All corporate learning categories.",</w:t>
      </w:r>
    </w:p>
    <w:p>
      <w:pPr>
        <w:shd w:fill="F0F0F0" w:val="clear"/>
        <w:spacing w:after="14" w:before="14"/>
        <w:ind w:left="360"/>
      </w:pPr>
      <w:r>
        <w:rPr>
          <w:rFonts w:ascii="Courier New" w:cs="Courier New" w:eastAsia="Courier New" w:hAnsi="Courier New"/>
          <w:color w:val="1B2A4A"/>
          <w:sz w:val="16"/>
          <w:szCs w:val="16"/>
        </w:rPr>
        <w:t xml:space="preserve">      "Which Southeast Asian L&amp;D market should companies enter first?|Singapore for SkillsFuture subsidy infrastructure and highest corporate L&amp;D spending; Indonesia for Kartu Prakerja volume market.",</w:t>
      </w:r>
    </w:p>
    <w:p>
      <w:pPr>
        <w:shd w:fill="F0F0F0" w:val="clear"/>
        <w:spacing w:after="14" w:before="14"/>
        <w:ind w:left="360"/>
      </w:pPr>
      <w:r>
        <w:rPr>
          <w:rFonts w:ascii="Courier New" w:cs="Courier New" w:eastAsia="Courier New" w:hAnsi="Courier New"/>
          <w:color w:val="1B2A4A"/>
          <w:sz w:val="16"/>
          <w:szCs w:val="16"/>
        </w:rPr>
        <w:t xml:space="preserve">      "How long does a Southeast Asia corporate learning engagement take?|Typically 8-10 weeks for enterprise demand research, SkillsFuture programme mapping, and partner identification.",</w:t>
      </w:r>
    </w:p>
    <w:p>
      <w:pPr>
        <w:shd w:fill="F0F0F0" w:val="clear"/>
        <w:spacing w:after="14" w:before="14"/>
        <w:ind w:left="360"/>
      </w:pPr>
      <w:r>
        <w:rPr>
          <w:rFonts w:ascii="Courier New" w:cs="Courier New" w:eastAsia="Courier New" w:hAnsi="Courier New"/>
          <w:color w:val="1B2A4A"/>
          <w:sz w:val="16"/>
          <w:szCs w:val="16"/>
        </w:rPr>
        <w:t xml:space="preserve">      "Can GreyRadius identify SSG SkillsFuture course recognition contacts?|Yes."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"keywords": "Southeast Asia corporate learning market entry, Singapore SkillsFuture consulting, Indonesia Kartu Prakerja L&amp;D advisory, Malaysia HRDF PSMB training GTM, ASEAN workforce development market entry",</w:t>
      </w:r>
    </w:p>
    <w:p>
      <w:pPr>
        <w:shd w:fill="F0F0F0" w:val="clear"/>
        <w:spacing w:after="14" w:before="14"/>
        <w:ind w:left="360"/>
      </w:pPr>
      <w:r>
        <w:rPr>
          <w:rFonts w:ascii="Courier New" w:cs="Courier New" w:eastAsia="Courier New" w:hAnsi="Courier New"/>
          <w:color w:val="1B2A4A"/>
          <w:sz w:val="16"/>
          <w:szCs w:val="16"/>
        </w:rPr>
        <w:t xml:space="preserve">    "regions": "Singapore — SSG SkillsFuture approved training; Indonesia — Kartu Prakerja digital training platform; Malaysia — PSMB HRDF-accredited enterprise L&amp;D",</w:t>
      </w:r>
    </w:p>
    <w:p>
      <w:pPr>
        <w:shd w:fill="F0F0F0" w:val="clear"/>
        <w:spacing w:after="14" w:before="14"/>
        <w:ind w:left="360"/>
      </w:pPr>
      <w:r>
        <w:rPr>
          <w:rFonts w:ascii="Courier New" w:cs="Courier New" w:eastAsia="Courier New" w:hAnsi="Courier New"/>
          <w:color w:val="1B2A4A"/>
          <w:sz w:val="16"/>
          <w:szCs w:val="16"/>
        </w:rPr>
        <w:t xml:space="preserve">    "stat1n": "$5B",</w:t>
      </w:r>
    </w:p>
    <w:p>
      <w:pPr>
        <w:shd w:fill="F0F0F0" w:val="clear"/>
        <w:spacing w:after="14" w:before="14"/>
        <w:ind w:left="360"/>
      </w:pPr>
      <w:r>
        <w:rPr>
          <w:rFonts w:ascii="Courier New" w:cs="Courier New" w:eastAsia="Courier New" w:hAnsi="Courier New"/>
          <w:color w:val="1B2A4A"/>
          <w:sz w:val="16"/>
          <w:szCs w:val="16"/>
        </w:rPr>
        <w:t xml:space="preserve">    "stat1l": "Southeast Asia corporate learning market by 2028",</w:t>
      </w:r>
    </w:p>
    <w:p>
      <w:pPr>
        <w:shd w:fill="F0F0F0" w:val="clear"/>
        <w:spacing w:after="14" w:before="14"/>
        <w:ind w:left="360"/>
      </w:pPr>
      <w:r>
        <w:rPr>
          <w:rFonts w:ascii="Courier New" w:cs="Courier New" w:eastAsia="Courier New" w:hAnsi="Courier New"/>
          <w:color w:val="1B2A4A"/>
          <w:sz w:val="16"/>
          <w:szCs w:val="16"/>
        </w:rPr>
        <w:t xml:space="preserve">    "stat1b": "SkillsFuture subsidies, enterprise digital transformation, and government training investment driving 18% annual ASEAN L&amp;D growth.",</w:t>
      </w:r>
    </w:p>
    <w:p>
      <w:pPr>
        <w:shd w:fill="F0F0F0" w:val="clear"/>
        <w:spacing w:after="14" w:before="14"/>
        <w:ind w:left="360"/>
      </w:pPr>
      <w:r>
        <w:rPr>
          <w:rFonts w:ascii="Courier New" w:cs="Courier New" w:eastAsia="Courier New" w:hAnsi="Courier New"/>
          <w:color w:val="1B2A4A"/>
          <w:sz w:val="16"/>
          <w:szCs w:val="16"/>
        </w:rPr>
        <w:t xml:space="preserve">    "stat2n": "30+",</w:t>
      </w:r>
    </w:p>
    <w:p>
      <w:pPr>
        <w:shd w:fill="F0F0F0" w:val="clear"/>
        <w:spacing w:after="14" w:before="14"/>
        <w:ind w:left="360"/>
      </w:pPr>
      <w:r>
        <w:rPr>
          <w:rFonts w:ascii="Courier New" w:cs="Courier New" w:eastAsia="Courier New" w:hAnsi="Courier New"/>
          <w:color w:val="1B2A4A"/>
          <w:sz w:val="16"/>
          <w:szCs w:val="16"/>
        </w:rPr>
        <w:t xml:space="preserve">    "stat2l": "Primary interviews per Southeast Asia L&amp;D mandate",</w:t>
      </w:r>
    </w:p>
    <w:p>
      <w:pPr>
        <w:shd w:fill="F0F0F0" w:val="clear"/>
        <w:spacing w:after="14" w:before="14"/>
        <w:ind w:left="360"/>
      </w:pPr>
      <w:r>
        <w:rPr>
          <w:rFonts w:ascii="Courier New" w:cs="Courier New" w:eastAsia="Courier New" w:hAnsi="Courier New"/>
          <w:color w:val="1B2A4A"/>
          <w:sz w:val="16"/>
          <w:szCs w:val="16"/>
        </w:rPr>
        <w:t xml:space="preserve">    "stat2b": "ASEAN CHROs, SSG programme officials, and HRDF contacts — every engagement grounded in direct primary research.",</w:t>
      </w:r>
    </w:p>
    <w:p>
      <w:pPr>
        <w:shd w:fill="F0F0F0" w:val="clear"/>
        <w:spacing w:after="14" w:before="14"/>
        <w:ind w:left="360"/>
      </w:pPr>
      <w:r>
        <w:rPr>
          <w:rFonts w:ascii="Courier New" w:cs="Courier New" w:eastAsia="Courier New" w:hAnsi="Courier New"/>
          <w:color w:val="1B2A4A"/>
          <w:sz w:val="16"/>
          <w:szCs w:val="16"/>
        </w:rPr>
        <w:t xml:space="preserve">    "stat3n": "8 weeks",</w:t>
      </w:r>
    </w:p>
    <w:p>
      <w:pPr>
        <w:shd w:fill="F0F0F0" w:val="clear"/>
        <w:spacing w:after="14" w:before="14"/>
        <w:ind w:left="360"/>
      </w:pPr>
      <w:r>
        <w:rPr>
          <w:rFonts w:ascii="Courier New" w:cs="Courier New" w:eastAsia="Courier New" w:hAnsi="Courier New"/>
          <w:color w:val="1B2A4A"/>
          <w:sz w:val="16"/>
          <w:szCs w:val="16"/>
        </w:rPr>
        <w:t xml:space="preserve">    "stat3l": "Southeast Asia corporate learning market entry strategy",</w:t>
      </w:r>
    </w:p>
    <w:p>
      <w:pPr>
        <w:shd w:fill="F0F0F0" w:val="clear"/>
        <w:spacing w:after="14" w:before="14"/>
        <w:ind w:left="360"/>
      </w:pPr>
      <w:r>
        <w:rPr>
          <w:rFonts w:ascii="Courier New" w:cs="Courier New" w:eastAsia="Courier New" w:hAnsi="Courier New"/>
          <w:color w:val="1B2A4A"/>
          <w:sz w:val="16"/>
          <w:szCs w:val="16"/>
        </w:rPr>
        <w:t xml:space="preserve">    "stat3b": "AI-augmented SkillsFuture programme mapping and enterprise demand research delivers Southeast Asia L&amp;D strategies efficiently."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"slug": "africa-gaming",</w:t>
      </w:r>
    </w:p>
    <w:p>
      <w:pPr>
        <w:shd w:fill="F0F0F0" w:val="clear"/>
        <w:spacing w:after="14" w:before="14"/>
        <w:ind w:left="360"/>
      </w:pPr>
      <w:r>
        <w:rPr>
          <w:rFonts w:ascii="Courier New" w:cs="Courier New" w:eastAsia="Courier New" w:hAnsi="Courier New"/>
          <w:color w:val="1B2A4A"/>
          <w:sz w:val="16"/>
          <w:szCs w:val="16"/>
        </w:rPr>
        <w:t xml:space="preserve">    "parent": "gaming",</w:t>
      </w:r>
    </w:p>
    <w:p>
      <w:pPr>
        <w:shd w:fill="F0F0F0" w:val="clear"/>
        <w:spacing w:after="14" w:before="14"/>
        <w:ind w:left="360"/>
      </w:pPr>
      <w:r>
        <w:rPr>
          <w:rFonts w:ascii="Courier New" w:cs="Courier New" w:eastAsia="Courier New" w:hAnsi="Courier New"/>
          <w:color w:val="1B2A4A"/>
          <w:sz w:val="16"/>
          <w:szCs w:val="16"/>
        </w:rPr>
        <w:t xml:space="preserve">    "title": "Africa Gaming Market Entry Strategy | GreyRadius Consulting",</w:t>
      </w:r>
    </w:p>
    <w:p>
      <w:pPr>
        <w:shd w:fill="F0F0F0" w:val="clear"/>
        <w:spacing w:after="14" w:before="14"/>
        <w:ind w:left="360"/>
      </w:pPr>
      <w:r>
        <w:rPr>
          <w:rFonts w:ascii="Courier New" w:cs="Courier New" w:eastAsia="Courier New" w:hAnsi="Courier New"/>
          <w:color w:val="1B2A4A"/>
          <w:sz w:val="16"/>
          <w:szCs w:val="16"/>
        </w:rPr>
        <w:t xml:space="preserve">    "meta": "GreyRadius helps gaming companies enter Africa with market entry strategy, Nigeria NLRC and South Africa NGB regulatory mapping, mobile money payment integration, and publisher identification.",</w:t>
      </w:r>
    </w:p>
    <w:p>
      <w:pPr>
        <w:shd w:fill="F0F0F0" w:val="clear"/>
        <w:spacing w:after="14" w:before="14"/>
        <w:ind w:left="360"/>
      </w:pPr>
      <w:r>
        <w:rPr>
          <w:rFonts w:ascii="Courier New" w:cs="Courier New" w:eastAsia="Courier New" w:hAnsi="Courier New"/>
          <w:color w:val="1B2A4A"/>
          <w:sz w:val="16"/>
          <w:szCs w:val="16"/>
        </w:rPr>
        <w:t xml:space="preserve">    "h1": "Africa gaming market entry strategy",</w:t>
      </w:r>
    </w:p>
    <w:p>
      <w:pPr>
        <w:shd w:fill="F0F0F0" w:val="clear"/>
        <w:spacing w:after="14" w:before="14"/>
        <w:ind w:left="360"/>
      </w:pPr>
      <w:r>
        <w:rPr>
          <w:rFonts w:ascii="Courier New" w:cs="Courier New" w:eastAsia="Courier New" w:hAnsi="Courier New"/>
          <w:color w:val="1B2A4A"/>
          <w:sz w:val="16"/>
          <w:szCs w:val="16"/>
        </w:rPr>
        <w:t xml:space="preserve">    "tagline": "From international gaming title to African player — strategy for gaming companies entering Africa.",</w:t>
      </w:r>
    </w:p>
    <w:p>
      <w:pPr>
        <w:shd w:fill="F0F0F0" w:val="clear"/>
        <w:spacing w:after="14" w:before="14"/>
        <w:ind w:left="360"/>
      </w:pPr>
      <w:r>
        <w:rPr>
          <w:rFonts w:ascii="Courier New" w:cs="Courier New" w:eastAsia="Courier New" w:hAnsi="Courier New"/>
          <w:color w:val="1B2A4A"/>
          <w:sz w:val="16"/>
          <w:szCs w:val="16"/>
        </w:rPr>
        <w:t xml:space="preserve">    "hero": "Africa's gaming market is one of the world's fastest-growing — with Africa's young population (60%+ under 25) creating the world's most gaming-oriented demographic, mobile gaming growing at 15% annually as smartphone penetration increases, South Africa's sophisticated gaming ecosystem and ICASA-regulated gaming environment, Nigeria's 85 million internet users creating the largest African gaming market, and mobile money enabling in-game payment without credit cards. International gaming companies across mobile gaming, e-sports, and gaming technology are all evaluating Africa as a priority gaming market. GreyRadius helps gaming companies validate African player demand, navigate country-specific regulations, identify publisher and distribution partners, and execute GTM.",</w:t>
      </w:r>
    </w:p>
    <w:p>
      <w:pPr>
        <w:shd w:fill="F0F0F0" w:val="clear"/>
        <w:spacing w:after="14" w:before="14"/>
        <w:ind w:left="360"/>
      </w:pPr>
      <w:r>
        <w:rPr>
          <w:rFonts w:ascii="Courier New" w:cs="Courier New" w:eastAsia="Courier New" w:hAnsi="Courier New"/>
          <w:color w:val="1B2A4A"/>
          <w:sz w:val="16"/>
          <w:szCs w:val="16"/>
        </w:rPr>
        <w:t xml:space="preserve">    "market_timing": "Africa's gaming market is at a mobile monetisation inflection — M-Pesa in Kenya, MTN Mobile Money in Nigeria and West Africa, and Vodacom in South Africa are all enabling in-app purchases without credit cards. Gaming companies that integrate African mobile money in 2024-2026 will unlock payment infrastructure that makes African gaming monetisation viable at a scale that credit-card-only models could not reach.",</w:t>
      </w:r>
    </w:p>
    <w:p>
      <w:pPr>
        <w:shd w:fill="F0F0F0" w:val="clear"/>
        <w:spacing w:after="14" w:before="14"/>
        <w:ind w:left="360"/>
      </w:pPr>
      <w:r>
        <w:rPr>
          <w:rFonts w:ascii="Courier New" w:cs="Courier New" w:eastAsia="Courier New" w:hAnsi="Courier New"/>
          <w:color w:val="1B2A4A"/>
          <w:sz w:val="16"/>
          <w:szCs w:val="16"/>
        </w:rPr>
        <w:t xml:space="preserve">    "insights": [</w:t>
      </w:r>
    </w:p>
    <w:p>
      <w:pPr>
        <w:shd w:fill="F0F0F0" w:val="clear"/>
        <w:spacing w:after="14" w:before="14"/>
        <w:ind w:left="360"/>
      </w:pPr>
      <w:r>
        <w:rPr>
          <w:rFonts w:ascii="Courier New" w:cs="Courier New" w:eastAsia="Courier New" w:hAnsi="Courier New"/>
          <w:color w:val="1B2A4A"/>
          <w:sz w:val="16"/>
          <w:szCs w:val="16"/>
        </w:rPr>
        <w:t xml:space="preserve">      "Africa's gaming market is projected to reach $1.5B by 2027 — growing at 15% annually as smartphone penetration, mobile money payment integration, and e-sports ecosystem development all scale.",</w:t>
      </w:r>
    </w:p>
    <w:p>
      <w:pPr>
        <w:shd w:fill="F0F0F0" w:val="clear"/>
        <w:spacing w:after="14" w:before="14"/>
        <w:ind w:left="360"/>
      </w:pPr>
      <w:r>
        <w:rPr>
          <w:rFonts w:ascii="Courier New" w:cs="Courier New" w:eastAsia="Courier New" w:hAnsi="Courier New"/>
          <w:color w:val="1B2A4A"/>
          <w:sz w:val="16"/>
          <w:szCs w:val="16"/>
        </w:rPr>
        <w:t xml:space="preserve">      "Nigeria is Africa's largest gaming market — 85 million internet users, a deeply gaming-oriented youth culture, and Lagos as Africa's gaming and e-sports hub.",</w:t>
      </w:r>
    </w:p>
    <w:p>
      <w:pPr>
        <w:shd w:fill="F0F0F0" w:val="clear"/>
        <w:spacing w:after="14" w:before="14"/>
        <w:ind w:left="360"/>
      </w:pPr>
      <w:r>
        <w:rPr>
          <w:rFonts w:ascii="Courier New" w:cs="Courier New" w:eastAsia="Courier New" w:hAnsi="Courier New"/>
          <w:color w:val="1B2A4A"/>
          <w:sz w:val="16"/>
          <w:szCs w:val="16"/>
        </w:rPr>
        <w:t xml:space="preserve">      "South Africa has Africa's most sophisticated gaming infrastructure — ICASA-regulated online gaming, established retail gaming distribution, and Africa's first professional e-sports league.",</w:t>
      </w:r>
    </w:p>
    <w:p>
      <w:pPr>
        <w:shd w:fill="F0F0F0" w:val="clear"/>
        <w:spacing w:after="14" w:before="14"/>
        <w:ind w:left="360"/>
      </w:pPr>
      <w:r>
        <w:rPr>
          <w:rFonts w:ascii="Courier New" w:cs="Courier New" w:eastAsia="Courier New" w:hAnsi="Courier New"/>
          <w:color w:val="1B2A4A"/>
          <w:sz w:val="16"/>
          <w:szCs w:val="16"/>
        </w:rPr>
        <w:t xml:space="preserve">      "Mobile money integration is the key to African gaming monetisation — MTN Mobile Money, M-Pesa, and Orange Money enabling frictionless in-game payment for African players without credit or debit cards."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"challenges_market": [</w:t>
      </w:r>
    </w:p>
    <w:p>
      <w:pPr>
        <w:shd w:fill="F0F0F0" w:val="clear"/>
        <w:spacing w:after="14" w:before="14"/>
        <w:ind w:left="360"/>
      </w:pPr>
      <w:r>
        <w:rPr>
          <w:rFonts w:ascii="Courier New" w:cs="Courier New" w:eastAsia="Courier New" w:hAnsi="Courier New"/>
          <w:color w:val="1B2A4A"/>
          <w:sz w:val="16"/>
          <w:szCs w:val="16"/>
        </w:rPr>
        <w:t xml:space="preserve">      "African gaming regulation varies by market — Nigeria's NLRC online gaming regulation, South Africa's NGB, and Kenya's Betting Control Board all have different gaming licensing requirements.",</w:t>
      </w:r>
    </w:p>
    <w:p>
      <w:pPr>
        <w:shd w:fill="F0F0F0" w:val="clear"/>
        <w:spacing w:after="14" w:before="14"/>
        <w:ind w:left="360"/>
      </w:pPr>
      <w:r>
        <w:rPr>
          <w:rFonts w:ascii="Courier New" w:cs="Courier New" w:eastAsia="Courier New" w:hAnsi="Courier New"/>
          <w:color w:val="1B2A4A"/>
          <w:sz w:val="16"/>
          <w:szCs w:val="16"/>
        </w:rPr>
        <w:t xml:space="preserve">      "African mobile data cost affects gaming product design — data-heavy games face adoption barriers in markets where mobile data is a significant consumer expense requiring data-lite game design.",</w:t>
      </w:r>
    </w:p>
    <w:p>
      <w:pPr>
        <w:shd w:fill="F0F0F0" w:val="clear"/>
        <w:spacing w:after="14" w:before="14"/>
        <w:ind w:left="360"/>
      </w:pPr>
      <w:r>
        <w:rPr>
          <w:rFonts w:ascii="Courier New" w:cs="Courier New" w:eastAsia="Courier New" w:hAnsi="Courier New"/>
          <w:color w:val="1B2A4A"/>
          <w:sz w:val="16"/>
          <w:szCs w:val="16"/>
        </w:rPr>
        <w:t xml:space="preserve">      "Competition from mobile gaming titles optimised for Africa — Carry1st and Maliyo Games with Africa-specific content and mobile money payment integration have established positions.",</w:t>
      </w:r>
    </w:p>
    <w:p>
      <w:pPr>
        <w:shd w:fill="F0F0F0" w:val="clear"/>
        <w:spacing w:after="14" w:before="14"/>
        <w:ind w:left="360"/>
      </w:pPr>
      <w:r>
        <w:rPr>
          <w:rFonts w:ascii="Courier New" w:cs="Courier New" w:eastAsia="Courier New" w:hAnsi="Courier New"/>
          <w:color w:val="1B2A4A"/>
          <w:sz w:val="16"/>
          <w:szCs w:val="16"/>
        </w:rPr>
        <w:t xml:space="preserve">      "Currency volatility affects in-game pricing — Nigerian Naira and other African currency depreciation creates pricing instability for in-game purchase economics."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"challenges_we_solve": [</w:t>
      </w:r>
    </w:p>
    <w:p>
      <w:pPr>
        <w:shd w:fill="F0F0F0" w:val="clear"/>
        <w:spacing w:after="14" w:before="14"/>
        <w:ind w:left="360"/>
      </w:pPr>
      <w:r>
        <w:rPr>
          <w:rFonts w:ascii="Courier New" w:cs="Courier New" w:eastAsia="Courier New" w:hAnsi="Courier New"/>
          <w:color w:val="1B2A4A"/>
          <w:sz w:val="16"/>
          <w:szCs w:val="16"/>
        </w:rPr>
        <w:t xml:space="preserve">      "Africa gaming demand validation|You need to validate African player demand for your game and understand country-specific gaming regulatory requirements.",</w:t>
      </w:r>
    </w:p>
    <w:p>
      <w:pPr>
        <w:shd w:fill="F0F0F0" w:val="clear"/>
        <w:spacing w:after="14" w:before="14"/>
        <w:ind w:left="360"/>
      </w:pPr>
      <w:r>
        <w:rPr>
          <w:rFonts w:ascii="Courier New" w:cs="Courier New" w:eastAsia="Courier New" w:hAnsi="Courier New"/>
          <w:color w:val="1B2A4A"/>
          <w:sz w:val="16"/>
          <w:szCs w:val="16"/>
        </w:rPr>
        <w:t xml:space="preserve">      "Africa gaming regulatory pathway|You need to understand Nigeria NLRC, South Africa NGB, and Kenya BCB gaming licensing requirements.",</w:t>
      </w:r>
    </w:p>
    <w:p>
      <w:pPr>
        <w:shd w:fill="F0F0F0" w:val="clear"/>
        <w:spacing w:after="14" w:before="14"/>
        <w:ind w:left="360"/>
      </w:pPr>
      <w:r>
        <w:rPr>
          <w:rFonts w:ascii="Courier New" w:cs="Courier New" w:eastAsia="Courier New" w:hAnsi="Courier New"/>
          <w:color w:val="1B2A4A"/>
          <w:sz w:val="16"/>
          <w:szCs w:val="16"/>
        </w:rPr>
        <w:t xml:space="preserve">      "Africa gaming publisher and mobile money partner identification|You need Africa-focused gaming publishers, Carry1st distribution partnership, and MTN Mobile Money and M-Pesa payment integration contacts.",</w:t>
      </w:r>
    </w:p>
    <w:p>
      <w:pPr>
        <w:shd w:fill="F0F0F0" w:val="clear"/>
        <w:spacing w:after="14" w:before="14"/>
        <w:ind w:left="360"/>
      </w:pPr>
      <w:r>
        <w:rPr>
          <w:rFonts w:ascii="Courier New" w:cs="Courier New" w:eastAsia="Courier New" w:hAnsi="Courier New"/>
          <w:color w:val="1B2A4A"/>
          <w:sz w:val="16"/>
          <w:szCs w:val="16"/>
        </w:rPr>
        <w:t xml:space="preserve">      "Africa gaming GTM strategy|You need a Nigeria-first volume player acquisition or South Africa-first premium gaming market entry plan.",</w:t>
      </w:r>
    </w:p>
    <w:p>
      <w:pPr>
        <w:shd w:fill="F0F0F0" w:val="clear"/>
        <w:spacing w:after="14" w:before="14"/>
        <w:ind w:left="360"/>
      </w:pPr>
      <w:r>
        <w:rPr>
          <w:rFonts w:ascii="Courier New" w:cs="Courier New" w:eastAsia="Courier New" w:hAnsi="Courier New"/>
          <w:color w:val="1B2A4A"/>
          <w:sz w:val="16"/>
          <w:szCs w:val="16"/>
        </w:rPr>
        <w:t xml:space="preserve">      "Raising capital for Africa gaming investment|You need a pitch book grounded in Africa gaming market data and mobile money payment integration analysis.",</w:t>
      </w:r>
    </w:p>
    <w:p>
      <w:pPr>
        <w:shd w:fill="F0F0F0" w:val="clear"/>
        <w:spacing w:after="14" w:before="14"/>
        <w:ind w:left="360"/>
      </w:pPr>
      <w:r>
        <w:rPr>
          <w:rFonts w:ascii="Courier New" w:cs="Courier New" w:eastAsia="Courier New" w:hAnsi="Courier New"/>
          <w:color w:val="1B2A4A"/>
          <w:sz w:val="16"/>
          <w:szCs w:val="16"/>
        </w:rPr>
        <w:t xml:space="preserve">      "Mobile money and data-lite game design strategy|You need a mobile money payment integration roadmap and data-optimised game architecture for African market conditions."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"service_angles": [</w:t>
      </w:r>
    </w:p>
    <w:p>
      <w:pPr>
        <w:shd w:fill="F0F0F0" w:val="clear"/>
        <w:spacing w:after="14" w:before="14"/>
        <w:ind w:left="360"/>
      </w:pPr>
      <w:r>
        <w:rPr>
          <w:rFonts w:ascii="Courier New" w:cs="Courier New" w:eastAsia="Courier New" w:hAnsi="Courier New"/>
          <w:color w:val="1B2A4A"/>
          <w:sz w:val="16"/>
          <w:szCs w:val="16"/>
        </w:rPr>
        <w:t xml:space="preserve">      "Validate African player demand for your game with gamer research and regulatory mapping.",</w:t>
      </w:r>
    </w:p>
    <w:p>
      <w:pPr>
        <w:shd w:fill="F0F0F0" w:val="clear"/>
        <w:spacing w:after="14" w:before="14"/>
        <w:ind w:left="360"/>
      </w:pPr>
      <w:r>
        <w:rPr>
          <w:rFonts w:ascii="Courier New" w:cs="Courier New" w:eastAsia="Courier New" w:hAnsi="Courier New"/>
          <w:color w:val="1B2A4A"/>
          <w:sz w:val="16"/>
          <w:szCs w:val="16"/>
        </w:rPr>
        <w:t xml:space="preserve">      "Full financial feasibility for Africa gaming investment covering mobile money integration cost and African ARPU economics.",</w:t>
      </w:r>
    </w:p>
    <w:p>
      <w:pPr>
        <w:shd w:fill="F0F0F0" w:val="clear"/>
        <w:spacing w:after="14" w:before="14"/>
        <w:ind w:left="360"/>
      </w:pPr>
      <w:r>
        <w:rPr>
          <w:rFonts w:ascii="Courier New" w:cs="Courier New" w:eastAsia="Courier New" w:hAnsi="Courier New"/>
          <w:color w:val="1B2A4A"/>
          <w:sz w:val="16"/>
          <w:szCs w:val="16"/>
        </w:rPr>
        <w:t xml:space="preserve">      "End-to-end Africa gaming market entry including regulatory pathway, publisher identification, and first-million-player milestone.",</w:t>
      </w:r>
    </w:p>
    <w:p>
      <w:pPr>
        <w:shd w:fill="F0F0F0" w:val="clear"/>
        <w:spacing w:after="14" w:before="14"/>
        <w:ind w:left="360"/>
      </w:pPr>
      <w:r>
        <w:rPr>
          <w:rFonts w:ascii="Courier New" w:cs="Courier New" w:eastAsia="Courier New" w:hAnsi="Courier New"/>
          <w:color w:val="1B2A4A"/>
          <w:sz w:val="16"/>
          <w:szCs w:val="16"/>
        </w:rPr>
        <w:t xml:space="preserve">      "Embedded Africa gaming GTM team covering player acquisition and mobile money payment outreach.",</w:t>
      </w:r>
    </w:p>
    <w:p>
      <w:pPr>
        <w:shd w:fill="F0F0F0" w:val="clear"/>
        <w:spacing w:after="14" w:before="14"/>
        <w:ind w:left="360"/>
      </w:pPr>
      <w:r>
        <w:rPr>
          <w:rFonts w:ascii="Courier New" w:cs="Courier New" w:eastAsia="Courier New" w:hAnsi="Courier New"/>
          <w:color w:val="1B2A4A"/>
          <w:sz w:val="16"/>
          <w:szCs w:val="16"/>
        </w:rPr>
        <w:t xml:space="preserve">      "Investor-ready pitch books for Africa gaming investment with young demographic and mobile money monetisation narrative.",</w:t>
      </w:r>
    </w:p>
    <w:p>
      <w:pPr>
        <w:shd w:fill="F0F0F0" w:val="clear"/>
        <w:spacing w:after="14" w:before="14"/>
        <w:ind w:left="360"/>
      </w:pPr>
      <w:r>
        <w:rPr>
          <w:rFonts w:ascii="Courier New" w:cs="Courier New" w:eastAsia="Courier New" w:hAnsi="Courier New"/>
          <w:color w:val="1B2A4A"/>
          <w:sz w:val="16"/>
          <w:szCs w:val="16"/>
        </w:rPr>
        <w:t xml:space="preserve">      "AI use-case identification — from African language AI game character development to data-lite AI game optimisation."</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"faq": [</w:t>
      </w:r>
    </w:p>
    <w:p>
      <w:pPr>
        <w:shd w:fill="F0F0F0" w:val="clear"/>
        <w:spacing w:after="14" w:before="14"/>
        <w:ind w:left="360"/>
      </w:pPr>
      <w:r>
        <w:rPr>
          <w:rFonts w:ascii="Courier New" w:cs="Courier New" w:eastAsia="Courier New" w:hAnsi="Courier New"/>
          <w:color w:val="1B2A4A"/>
          <w:sz w:val="16"/>
          <w:szCs w:val="16"/>
        </w:rPr>
        <w:t xml:space="preserve">      "Does GreyRadius work with mobile gaming companies or also with e-sports, PC gaming, and gaming technology companies entering Africa?|All gaming categories.",</w:t>
      </w:r>
    </w:p>
    <w:p>
      <w:pPr>
        <w:shd w:fill="F0F0F0" w:val="clear"/>
        <w:spacing w:after="14" w:before="14"/>
        <w:ind w:left="360"/>
      </w:pPr>
      <w:r>
        <w:rPr>
          <w:rFonts w:ascii="Courier New" w:cs="Courier New" w:eastAsia="Courier New" w:hAnsi="Courier New"/>
          <w:color w:val="1B2A4A"/>
          <w:sz w:val="16"/>
          <w:szCs w:val="16"/>
        </w:rPr>
        <w:t xml:space="preserve">      "Which African gaming market should companies enter first?|Nigeria for largest player volume and most active gaming culture; South Africa for most sophisticated gaming infrastructure and highest ARPU.",</w:t>
      </w:r>
    </w:p>
    <w:p>
      <w:pPr>
        <w:shd w:fill="F0F0F0" w:val="clear"/>
        <w:spacing w:after="14" w:before="14"/>
        <w:ind w:left="360"/>
      </w:pPr>
      <w:r>
        <w:rPr>
          <w:rFonts w:ascii="Courier New" w:cs="Courier New" w:eastAsia="Courier New" w:hAnsi="Courier New"/>
          <w:color w:val="1B2A4A"/>
          <w:sz w:val="16"/>
          <w:szCs w:val="16"/>
        </w:rPr>
        <w:t xml:space="preserve">      "How long does an Africa gaming engagement take?|Typically 6-8 weeks for player demand research, regulatory mapping, and publisher identification.",</w:t>
      </w:r>
    </w:p>
    <w:p>
      <w:pPr>
        <w:shd w:fill="F0F0F0" w:val="clear"/>
        <w:spacing w:after="14" w:before="14"/>
        <w:ind w:left="360"/>
      </w:pPr>
      <w:r>
        <w:rPr>
          <w:rFonts w:ascii="Courier New" w:cs="Courier New" w:eastAsia="Courier New" w:hAnsi="Courier New"/>
          <w:color w:val="1B2A4A"/>
          <w:sz w:val="16"/>
          <w:szCs w:val="16"/>
        </w:rPr>
        <w:t xml:space="preserve">      "Can GreyRadius identify Carry1st and MTN Mobile Money partnership contacts for gaming companies?|Yes."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"keywords": "Africa gaming market entry, Nigeria online gaming GTM strategy, South Africa gaming consulting, Africa e-sports advisory, Africa mobile gaming market entry",</w:t>
      </w:r>
    </w:p>
    <w:p>
      <w:pPr>
        <w:shd w:fill="F0F0F0" w:val="clear"/>
        <w:spacing w:after="14" w:before="14"/>
        <w:ind w:left="360"/>
      </w:pPr>
      <w:r>
        <w:rPr>
          <w:rFonts w:ascii="Courier New" w:cs="Courier New" w:eastAsia="Courier New" w:hAnsi="Courier New"/>
          <w:color w:val="1B2A4A"/>
          <w:sz w:val="16"/>
          <w:szCs w:val="16"/>
        </w:rPr>
        <w:t xml:space="preserve">    "regions": "Nigeria — NLRC-regulated gaming in Lagos and Abuja; South Africa — NGB-licensed gaming in Johannesburg and Cape Town; Kenya — BCB-regulated gaming with M-Pesa integration",</w:t>
      </w:r>
    </w:p>
    <w:p>
      <w:pPr>
        <w:shd w:fill="F0F0F0" w:val="clear"/>
        <w:spacing w:after="14" w:before="14"/>
        <w:ind w:left="360"/>
      </w:pPr>
      <w:r>
        <w:rPr>
          <w:rFonts w:ascii="Courier New" w:cs="Courier New" w:eastAsia="Courier New" w:hAnsi="Courier New"/>
          <w:color w:val="1B2A4A"/>
          <w:sz w:val="16"/>
          <w:szCs w:val="16"/>
        </w:rPr>
        <w:t xml:space="preserve">    "stat1n": "$1.5B",</w:t>
      </w:r>
    </w:p>
    <w:p>
      <w:pPr>
        <w:shd w:fill="F0F0F0" w:val="clear"/>
        <w:spacing w:after="14" w:before="14"/>
        <w:ind w:left="360"/>
      </w:pPr>
      <w:r>
        <w:rPr>
          <w:rFonts w:ascii="Courier New" w:cs="Courier New" w:eastAsia="Courier New" w:hAnsi="Courier New"/>
          <w:color w:val="1B2A4A"/>
          <w:sz w:val="16"/>
          <w:szCs w:val="16"/>
        </w:rPr>
        <w:t xml:space="preserve">    "stat1l": "Africa gaming market by 2027",</w:t>
      </w:r>
    </w:p>
    <w:p>
      <w:pPr>
        <w:shd w:fill="F0F0F0" w:val="clear"/>
        <w:spacing w:after="14" w:before="14"/>
        <w:ind w:left="360"/>
      </w:pPr>
      <w:r>
        <w:rPr>
          <w:rFonts w:ascii="Courier New" w:cs="Courier New" w:eastAsia="Courier New" w:hAnsi="Courier New"/>
          <w:color w:val="1B2A4A"/>
          <w:sz w:val="16"/>
          <w:szCs w:val="16"/>
        </w:rPr>
        <w:t xml:space="preserve">    "stat1b": "Smartphone penetration growth, mobile money payment integration, and young demographic gaming culture driving 15% annual gaming growth.",</w:t>
      </w:r>
    </w:p>
    <w:p>
      <w:pPr>
        <w:shd w:fill="F0F0F0" w:val="clear"/>
        <w:spacing w:after="14" w:before="14"/>
        <w:ind w:left="360"/>
      </w:pPr>
      <w:r>
        <w:rPr>
          <w:rFonts w:ascii="Courier New" w:cs="Courier New" w:eastAsia="Courier New" w:hAnsi="Courier New"/>
          <w:color w:val="1B2A4A"/>
          <w:sz w:val="16"/>
          <w:szCs w:val="16"/>
        </w:rPr>
        <w:t xml:space="preserve">    "stat2n": "30+",</w:t>
      </w:r>
    </w:p>
    <w:p>
      <w:pPr>
        <w:shd w:fill="F0F0F0" w:val="clear"/>
        <w:spacing w:after="14" w:before="14"/>
        <w:ind w:left="360"/>
      </w:pPr>
      <w:r>
        <w:rPr>
          <w:rFonts w:ascii="Courier New" w:cs="Courier New" w:eastAsia="Courier New" w:hAnsi="Courier New"/>
          <w:color w:val="1B2A4A"/>
          <w:sz w:val="16"/>
          <w:szCs w:val="16"/>
        </w:rPr>
        <w:t xml:space="preserve">    "stat2l": "Primary interviews per Africa gaming mandate",</w:t>
      </w:r>
    </w:p>
    <w:p>
      <w:pPr>
        <w:shd w:fill="F0F0F0" w:val="clear"/>
        <w:spacing w:after="14" w:before="14"/>
        <w:ind w:left="360"/>
      </w:pPr>
      <w:r>
        <w:rPr>
          <w:rFonts w:ascii="Courier New" w:cs="Courier New" w:eastAsia="Courier New" w:hAnsi="Courier New"/>
          <w:color w:val="1B2A4A"/>
          <w:sz w:val="16"/>
          <w:szCs w:val="16"/>
        </w:rPr>
        <w:t xml:space="preserve">    "stat2b": "African gamers, gaming publishers, and mobile money integration contacts — every engagement grounded in direct primary research.",</w:t>
      </w:r>
    </w:p>
    <w:p>
      <w:pPr>
        <w:shd w:fill="F0F0F0" w:val="clear"/>
        <w:spacing w:after="14" w:before="14"/>
        <w:ind w:left="360"/>
      </w:pPr>
      <w:r>
        <w:rPr>
          <w:rFonts w:ascii="Courier New" w:cs="Courier New" w:eastAsia="Courier New" w:hAnsi="Courier New"/>
          <w:color w:val="1B2A4A"/>
          <w:sz w:val="16"/>
          <w:szCs w:val="16"/>
        </w:rPr>
        <w:t xml:space="preserve">    "stat3n": "6 weeks",</w:t>
      </w:r>
    </w:p>
    <w:p>
      <w:pPr>
        <w:shd w:fill="F0F0F0" w:val="clear"/>
        <w:spacing w:after="14" w:before="14"/>
        <w:ind w:left="360"/>
      </w:pPr>
      <w:r>
        <w:rPr>
          <w:rFonts w:ascii="Courier New" w:cs="Courier New" w:eastAsia="Courier New" w:hAnsi="Courier New"/>
          <w:color w:val="1B2A4A"/>
          <w:sz w:val="16"/>
          <w:szCs w:val="16"/>
        </w:rPr>
        <w:t xml:space="preserve">    "stat3l": "Africa gaming market entry strategy",</w:t>
      </w:r>
    </w:p>
    <w:p>
      <w:pPr>
        <w:shd w:fill="F0F0F0" w:val="clear"/>
        <w:spacing w:after="14" w:before="14"/>
        <w:ind w:left="360"/>
      </w:pPr>
      <w:r>
        <w:rPr>
          <w:rFonts w:ascii="Courier New" w:cs="Courier New" w:eastAsia="Courier New" w:hAnsi="Courier New"/>
          <w:color w:val="1B2A4A"/>
          <w:sz w:val="16"/>
          <w:szCs w:val="16"/>
        </w:rPr>
        <w:t xml:space="preserve">    "stat3b": "AI-augmented regulatory mapping and player demand research delivers Africa gaming strategies efficiently."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"slug": "africa-higher-education",</w:t>
      </w:r>
    </w:p>
    <w:p>
      <w:pPr>
        <w:shd w:fill="F0F0F0" w:val="clear"/>
        <w:spacing w:after="14" w:before="14"/>
        <w:ind w:left="360"/>
      </w:pPr>
      <w:r>
        <w:rPr>
          <w:rFonts w:ascii="Courier New" w:cs="Courier New" w:eastAsia="Courier New" w:hAnsi="Courier New"/>
          <w:color w:val="1B2A4A"/>
          <w:sz w:val="16"/>
          <w:szCs w:val="16"/>
        </w:rPr>
        <w:t xml:space="preserve">    "parent": "higher-education",</w:t>
      </w:r>
    </w:p>
    <w:p>
      <w:pPr>
        <w:shd w:fill="F0F0F0" w:val="clear"/>
        <w:spacing w:after="14" w:before="14"/>
        <w:ind w:left="360"/>
      </w:pPr>
      <w:r>
        <w:rPr>
          <w:rFonts w:ascii="Courier New" w:cs="Courier New" w:eastAsia="Courier New" w:hAnsi="Courier New"/>
          <w:color w:val="1B2A4A"/>
          <w:sz w:val="16"/>
          <w:szCs w:val="16"/>
        </w:rPr>
        <w:t xml:space="preserve">    "title": "Africa Higher Education Market Entry Strategy | GreyRadius",</w:t>
      </w:r>
    </w:p>
    <w:p>
      <w:pPr>
        <w:shd w:fill="F0F0F0" w:val="clear"/>
        <w:spacing w:after="14" w:before="14"/>
        <w:ind w:left="360"/>
      </w:pPr>
      <w:r>
        <w:rPr>
          <w:rFonts w:ascii="Courier New" w:cs="Courier New" w:eastAsia="Courier New" w:hAnsi="Courier New"/>
          <w:color w:val="1B2A4A"/>
          <w:sz w:val="16"/>
          <w:szCs w:val="16"/>
        </w:rPr>
        <w:t xml:space="preserve">    "meta": "GreyRadius helps international higher education institutions enter Africa with SAQA, NUC, and KNQA regulatory mapping, African student demand research, and partnership identification.",</w:t>
      </w:r>
    </w:p>
    <w:p>
      <w:pPr>
        <w:shd w:fill="F0F0F0" w:val="clear"/>
        <w:spacing w:after="14" w:before="14"/>
        <w:ind w:left="360"/>
      </w:pPr>
      <w:r>
        <w:rPr>
          <w:rFonts w:ascii="Courier New" w:cs="Courier New" w:eastAsia="Courier New" w:hAnsi="Courier New"/>
          <w:color w:val="1B2A4A"/>
          <w:sz w:val="16"/>
          <w:szCs w:val="16"/>
        </w:rPr>
        <w:t xml:space="preserve">    "h1": "Africa higher education market entry strategy",</w:t>
      </w:r>
    </w:p>
    <w:p>
      <w:pPr>
        <w:shd w:fill="F0F0F0" w:val="clear"/>
        <w:spacing w:after="14" w:before="14"/>
        <w:ind w:left="360"/>
      </w:pPr>
      <w:r>
        <w:rPr>
          <w:rFonts w:ascii="Courier New" w:cs="Courier New" w:eastAsia="Courier New" w:hAnsi="Courier New"/>
          <w:color w:val="1B2A4A"/>
          <w:sz w:val="16"/>
          <w:szCs w:val="16"/>
        </w:rPr>
        <w:t xml:space="preserve">    "tagline": "From international university to African student — strategy for higher education institutions entering Africa.",</w:t>
      </w:r>
    </w:p>
    <w:p>
      <w:pPr>
        <w:shd w:fill="F0F0F0" w:val="clear"/>
        <w:spacing w:after="14" w:before="14"/>
        <w:ind w:left="360"/>
      </w:pPr>
      <w:r>
        <w:rPr>
          <w:rFonts w:ascii="Courier New" w:cs="Courier New" w:eastAsia="Courier New" w:hAnsi="Courier New"/>
          <w:color w:val="1B2A4A"/>
          <w:sz w:val="16"/>
          <w:szCs w:val="16"/>
        </w:rPr>
        <w:t xml:space="preserve">    "hero": "Africa's higher education market is the world's most significant long-term opportunity — with Africa's university-age population growing by 10 million every five years, a structural higher education supply deficit of 10 million university places, governments across Nigeria, Kenya, South Africa, and Ghana all investing in higher education quality, and African students and families willing to pay significant premiums for internationally-recognised qualifications. International universities, business schools, professional certification bodies, and online education companies are all evaluating Africa as a higher education market. GreyRadius helps institutions validate African student demand, navigate country-specific accreditation requirements, identify partnership and campus opportunities, and execute market entry.",</w:t>
      </w:r>
    </w:p>
    <w:p>
      <w:pPr>
        <w:shd w:fill="F0F0F0" w:val="clear"/>
        <w:spacing w:after="14" w:before="14"/>
        <w:ind w:left="360"/>
      </w:pPr>
      <w:r>
        <w:rPr>
          <w:rFonts w:ascii="Courier New" w:cs="Courier New" w:eastAsia="Courier New" w:hAnsi="Courier New"/>
          <w:color w:val="1B2A4A"/>
          <w:sz w:val="16"/>
          <w:szCs w:val="16"/>
        </w:rPr>
        <w:t xml:space="preserve">    "market_timing": "African online higher education is at a mass-adoption inflection — Coursera's partnership with 30+ African universities, the African Union's Continental Education Strategy, and COVID-19 accelerating e-learning normalisation have all created conditions for international online education companies to reach African students at scale without physical campus investment. The institutions establishing African online education market share in 2024-2027 will have structural advantages as African broadband penetration doubles.",</w:t>
      </w:r>
    </w:p>
    <w:p>
      <w:pPr>
        <w:shd w:fill="F0F0F0" w:val="clear"/>
        <w:spacing w:after="14" w:before="14"/>
        <w:ind w:left="360"/>
      </w:pPr>
      <w:r>
        <w:rPr>
          <w:rFonts w:ascii="Courier New" w:cs="Courier New" w:eastAsia="Courier New" w:hAnsi="Courier New"/>
          <w:color w:val="1B2A4A"/>
          <w:sz w:val="16"/>
          <w:szCs w:val="16"/>
        </w:rPr>
        <w:t xml:space="preserve">    "insights": [</w:t>
      </w:r>
    </w:p>
    <w:p>
      <w:pPr>
        <w:shd w:fill="F0F0F0" w:val="clear"/>
        <w:spacing w:after="14" w:before="14"/>
        <w:ind w:left="360"/>
      </w:pPr>
      <w:r>
        <w:rPr>
          <w:rFonts w:ascii="Courier New" w:cs="Courier New" w:eastAsia="Courier New" w:hAnsi="Courier New"/>
          <w:color w:val="1B2A4A"/>
          <w:sz w:val="16"/>
          <w:szCs w:val="16"/>
        </w:rPr>
        <w:t xml:space="preserve">      "Africa's higher education market is projected to reach $20B by 2028 — growing at 12% annually as university-age population growth, international quality premium demand, and online education adoption all scale.",</w:t>
      </w:r>
    </w:p>
    <w:p>
      <w:pPr>
        <w:shd w:fill="F0F0F0" w:val="clear"/>
        <w:spacing w:after="14" w:before="14"/>
        <w:ind w:left="360"/>
      </w:pPr>
      <w:r>
        <w:rPr>
          <w:rFonts w:ascii="Courier New" w:cs="Courier New" w:eastAsia="Courier New" w:hAnsi="Courier New"/>
          <w:color w:val="1B2A4A"/>
          <w:sz w:val="16"/>
          <w:szCs w:val="16"/>
        </w:rPr>
        <w:t xml:space="preserve">      "South Africa has Africa's most sophisticated higher education ecosystem — 26 public universities and SAQA (South African Qualifications Authority) regulatory framework creating clear accreditation pathways.",</w:t>
      </w:r>
    </w:p>
    <w:p>
      <w:pPr>
        <w:shd w:fill="F0F0F0" w:val="clear"/>
        <w:spacing w:after="14" w:before="14"/>
        <w:ind w:left="360"/>
      </w:pPr>
      <w:r>
        <w:rPr>
          <w:rFonts w:ascii="Courier New" w:cs="Courier New" w:eastAsia="Courier New" w:hAnsi="Courier New"/>
          <w:color w:val="1B2A4A"/>
          <w:sz w:val="16"/>
          <w:szCs w:val="16"/>
        </w:rPr>
        <w:t xml:space="preserve">      "Nigeria has Africa's largest higher education demand — 200+ million people, NUC (National Universities Commission) accreditation framework, and growing demand for internationally-recognised degrees.",</w:t>
      </w:r>
    </w:p>
    <w:p>
      <w:pPr>
        <w:shd w:fill="F0F0F0" w:val="clear"/>
        <w:spacing w:after="14" w:before="14"/>
        <w:ind w:left="360"/>
      </w:pPr>
      <w:r>
        <w:rPr>
          <w:rFonts w:ascii="Courier New" w:cs="Courier New" w:eastAsia="Courier New" w:hAnsi="Courier New"/>
          <w:color w:val="1B2A4A"/>
          <w:sz w:val="16"/>
          <w:szCs w:val="16"/>
        </w:rPr>
        <w:t xml:space="preserve">      "Online higher education is growing at 30% in Africa — Coursera, edX, and African-developed platforms demonstrating that African students will pay for quality online degrees from internationally-recognised institutions."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"challenges_market": [</w:t>
      </w:r>
    </w:p>
    <w:p>
      <w:pPr>
        <w:shd w:fill="F0F0F0" w:val="clear"/>
        <w:spacing w:after="14" w:before="14"/>
        <w:ind w:left="360"/>
      </w:pPr>
      <w:r>
        <w:rPr>
          <w:rFonts w:ascii="Courier New" w:cs="Courier New" w:eastAsia="Courier New" w:hAnsi="Courier New"/>
          <w:color w:val="1B2A4A"/>
          <w:sz w:val="16"/>
          <w:szCs w:val="16"/>
        </w:rPr>
        <w:t xml:space="preserve">      "Accreditation requirements vary significantly — SAQA South Africa, NUC Nigeria, and KNQA Kenya all have different recognition requirements for international institutions.",</w:t>
      </w:r>
    </w:p>
    <w:p>
      <w:pPr>
        <w:shd w:fill="F0F0F0" w:val="clear"/>
        <w:spacing w:after="14" w:before="14"/>
        <w:ind w:left="360"/>
      </w:pPr>
      <w:r>
        <w:rPr>
          <w:rFonts w:ascii="Courier New" w:cs="Courier New" w:eastAsia="Courier New" w:hAnsi="Courier New"/>
          <w:color w:val="1B2A4A"/>
          <w:sz w:val="16"/>
          <w:szCs w:val="16"/>
        </w:rPr>
        <w:t xml:space="preserve">      "Physical campus investment requirements for full degree programmes are significant — South Africa SAQA, Nigeria NUC, and most African regulators require physical presence for most degree-level programmes.",</w:t>
      </w:r>
    </w:p>
    <w:p>
      <w:pPr>
        <w:shd w:fill="F0F0F0" w:val="clear"/>
        <w:spacing w:after="14" w:before="14"/>
        <w:ind w:left="360"/>
      </w:pPr>
      <w:r>
        <w:rPr>
          <w:rFonts w:ascii="Courier New" w:cs="Courier New" w:eastAsia="Courier New" w:hAnsi="Courier New"/>
          <w:color w:val="1B2A4A"/>
          <w:sz w:val="16"/>
          <w:szCs w:val="16"/>
        </w:rPr>
        <w:t xml:space="preserve">      "Competition from established African universities — University of Cape Town, University of Lagos, and UKZN — with established employer relationships and lower fees is intense.",</w:t>
      </w:r>
    </w:p>
    <w:p>
      <w:pPr>
        <w:shd w:fill="F0F0F0" w:val="clear"/>
        <w:spacing w:after="14" w:before="14"/>
        <w:ind w:left="360"/>
      </w:pPr>
      <w:r>
        <w:rPr>
          <w:rFonts w:ascii="Courier New" w:cs="Courier New" w:eastAsia="Courier New" w:hAnsi="Courier New"/>
          <w:color w:val="1B2A4A"/>
          <w:sz w:val="16"/>
          <w:szCs w:val="16"/>
        </w:rPr>
        <w:t xml:space="preserve">      "Student financing access is limited — African student loan systems are underdeveloped creating affordability constraints for international premium-priced higher education."</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"challenges_we_solve": [</w:t>
      </w:r>
    </w:p>
    <w:p>
      <w:pPr>
        <w:shd w:fill="F0F0F0" w:val="clear"/>
        <w:spacing w:after="14" w:before="14"/>
        <w:ind w:left="360"/>
      </w:pPr>
      <w:r>
        <w:rPr>
          <w:rFonts w:ascii="Courier New" w:cs="Courier New" w:eastAsia="Courier New" w:hAnsi="Courier New"/>
          <w:color w:val="1B2A4A"/>
          <w:sz w:val="16"/>
          <w:szCs w:val="16"/>
        </w:rPr>
        <w:t xml:space="preserve">      "Africa higher education demand validation|You need to validate African student and family demand for your institution and understand SAQA, NUC, and country-specific accreditation requirements.",</w:t>
      </w:r>
    </w:p>
    <w:p>
      <w:pPr>
        <w:shd w:fill="F0F0F0" w:val="clear"/>
        <w:spacing w:after="14" w:before="14"/>
        <w:ind w:left="360"/>
      </w:pPr>
      <w:r>
        <w:rPr>
          <w:rFonts w:ascii="Courier New" w:cs="Courier New" w:eastAsia="Courier New" w:hAnsi="Courier New"/>
          <w:color w:val="1B2A4A"/>
          <w:sz w:val="16"/>
          <w:szCs w:val="16"/>
        </w:rPr>
        <w:t xml:space="preserve">      "SAQA and NUC accreditation regulatory pathway|You need to understand South Africa SAQA recognition requirements, Nigeria NUC foreign institution accreditation, and Kenya KNQA framework.",</w:t>
      </w:r>
    </w:p>
    <w:p>
      <w:pPr>
        <w:shd w:fill="F0F0F0" w:val="clear"/>
        <w:spacing w:after="14" w:before="14"/>
        <w:ind w:left="360"/>
      </w:pPr>
      <w:r>
        <w:rPr>
          <w:rFonts w:ascii="Courier New" w:cs="Courier New" w:eastAsia="Courier New" w:hAnsi="Courier New"/>
          <w:color w:val="1B2A4A"/>
          <w:sz w:val="16"/>
          <w:szCs w:val="16"/>
        </w:rPr>
        <w:t xml:space="preserve">      "Africa higher education partnership identification|You need African university partnership candidates for articulation agreements, campus sharing, and joint degree programmes.",</w:t>
      </w:r>
    </w:p>
    <w:p>
      <w:pPr>
        <w:shd w:fill="F0F0F0" w:val="clear"/>
        <w:spacing w:after="14" w:before="14"/>
        <w:ind w:left="360"/>
      </w:pPr>
      <w:r>
        <w:rPr>
          <w:rFonts w:ascii="Courier New" w:cs="Courier New" w:eastAsia="Courier New" w:hAnsi="Courier New"/>
          <w:color w:val="1B2A4A"/>
          <w:sz w:val="16"/>
          <w:szCs w:val="16"/>
        </w:rPr>
        <w:t xml:space="preserve">      "Africa higher education GTM strategy|You need a South Africa-first SAQA-recognised physical presence or Nigeria-first NUC-accredited online distance learning strategy.",</w:t>
      </w:r>
    </w:p>
    <w:p>
      <w:pPr>
        <w:shd w:fill="F0F0F0" w:val="clear"/>
        <w:spacing w:after="14" w:before="14"/>
        <w:ind w:left="360"/>
      </w:pPr>
      <w:r>
        <w:rPr>
          <w:rFonts w:ascii="Courier New" w:cs="Courier New" w:eastAsia="Courier New" w:hAnsi="Courier New"/>
          <w:color w:val="1B2A4A"/>
          <w:sz w:val="16"/>
          <w:szCs w:val="16"/>
        </w:rPr>
        <w:t xml:space="preserve">      "Raising capital for Africa higher education investment|You need a pitch book grounded in Africa higher education demand data and university-age population growth analysis.",</w:t>
      </w:r>
    </w:p>
    <w:p>
      <w:pPr>
        <w:shd w:fill="F0F0F0" w:val="clear"/>
        <w:spacing w:after="14" w:before="14"/>
        <w:ind w:left="360"/>
      </w:pPr>
      <w:r>
        <w:rPr>
          <w:rFonts w:ascii="Courier New" w:cs="Courier New" w:eastAsia="Courier New" w:hAnsi="Courier New"/>
          <w:color w:val="1B2A4A"/>
          <w:sz w:val="16"/>
          <w:szCs w:val="16"/>
        </w:rPr>
        <w:t xml:space="preserve">      "Student financing and accessibility strategy|You need a student financing partnership with African DFIs and employer-funded education schemes to address affordability."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"service_angles": [</w:t>
      </w:r>
    </w:p>
    <w:p>
      <w:pPr>
        <w:shd w:fill="F0F0F0" w:val="clear"/>
        <w:spacing w:after="14" w:before="14"/>
        <w:ind w:left="360"/>
      </w:pPr>
      <w:r>
        <w:rPr>
          <w:rFonts w:ascii="Courier New" w:cs="Courier New" w:eastAsia="Courier New" w:hAnsi="Courier New"/>
          <w:color w:val="1B2A4A"/>
          <w:sz w:val="16"/>
          <w:szCs w:val="16"/>
        </w:rPr>
        <w:t xml:space="preserve">      "Validate African student demand for your institution with student interviews and SAQA regulatory mapping.",</w:t>
      </w:r>
    </w:p>
    <w:p>
      <w:pPr>
        <w:shd w:fill="F0F0F0" w:val="clear"/>
        <w:spacing w:after="14" w:before="14"/>
        <w:ind w:left="360"/>
      </w:pPr>
      <w:r>
        <w:rPr>
          <w:rFonts w:ascii="Courier New" w:cs="Courier New" w:eastAsia="Courier New" w:hAnsi="Courier New"/>
          <w:color w:val="1B2A4A"/>
          <w:sz w:val="16"/>
          <w:szCs w:val="16"/>
        </w:rPr>
        <w:t xml:space="preserve">      "Full financial feasibility for Africa higher education investment covering accreditation cost and campus economics.",</w:t>
      </w:r>
    </w:p>
    <w:p>
      <w:pPr>
        <w:shd w:fill="F0F0F0" w:val="clear"/>
        <w:spacing w:after="14" w:before="14"/>
        <w:ind w:left="360"/>
      </w:pPr>
      <w:r>
        <w:rPr>
          <w:rFonts w:ascii="Courier New" w:cs="Courier New" w:eastAsia="Courier New" w:hAnsi="Courier New"/>
          <w:color w:val="1B2A4A"/>
          <w:sz w:val="16"/>
          <w:szCs w:val="16"/>
        </w:rPr>
        <w:t xml:space="preserve">      "End-to-end Africa higher education market entry including SAQA or NUC pathway, African partnership identification, and first-student-cohort milestone.",</w:t>
      </w:r>
    </w:p>
    <w:p>
      <w:pPr>
        <w:shd w:fill="F0F0F0" w:val="clear"/>
        <w:spacing w:after="14" w:before="14"/>
        <w:ind w:left="360"/>
      </w:pPr>
      <w:r>
        <w:rPr>
          <w:rFonts w:ascii="Courier New" w:cs="Courier New" w:eastAsia="Courier New" w:hAnsi="Courier New"/>
          <w:color w:val="1B2A4A"/>
          <w:sz w:val="16"/>
          <w:szCs w:val="16"/>
        </w:rPr>
        <w:t xml:space="preserve">      "Embedded Africa higher education GTM team covering student recruitment and employer relationship outreach.",</w:t>
      </w:r>
    </w:p>
    <w:p>
      <w:pPr>
        <w:shd w:fill="F0F0F0" w:val="clear"/>
        <w:spacing w:after="14" w:before="14"/>
        <w:ind w:left="360"/>
      </w:pPr>
      <w:r>
        <w:rPr>
          <w:rFonts w:ascii="Courier New" w:cs="Courier New" w:eastAsia="Courier New" w:hAnsi="Courier New"/>
          <w:color w:val="1B2A4A"/>
          <w:sz w:val="16"/>
          <w:szCs w:val="16"/>
        </w:rPr>
        <w:t xml:space="preserve">      "Investor-ready pitch books for Africa higher education investment with university-age population and international quality demand narrative.",</w:t>
      </w:r>
    </w:p>
    <w:p>
      <w:pPr>
        <w:shd w:fill="F0F0F0" w:val="clear"/>
        <w:spacing w:after="14" w:before="14"/>
        <w:ind w:left="360"/>
      </w:pPr>
      <w:r>
        <w:rPr>
          <w:rFonts w:ascii="Courier New" w:cs="Courier New" w:eastAsia="Courier New" w:hAnsi="Courier New"/>
          <w:color w:val="1B2A4A"/>
          <w:sz w:val="16"/>
          <w:szCs w:val="16"/>
        </w:rPr>
        <w:t xml:space="preserve">      "AI use-case identification — from African language AI educational content to continent-wide student admissions platform."</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"faq": [</w:t>
      </w:r>
    </w:p>
    <w:p>
      <w:pPr>
        <w:shd w:fill="F0F0F0" w:val="clear"/>
        <w:spacing w:after="14" w:before="14"/>
        <w:ind w:left="360"/>
      </w:pPr>
      <w:r>
        <w:rPr>
          <w:rFonts w:ascii="Courier New" w:cs="Courier New" w:eastAsia="Courier New" w:hAnsi="Courier New"/>
          <w:color w:val="1B2A4A"/>
          <w:sz w:val="16"/>
          <w:szCs w:val="16"/>
        </w:rPr>
        <w:t xml:space="preserve">      "Does GreyRadius work with universities or also with business schools, professional certification, and online education companies entering Africa?|All higher education categories.",</w:t>
      </w:r>
    </w:p>
    <w:p>
      <w:pPr>
        <w:shd w:fill="F0F0F0" w:val="clear"/>
        <w:spacing w:after="14" w:before="14"/>
        <w:ind w:left="360"/>
      </w:pPr>
      <w:r>
        <w:rPr>
          <w:rFonts w:ascii="Courier New" w:cs="Courier New" w:eastAsia="Courier New" w:hAnsi="Courier New"/>
          <w:color w:val="1B2A4A"/>
          <w:sz w:val="16"/>
          <w:szCs w:val="16"/>
        </w:rPr>
        <w:t xml:space="preserve">      "Which African higher education market should institutions enter first?|South Africa for SAQA regulatory clarity and most sophisticated market; Nigeria for largest student volume; Kenya for East Africa hub.",</w:t>
      </w:r>
    </w:p>
    <w:p>
      <w:pPr>
        <w:shd w:fill="F0F0F0" w:val="clear"/>
        <w:spacing w:after="14" w:before="14"/>
        <w:ind w:left="360"/>
      </w:pPr>
      <w:r>
        <w:rPr>
          <w:rFonts w:ascii="Courier New" w:cs="Courier New" w:eastAsia="Courier New" w:hAnsi="Courier New"/>
          <w:color w:val="1B2A4A"/>
          <w:sz w:val="16"/>
          <w:szCs w:val="16"/>
        </w:rPr>
        <w:t xml:space="preserve">      "How long does an Africa higher education engagement take?|Typically 10-14 weeks for student demand research, SAQA regulatory mapping, and partnership identification.",</w:t>
      </w:r>
    </w:p>
    <w:p>
      <w:pPr>
        <w:shd w:fill="F0F0F0" w:val="clear"/>
        <w:spacing w:after="14" w:before="14"/>
        <w:ind w:left="360"/>
      </w:pPr>
      <w:r>
        <w:rPr>
          <w:rFonts w:ascii="Courier New" w:cs="Courier New" w:eastAsia="Courier New" w:hAnsi="Courier New"/>
          <w:color w:val="1B2A4A"/>
          <w:sz w:val="16"/>
          <w:szCs w:val="16"/>
        </w:rPr>
        <w:t xml:space="preserve">      "Can GreyRadius identify African university partnership candidates for joint degree programmes?|Yes."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"keywords": "Africa higher education market entry, South Africa SAQA accreditation consulting, Nigeria NUC foreign institution advisory, Africa university GTM strategy, Africa education market entry",</w:t>
      </w:r>
    </w:p>
    <w:p>
      <w:pPr>
        <w:shd w:fill="F0F0F0" w:val="clear"/>
        <w:spacing w:after="14" w:before="14"/>
        <w:ind w:left="360"/>
      </w:pPr>
      <w:r>
        <w:rPr>
          <w:rFonts w:ascii="Courier New" w:cs="Courier New" w:eastAsia="Courier New" w:hAnsi="Courier New"/>
          <w:color w:val="1B2A4A"/>
          <w:sz w:val="16"/>
          <w:szCs w:val="16"/>
        </w:rPr>
        <w:t xml:space="preserve">    "regions": "South Africa — SAQA-recognised Johannesburg and Cape Town higher education market; Nigeria — NUC-accredited Lagos and Abuja university market; Kenya — KNQA-recognised Nairobi higher education",</w:t>
      </w:r>
    </w:p>
    <w:p>
      <w:pPr>
        <w:shd w:fill="F0F0F0" w:val="clear"/>
        <w:spacing w:after="14" w:before="14"/>
        <w:ind w:left="360"/>
      </w:pPr>
      <w:r>
        <w:rPr>
          <w:rFonts w:ascii="Courier New" w:cs="Courier New" w:eastAsia="Courier New" w:hAnsi="Courier New"/>
          <w:color w:val="1B2A4A"/>
          <w:sz w:val="16"/>
          <w:szCs w:val="16"/>
        </w:rPr>
        <w:t xml:space="preserve">    "stat1n": "$20B",</w:t>
      </w:r>
    </w:p>
    <w:p>
      <w:pPr>
        <w:shd w:fill="F0F0F0" w:val="clear"/>
        <w:spacing w:after="14" w:before="14"/>
        <w:ind w:left="360"/>
      </w:pPr>
      <w:r>
        <w:rPr>
          <w:rFonts w:ascii="Courier New" w:cs="Courier New" w:eastAsia="Courier New" w:hAnsi="Courier New"/>
          <w:color w:val="1B2A4A"/>
          <w:sz w:val="16"/>
          <w:szCs w:val="16"/>
        </w:rPr>
        <w:t xml:space="preserve">    "stat1l": "Africa higher education market by 2028",</w:t>
      </w:r>
    </w:p>
    <w:p>
      <w:pPr>
        <w:shd w:fill="F0F0F0" w:val="clear"/>
        <w:spacing w:after="14" w:before="14"/>
        <w:ind w:left="360"/>
      </w:pPr>
      <w:r>
        <w:rPr>
          <w:rFonts w:ascii="Courier New" w:cs="Courier New" w:eastAsia="Courier New" w:hAnsi="Courier New"/>
          <w:color w:val="1B2A4A"/>
          <w:sz w:val="16"/>
          <w:szCs w:val="16"/>
        </w:rPr>
        <w:t xml:space="preserve">    "stat1b": "University-age population growth, international quality premium demand, and online education adoption driving 12% annual market growth.",</w:t>
      </w:r>
    </w:p>
    <w:p>
      <w:pPr>
        <w:shd w:fill="F0F0F0" w:val="clear"/>
        <w:spacing w:after="14" w:before="14"/>
        <w:ind w:left="360"/>
      </w:pPr>
      <w:r>
        <w:rPr>
          <w:rFonts w:ascii="Courier New" w:cs="Courier New" w:eastAsia="Courier New" w:hAnsi="Courier New"/>
          <w:color w:val="1B2A4A"/>
          <w:sz w:val="16"/>
          <w:szCs w:val="16"/>
        </w:rPr>
        <w:t xml:space="preserve">    "stat2n": "30+",</w:t>
      </w:r>
    </w:p>
    <w:p>
      <w:pPr>
        <w:shd w:fill="F0F0F0" w:val="clear"/>
        <w:spacing w:after="14" w:before="14"/>
        <w:ind w:left="360"/>
      </w:pPr>
      <w:r>
        <w:rPr>
          <w:rFonts w:ascii="Courier New" w:cs="Courier New" w:eastAsia="Courier New" w:hAnsi="Courier New"/>
          <w:color w:val="1B2A4A"/>
          <w:sz w:val="16"/>
          <w:szCs w:val="16"/>
        </w:rPr>
        <w:t xml:space="preserve">    "stat2l": "Primary interviews per Africa higher education mandate",</w:t>
      </w:r>
    </w:p>
    <w:p>
      <w:pPr>
        <w:shd w:fill="F0F0F0" w:val="clear"/>
        <w:spacing w:after="14" w:before="14"/>
        <w:ind w:left="360"/>
      </w:pPr>
      <w:r>
        <w:rPr>
          <w:rFonts w:ascii="Courier New" w:cs="Courier New" w:eastAsia="Courier New" w:hAnsi="Courier New"/>
          <w:color w:val="1B2A4A"/>
          <w:sz w:val="16"/>
          <w:szCs w:val="16"/>
        </w:rPr>
        <w:t xml:space="preserve">    "stat2b": "African students, SAQA officials, and university partnership contacts — every engagement grounded in direct primary research.",</w:t>
      </w:r>
    </w:p>
    <w:p>
      <w:pPr>
        <w:shd w:fill="F0F0F0" w:val="clear"/>
        <w:spacing w:after="14" w:before="14"/>
        <w:ind w:left="360"/>
      </w:pPr>
      <w:r>
        <w:rPr>
          <w:rFonts w:ascii="Courier New" w:cs="Courier New" w:eastAsia="Courier New" w:hAnsi="Courier New"/>
          <w:color w:val="1B2A4A"/>
          <w:sz w:val="16"/>
          <w:szCs w:val="16"/>
        </w:rPr>
        <w:t xml:space="preserve">    "stat3n": "10 weeks",</w:t>
      </w:r>
    </w:p>
    <w:p>
      <w:pPr>
        <w:shd w:fill="F0F0F0" w:val="clear"/>
        <w:spacing w:after="14" w:before="14"/>
        <w:ind w:left="360"/>
      </w:pPr>
      <w:r>
        <w:rPr>
          <w:rFonts w:ascii="Courier New" w:cs="Courier New" w:eastAsia="Courier New" w:hAnsi="Courier New"/>
          <w:color w:val="1B2A4A"/>
          <w:sz w:val="16"/>
          <w:szCs w:val="16"/>
        </w:rPr>
        <w:t xml:space="preserve">    "stat3l": "Africa higher education market entry strategy",</w:t>
      </w:r>
    </w:p>
    <w:p>
      <w:pPr>
        <w:shd w:fill="F0F0F0" w:val="clear"/>
        <w:spacing w:after="14" w:before="14"/>
        <w:ind w:left="360"/>
      </w:pPr>
      <w:r>
        <w:rPr>
          <w:rFonts w:ascii="Courier New" w:cs="Courier New" w:eastAsia="Courier New" w:hAnsi="Courier New"/>
          <w:color w:val="1B2A4A"/>
          <w:sz w:val="16"/>
          <w:szCs w:val="16"/>
        </w:rPr>
        <w:t xml:space="preserve">    "stat3b": "AI-augmented SAQA regulatory mapping and student demand research delivers Africa higher education strategies efficiently."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"slug": "southeast-asia-higher-education",</w:t>
      </w:r>
    </w:p>
    <w:p>
      <w:pPr>
        <w:shd w:fill="F0F0F0" w:val="clear"/>
        <w:spacing w:after="14" w:before="14"/>
        <w:ind w:left="360"/>
      </w:pPr>
      <w:r>
        <w:rPr>
          <w:rFonts w:ascii="Courier New" w:cs="Courier New" w:eastAsia="Courier New" w:hAnsi="Courier New"/>
          <w:color w:val="1B2A4A"/>
          <w:sz w:val="16"/>
          <w:szCs w:val="16"/>
        </w:rPr>
        <w:t xml:space="preserve">    "parent": "higher-education",</w:t>
      </w:r>
    </w:p>
    <w:p>
      <w:pPr>
        <w:shd w:fill="F0F0F0" w:val="clear"/>
        <w:spacing w:after="14" w:before="14"/>
        <w:ind w:left="360"/>
      </w:pPr>
      <w:r>
        <w:rPr>
          <w:rFonts w:ascii="Courier New" w:cs="Courier New" w:eastAsia="Courier New" w:hAnsi="Courier New"/>
          <w:color w:val="1B2A4A"/>
          <w:sz w:val="16"/>
          <w:szCs w:val="16"/>
        </w:rPr>
        <w:t xml:space="preserve">    "title": "Southeast Asia Higher Education Market Entry | GreyRadius",</w:t>
      </w:r>
    </w:p>
    <w:p>
      <w:pPr>
        <w:shd w:fill="F0F0F0" w:val="clear"/>
        <w:spacing w:after="14" w:before="14"/>
        <w:ind w:left="360"/>
      </w:pPr>
      <w:r>
        <w:rPr>
          <w:rFonts w:ascii="Courier New" w:cs="Courier New" w:eastAsia="Courier New" w:hAnsi="Courier New"/>
          <w:color w:val="1B2A4A"/>
          <w:sz w:val="16"/>
          <w:szCs w:val="16"/>
        </w:rPr>
        <w:t xml:space="preserve">    "meta": "GreyRadius helps international higher education institutions enter Southeast Asia with Singapore CPE regulatory mapping, Malaysia MOHE MQA accreditation advisory, and partnership identification.",</w:t>
      </w:r>
    </w:p>
    <w:p>
      <w:pPr>
        <w:shd w:fill="F0F0F0" w:val="clear"/>
        <w:spacing w:after="14" w:before="14"/>
        <w:ind w:left="360"/>
      </w:pPr>
      <w:r>
        <w:rPr>
          <w:rFonts w:ascii="Courier New" w:cs="Courier New" w:eastAsia="Courier New" w:hAnsi="Courier New"/>
          <w:color w:val="1B2A4A"/>
          <w:sz w:val="16"/>
          <w:szCs w:val="16"/>
        </w:rPr>
        <w:t xml:space="preserve">    "h1": "Southeast Asia higher education market entry strategy",</w:t>
      </w:r>
    </w:p>
    <w:p>
      <w:pPr>
        <w:shd w:fill="F0F0F0" w:val="clear"/>
        <w:spacing w:after="14" w:before="14"/>
        <w:ind w:left="360"/>
      </w:pPr>
      <w:r>
        <w:rPr>
          <w:rFonts w:ascii="Courier New" w:cs="Courier New" w:eastAsia="Courier New" w:hAnsi="Courier New"/>
          <w:color w:val="1B2A4A"/>
          <w:sz w:val="16"/>
          <w:szCs w:val="16"/>
        </w:rPr>
        <w:t xml:space="preserve">    "tagline": "From international university to Southeast Asian student — strategy for higher education institutions entering ASEAN.",</w:t>
      </w:r>
    </w:p>
    <w:p>
      <w:pPr>
        <w:shd w:fill="F0F0F0" w:val="clear"/>
        <w:spacing w:after="14" w:before="14"/>
        <w:ind w:left="360"/>
      </w:pPr>
      <w:r>
        <w:rPr>
          <w:rFonts w:ascii="Courier New" w:cs="Courier New" w:eastAsia="Courier New" w:hAnsi="Courier New"/>
          <w:color w:val="1B2A4A"/>
          <w:sz w:val="16"/>
          <w:szCs w:val="16"/>
        </w:rPr>
        <w:t xml:space="preserve">    "hero": "Southeast Asia's higher education market is one of the world's most commercially significant — with 700 million people, Southeast Asia's rapidly growing middle class increasingly demanding internationally-recognised qualifications, Singapore's established international university ecosystem validating the branch campus model, Malaysia's SETARA university ranking system creating quality signal infrastructure, and Indonesia's rapidly expanding private higher education market. International universities, business schools, professional certification bodies, and online education companies are all evaluating Southeast Asia as a higher education market. GreyRadius helps institutions validate ASEAN student demand, navigate MOE Singapore, MOHE Malaysia, and country-specific regulatory requirements, identify partnership opportunities, and execute market entry.",</w:t>
      </w:r>
    </w:p>
    <w:p>
      <w:pPr>
        <w:shd w:fill="F0F0F0" w:val="clear"/>
        <w:spacing w:after="14" w:before="14"/>
        <w:ind w:left="360"/>
      </w:pPr>
      <w:r>
        <w:rPr>
          <w:rFonts w:ascii="Courier New" w:cs="Courier New" w:eastAsia="Courier New" w:hAnsi="Courier New"/>
          <w:color w:val="1B2A4A"/>
          <w:sz w:val="16"/>
          <w:szCs w:val="16"/>
        </w:rPr>
        <w:t xml:space="preserve">    "market_timing": "Indonesia's new higher education law is creating private university foreign partnership opportunities — international universities can now establish partnerships with Indonesian private universities with reduced regulatory barriers. The institutions establishing Indonesian university partnership frameworks in 2024-2026 will access 60 million Indonesian 18-24 year olds as the regulatory environment stabilises.",</w:t>
      </w:r>
    </w:p>
    <w:p>
      <w:pPr>
        <w:shd w:fill="F0F0F0" w:val="clear"/>
        <w:spacing w:after="14" w:before="14"/>
        <w:ind w:left="360"/>
      </w:pPr>
      <w:r>
        <w:rPr>
          <w:rFonts w:ascii="Courier New" w:cs="Courier New" w:eastAsia="Courier New" w:hAnsi="Courier New"/>
          <w:color w:val="1B2A4A"/>
          <w:sz w:val="16"/>
          <w:szCs w:val="16"/>
        </w:rPr>
        <w:t xml:space="preserve">    "insights": [</w:t>
      </w:r>
    </w:p>
    <w:p>
      <w:pPr>
        <w:shd w:fill="F0F0F0" w:val="clear"/>
        <w:spacing w:after="14" w:before="14"/>
        <w:ind w:left="360"/>
      </w:pPr>
      <w:r>
        <w:rPr>
          <w:rFonts w:ascii="Courier New" w:cs="Courier New" w:eastAsia="Courier New" w:hAnsi="Courier New"/>
          <w:color w:val="1B2A4A"/>
          <w:sz w:val="16"/>
          <w:szCs w:val="16"/>
        </w:rPr>
        <w:t xml:space="preserve">      "Southeast Asia higher education market is projected to reach $40B by 2028 — growing at 10% annually as middle class expansion, international qualification demand, and online education adoption all scale.",</w:t>
      </w:r>
    </w:p>
    <w:p>
      <w:pPr>
        <w:shd w:fill="F0F0F0" w:val="clear"/>
        <w:spacing w:after="14" w:before="14"/>
        <w:ind w:left="360"/>
      </w:pPr>
      <w:r>
        <w:rPr>
          <w:rFonts w:ascii="Courier New" w:cs="Courier New" w:eastAsia="Courier New" w:hAnsi="Courier New"/>
          <w:color w:val="1B2A4A"/>
          <w:sz w:val="16"/>
          <w:szCs w:val="16"/>
        </w:rPr>
        <w:t xml:space="preserve">      "Singapore has the most internationalised higher education market in ASEAN — 30+ international university programmes and MOE Singapore's private education regulatory framework creating clear entry pathways.",</w:t>
      </w:r>
    </w:p>
    <w:p>
      <w:pPr>
        <w:shd w:fill="F0F0F0" w:val="clear"/>
        <w:spacing w:after="14" w:before="14"/>
        <w:ind w:left="360"/>
      </w:pPr>
      <w:r>
        <w:rPr>
          <w:rFonts w:ascii="Courier New" w:cs="Courier New" w:eastAsia="Courier New" w:hAnsi="Courier New"/>
          <w:color w:val="1B2A4A"/>
          <w:sz w:val="16"/>
          <w:szCs w:val="16"/>
        </w:rPr>
        <w:t xml:space="preserve">      "Malaysia's MQA Malaysian Qualifications Framework and SETARA ranking create quality signalling infrastructure — internationally-accredited Malaysia programmes carry strong employer credibility across ASEAN.",</w:t>
      </w:r>
    </w:p>
    <w:p>
      <w:pPr>
        <w:shd w:fill="F0F0F0" w:val="clear"/>
        <w:spacing w:after="14" w:before="14"/>
        <w:ind w:left="360"/>
      </w:pPr>
      <w:r>
        <w:rPr>
          <w:rFonts w:ascii="Courier New" w:cs="Courier New" w:eastAsia="Courier New" w:hAnsi="Courier New"/>
          <w:color w:val="1B2A4A"/>
          <w:sz w:val="16"/>
          <w:szCs w:val="16"/>
        </w:rPr>
        <w:t xml:space="preserve">      "Vietnam's higher education market is growing at 15% — 2 million annual new higher education enrolments and government encouragement of international partnership creating significant opportunity."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"challenges_market": [</w:t>
      </w:r>
    </w:p>
    <w:p>
      <w:pPr>
        <w:shd w:fill="F0F0F0" w:val="clear"/>
        <w:spacing w:after="14" w:before="14"/>
        <w:ind w:left="360"/>
      </w:pPr>
      <w:r>
        <w:rPr>
          <w:rFonts w:ascii="Courier New" w:cs="Courier New" w:eastAsia="Courier New" w:hAnsi="Courier New"/>
          <w:color w:val="1B2A4A"/>
          <w:sz w:val="16"/>
          <w:szCs w:val="16"/>
        </w:rPr>
        <w:t xml:space="preserve">      "MOE Singapore Committee for Private Education (CPE) approval is required for private education providers — detailed application process covering curriculum, faculty, and student support requirements.",</w:t>
      </w:r>
    </w:p>
    <w:p>
      <w:pPr>
        <w:shd w:fill="F0F0F0" w:val="clear"/>
        <w:spacing w:after="14" w:before="14"/>
        <w:ind w:left="360"/>
      </w:pPr>
      <w:r>
        <w:rPr>
          <w:rFonts w:ascii="Courier New" w:cs="Courier New" w:eastAsia="Courier New" w:hAnsi="Courier New"/>
          <w:color w:val="1B2A4A"/>
          <w:sz w:val="16"/>
          <w:szCs w:val="16"/>
        </w:rPr>
        <w:t xml:space="preserve">      "Malaysia MOHE private university collaboration approval requires specific academic partnership structure — foreign universities must collaborate with MOE-approved Malaysian institutions.",</w:t>
      </w:r>
    </w:p>
    <w:p>
      <w:pPr>
        <w:shd w:fill="F0F0F0" w:val="clear"/>
        <w:spacing w:after="14" w:before="14"/>
        <w:ind w:left="360"/>
      </w:pPr>
      <w:r>
        <w:rPr>
          <w:rFonts w:ascii="Courier New" w:cs="Courier New" w:eastAsia="Courier New" w:hAnsi="Courier New"/>
          <w:color w:val="1B2A4A"/>
          <w:sz w:val="16"/>
          <w:szCs w:val="16"/>
        </w:rPr>
        <w:t xml:space="preserve">      "Indonesia higher education partnerships require ministry-level approval — Kemendikbudristek approval for international university partnerships involves complex regulatory process.",</w:t>
      </w:r>
    </w:p>
    <w:p>
      <w:pPr>
        <w:shd w:fill="F0F0F0" w:val="clear"/>
        <w:spacing w:after="14" w:before="14"/>
        <w:ind w:left="360"/>
      </w:pPr>
      <w:r>
        <w:rPr>
          <w:rFonts w:ascii="Courier New" w:cs="Courier New" w:eastAsia="Courier New" w:hAnsi="Courier New"/>
          <w:color w:val="1B2A4A"/>
          <w:sz w:val="16"/>
          <w:szCs w:val="16"/>
        </w:rPr>
        <w:t xml:space="preserve">      "Competition from established ASEAN universities — NUS, NTU, and UM — with established regional employer relationships and lower fees is intense."</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"challenges_we_solve": [</w:t>
      </w:r>
    </w:p>
    <w:p>
      <w:pPr>
        <w:shd w:fill="F0F0F0" w:val="clear"/>
        <w:spacing w:after="14" w:before="14"/>
        <w:ind w:left="360"/>
      </w:pPr>
      <w:r>
        <w:rPr>
          <w:rFonts w:ascii="Courier New" w:cs="Courier New" w:eastAsia="Courier New" w:hAnsi="Courier New"/>
          <w:color w:val="1B2A4A"/>
          <w:sz w:val="16"/>
          <w:szCs w:val="16"/>
        </w:rPr>
        <w:t xml:space="preserve">      "Southeast Asia higher education demand validation|You need to validate ASEAN student and family demand for your institution and understand CPE Singapore, MOHE Malaysia, and Kemendikbudristek requirements.",</w:t>
      </w:r>
    </w:p>
    <w:p>
      <w:pPr>
        <w:shd w:fill="F0F0F0" w:val="clear"/>
        <w:spacing w:after="14" w:before="14"/>
        <w:ind w:left="360"/>
      </w:pPr>
      <w:r>
        <w:rPr>
          <w:rFonts w:ascii="Courier New" w:cs="Courier New" w:eastAsia="Courier New" w:hAnsi="Courier New"/>
          <w:color w:val="1B2A4A"/>
          <w:sz w:val="16"/>
          <w:szCs w:val="16"/>
        </w:rPr>
        <w:t xml:space="preserve">      "MOE CPE and MOHE regulatory pathway|You need to understand Singapore CPE private education approval, Malaysia MQA programme accreditation, and Vietnam MOET international programme requirements.",</w:t>
      </w:r>
    </w:p>
    <w:p>
      <w:pPr>
        <w:shd w:fill="F0F0F0" w:val="clear"/>
        <w:spacing w:after="14" w:before="14"/>
        <w:ind w:left="360"/>
      </w:pPr>
      <w:r>
        <w:rPr>
          <w:rFonts w:ascii="Courier New" w:cs="Courier New" w:eastAsia="Courier New" w:hAnsi="Courier New"/>
          <w:color w:val="1B2A4A"/>
          <w:sz w:val="16"/>
          <w:szCs w:val="16"/>
        </w:rPr>
        <w:t xml:space="preserve">      "Southeast Asia higher education partnership identification|You need Singapore private education campus partners, Malaysia MOHE-approved university partnerships, and Indonesia Kemendikbudristek-approved collaboration candidates.",</w:t>
      </w:r>
    </w:p>
    <w:p>
      <w:pPr>
        <w:shd w:fill="F0F0F0" w:val="clear"/>
        <w:spacing w:after="14" w:before="14"/>
        <w:ind w:left="360"/>
      </w:pPr>
      <w:r>
        <w:rPr>
          <w:rFonts w:ascii="Courier New" w:cs="Courier New" w:eastAsia="Courier New" w:hAnsi="Courier New"/>
          <w:color w:val="1B2A4A"/>
          <w:sz w:val="16"/>
          <w:szCs w:val="16"/>
        </w:rPr>
        <w:t xml:space="preserve">      "Southeast Asia higher education GTM strategy|You need a Singapore-first CPE-approved premium positioning or Malaysia-first MQA-accredited regional expansion strategy.",</w:t>
      </w:r>
    </w:p>
    <w:p>
      <w:pPr>
        <w:shd w:fill="F0F0F0" w:val="clear"/>
        <w:spacing w:after="14" w:before="14"/>
        <w:ind w:left="360"/>
      </w:pPr>
      <w:r>
        <w:rPr>
          <w:rFonts w:ascii="Courier New" w:cs="Courier New" w:eastAsia="Courier New" w:hAnsi="Courier New"/>
          <w:color w:val="1B2A4A"/>
          <w:sz w:val="16"/>
          <w:szCs w:val="16"/>
        </w:rPr>
        <w:t xml:space="preserve">      "Raising capital for Southeast Asia higher education investment|You need a pitch book grounded in ASEAN higher education demand data and middle class qualification aspiration analysis.",</w:t>
      </w:r>
    </w:p>
    <w:p>
      <w:pPr>
        <w:shd w:fill="F0F0F0" w:val="clear"/>
        <w:spacing w:after="14" w:before="14"/>
        <w:ind w:left="360"/>
      </w:pPr>
      <w:r>
        <w:rPr>
          <w:rFonts w:ascii="Courier New" w:cs="Courier New" w:eastAsia="Courier New" w:hAnsi="Courier New"/>
          <w:color w:val="1B2A4A"/>
          <w:sz w:val="16"/>
          <w:szCs w:val="16"/>
        </w:rPr>
        <w:t xml:space="preserve">      "Online education regulatory pathway|You need a Singapore CPE-approved online degree or Malaysia MQA online accreditation pathway for digital-first market entry."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"service_angles": [</w:t>
      </w:r>
    </w:p>
    <w:p>
      <w:pPr>
        <w:shd w:fill="F0F0F0" w:val="clear"/>
        <w:spacing w:after="14" w:before="14"/>
        <w:ind w:left="360"/>
      </w:pPr>
      <w:r>
        <w:rPr>
          <w:rFonts w:ascii="Courier New" w:cs="Courier New" w:eastAsia="Courier New" w:hAnsi="Courier New"/>
          <w:color w:val="1B2A4A"/>
          <w:sz w:val="16"/>
          <w:szCs w:val="16"/>
        </w:rPr>
        <w:t xml:space="preserve">      "Validate Southeast Asian student demand for your institution with student interviews and CPE regulatory mapping.",</w:t>
      </w:r>
    </w:p>
    <w:p>
      <w:pPr>
        <w:shd w:fill="F0F0F0" w:val="clear"/>
        <w:spacing w:after="14" w:before="14"/>
        <w:ind w:left="360"/>
      </w:pPr>
      <w:r>
        <w:rPr>
          <w:rFonts w:ascii="Courier New" w:cs="Courier New" w:eastAsia="Courier New" w:hAnsi="Courier New"/>
          <w:color w:val="1B2A4A"/>
          <w:sz w:val="16"/>
          <w:szCs w:val="16"/>
        </w:rPr>
        <w:t xml:space="preserve">      "Full financial feasibility for Southeast Asia higher education investment covering CPE approval cost and campus economics.",</w:t>
      </w:r>
    </w:p>
    <w:p>
      <w:pPr>
        <w:shd w:fill="F0F0F0" w:val="clear"/>
        <w:spacing w:after="14" w:before="14"/>
        <w:ind w:left="360"/>
      </w:pPr>
      <w:r>
        <w:rPr>
          <w:rFonts w:ascii="Courier New" w:cs="Courier New" w:eastAsia="Courier New" w:hAnsi="Courier New"/>
          <w:color w:val="1B2A4A"/>
          <w:sz w:val="16"/>
          <w:szCs w:val="16"/>
        </w:rPr>
        <w:t xml:space="preserve">      "End-to-end Southeast Asia higher education market entry including CPE pathway, partnership identification, and first-student-cohort milestone.",</w:t>
      </w:r>
    </w:p>
    <w:p>
      <w:pPr>
        <w:shd w:fill="F0F0F0" w:val="clear"/>
        <w:spacing w:after="14" w:before="14"/>
        <w:ind w:left="360"/>
      </w:pPr>
      <w:r>
        <w:rPr>
          <w:rFonts w:ascii="Courier New" w:cs="Courier New" w:eastAsia="Courier New" w:hAnsi="Courier New"/>
          <w:color w:val="1B2A4A"/>
          <w:sz w:val="16"/>
          <w:szCs w:val="16"/>
        </w:rPr>
        <w:t xml:space="preserve">      "Embedded Southeast Asia higher education GTM team covering student recruitment and employer relationship outreach.",</w:t>
      </w:r>
    </w:p>
    <w:p>
      <w:pPr>
        <w:shd w:fill="F0F0F0" w:val="clear"/>
        <w:spacing w:after="14" w:before="14"/>
        <w:ind w:left="360"/>
      </w:pPr>
      <w:r>
        <w:rPr>
          <w:rFonts w:ascii="Courier New" w:cs="Courier New" w:eastAsia="Courier New" w:hAnsi="Courier New"/>
          <w:color w:val="1B2A4A"/>
          <w:sz w:val="16"/>
          <w:szCs w:val="16"/>
        </w:rPr>
        <w:t xml:space="preserve">      "Investor-ready pitch books for Southeast Asia higher education investment with middle class qualification demand narrative.",</w:t>
      </w:r>
    </w:p>
    <w:p>
      <w:pPr>
        <w:shd w:fill="F0F0F0" w:val="clear"/>
        <w:spacing w:after="14" w:before="14"/>
        <w:ind w:left="360"/>
      </w:pPr>
      <w:r>
        <w:rPr>
          <w:rFonts w:ascii="Courier New" w:cs="Courier New" w:eastAsia="Courier New" w:hAnsi="Courier New"/>
          <w:color w:val="1B2A4A"/>
          <w:sz w:val="16"/>
          <w:szCs w:val="16"/>
        </w:rPr>
        <w:t xml:space="preserve">      "AI use-case identification — from AI-powered ASEAN student admissions to Bahasa Indonesia language educational content."</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"faq": [</w:t>
      </w:r>
    </w:p>
    <w:p>
      <w:pPr>
        <w:shd w:fill="F0F0F0" w:val="clear"/>
        <w:spacing w:after="14" w:before="14"/>
        <w:ind w:left="360"/>
      </w:pPr>
      <w:r>
        <w:rPr>
          <w:rFonts w:ascii="Courier New" w:cs="Courier New" w:eastAsia="Courier New" w:hAnsi="Courier New"/>
          <w:color w:val="1B2A4A"/>
          <w:sz w:val="16"/>
          <w:szCs w:val="16"/>
        </w:rPr>
        <w:t xml:space="preserve">      "Does GreyRadius work with universities or also with business schools, professional certification, and online education companies entering Southeast Asia?|All higher education categories.",</w:t>
      </w:r>
    </w:p>
    <w:p>
      <w:pPr>
        <w:shd w:fill="F0F0F0" w:val="clear"/>
        <w:spacing w:after="14" w:before="14"/>
        <w:ind w:left="360"/>
      </w:pPr>
      <w:r>
        <w:rPr>
          <w:rFonts w:ascii="Courier New" w:cs="Courier New" w:eastAsia="Courier New" w:hAnsi="Courier New"/>
          <w:color w:val="1B2A4A"/>
          <w:sz w:val="16"/>
          <w:szCs w:val="16"/>
        </w:rPr>
        <w:t xml:space="preserve">      "Which Southeast Asian higher education market should institutions enter first?|Singapore for CPE regulatory clarity and established international education ecosystem; Malaysia for MQA-accredited ASEAN regional positioning.",</w:t>
      </w:r>
    </w:p>
    <w:p>
      <w:pPr>
        <w:shd w:fill="F0F0F0" w:val="clear"/>
        <w:spacing w:after="14" w:before="14"/>
        <w:ind w:left="360"/>
      </w:pPr>
      <w:r>
        <w:rPr>
          <w:rFonts w:ascii="Courier New" w:cs="Courier New" w:eastAsia="Courier New" w:hAnsi="Courier New"/>
          <w:color w:val="1B2A4A"/>
          <w:sz w:val="16"/>
          <w:szCs w:val="16"/>
        </w:rPr>
        <w:t xml:space="preserve">      "How long does a Southeast Asia higher education engagement take?|Typically 10-14 weeks for student demand research, CPE regulatory mapping, and partnership identification.",</w:t>
      </w:r>
    </w:p>
    <w:p>
      <w:pPr>
        <w:shd w:fill="F0F0F0" w:val="clear"/>
        <w:spacing w:after="14" w:before="14"/>
        <w:ind w:left="360"/>
      </w:pPr>
      <w:r>
        <w:rPr>
          <w:rFonts w:ascii="Courier New" w:cs="Courier New" w:eastAsia="Courier New" w:hAnsi="Courier New"/>
          <w:color w:val="1B2A4A"/>
          <w:sz w:val="16"/>
          <w:szCs w:val="16"/>
        </w:rPr>
        <w:t xml:space="preserve">      "Can GreyRadius identify Singapore CPE-approved campus partners for international universities?|Yes."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"keywords": "Southeast Asia higher education market entry, Singapore CPE consulting, Malaysia MOHE MQA accreditation advisory, Indonesia Kemendikbudristek partnership GTM, ASEAN university market entry",</w:t>
      </w:r>
    </w:p>
    <w:p>
      <w:pPr>
        <w:shd w:fill="F0F0F0" w:val="clear"/>
        <w:spacing w:after="14" w:before="14"/>
        <w:ind w:left="360"/>
      </w:pPr>
      <w:r>
        <w:rPr>
          <w:rFonts w:ascii="Courier New" w:cs="Courier New" w:eastAsia="Courier New" w:hAnsi="Courier New"/>
          <w:color w:val="1B2A4A"/>
          <w:sz w:val="16"/>
          <w:szCs w:val="16"/>
        </w:rPr>
        <w:t xml:space="preserve">    "regions": "Singapore — CPE-approved private education providers and international programme ecosystem; Malaysia — MOHE-accredited private universities and international collaborations; Vietnam — MOET-approved international programmes",</w:t>
      </w:r>
    </w:p>
    <w:p>
      <w:pPr>
        <w:shd w:fill="F0F0F0" w:val="clear"/>
        <w:spacing w:after="14" w:before="14"/>
        <w:ind w:left="360"/>
      </w:pPr>
      <w:r>
        <w:rPr>
          <w:rFonts w:ascii="Courier New" w:cs="Courier New" w:eastAsia="Courier New" w:hAnsi="Courier New"/>
          <w:color w:val="1B2A4A"/>
          <w:sz w:val="16"/>
          <w:szCs w:val="16"/>
        </w:rPr>
        <w:t xml:space="preserve">    "stat1n": "$40B",</w:t>
      </w:r>
    </w:p>
    <w:p>
      <w:pPr>
        <w:shd w:fill="F0F0F0" w:val="clear"/>
        <w:spacing w:after="14" w:before="14"/>
        <w:ind w:left="360"/>
      </w:pPr>
      <w:r>
        <w:rPr>
          <w:rFonts w:ascii="Courier New" w:cs="Courier New" w:eastAsia="Courier New" w:hAnsi="Courier New"/>
          <w:color w:val="1B2A4A"/>
          <w:sz w:val="16"/>
          <w:szCs w:val="16"/>
        </w:rPr>
        <w:t xml:space="preserve">    "stat1l": "Southeast Asia higher education market by 2028",</w:t>
      </w:r>
    </w:p>
    <w:p>
      <w:pPr>
        <w:shd w:fill="F0F0F0" w:val="clear"/>
        <w:spacing w:after="14" w:before="14"/>
        <w:ind w:left="360"/>
      </w:pPr>
      <w:r>
        <w:rPr>
          <w:rFonts w:ascii="Courier New" w:cs="Courier New" w:eastAsia="Courier New" w:hAnsi="Courier New"/>
          <w:color w:val="1B2A4A"/>
          <w:sz w:val="16"/>
          <w:szCs w:val="16"/>
        </w:rPr>
        <w:t xml:space="preserve">    "stat1b": "Middle class expansion, international qualification demand, and online education adoption driving 10% annual ASEAN higher education growth.",</w:t>
      </w:r>
    </w:p>
    <w:p>
      <w:pPr>
        <w:shd w:fill="F0F0F0" w:val="clear"/>
        <w:spacing w:after="14" w:before="14"/>
        <w:ind w:left="360"/>
      </w:pPr>
      <w:r>
        <w:rPr>
          <w:rFonts w:ascii="Courier New" w:cs="Courier New" w:eastAsia="Courier New" w:hAnsi="Courier New"/>
          <w:color w:val="1B2A4A"/>
          <w:sz w:val="16"/>
          <w:szCs w:val="16"/>
        </w:rPr>
        <w:t xml:space="preserve">    "stat2n": "30+",</w:t>
      </w:r>
    </w:p>
    <w:p>
      <w:pPr>
        <w:shd w:fill="F0F0F0" w:val="clear"/>
        <w:spacing w:after="14" w:before="14"/>
        <w:ind w:left="360"/>
      </w:pPr>
      <w:r>
        <w:rPr>
          <w:rFonts w:ascii="Courier New" w:cs="Courier New" w:eastAsia="Courier New" w:hAnsi="Courier New"/>
          <w:color w:val="1B2A4A"/>
          <w:sz w:val="16"/>
          <w:szCs w:val="16"/>
        </w:rPr>
        <w:t xml:space="preserve">    "stat2l": "Primary interviews per Southeast Asia higher education mandate",</w:t>
      </w:r>
    </w:p>
    <w:p>
      <w:pPr>
        <w:shd w:fill="F0F0F0" w:val="clear"/>
        <w:spacing w:after="14" w:before="14"/>
        <w:ind w:left="360"/>
      </w:pPr>
      <w:r>
        <w:rPr>
          <w:rFonts w:ascii="Courier New" w:cs="Courier New" w:eastAsia="Courier New" w:hAnsi="Courier New"/>
          <w:color w:val="1B2A4A"/>
          <w:sz w:val="16"/>
          <w:szCs w:val="16"/>
        </w:rPr>
        <w:t xml:space="preserve">    "stat2b": "ASEAN students, CPE officials, and university partnership contacts — every engagement grounded in direct primary research.",</w:t>
      </w:r>
    </w:p>
    <w:p>
      <w:pPr>
        <w:shd w:fill="F0F0F0" w:val="clear"/>
        <w:spacing w:after="14" w:before="14"/>
        <w:ind w:left="360"/>
      </w:pPr>
      <w:r>
        <w:rPr>
          <w:rFonts w:ascii="Courier New" w:cs="Courier New" w:eastAsia="Courier New" w:hAnsi="Courier New"/>
          <w:color w:val="1B2A4A"/>
          <w:sz w:val="16"/>
          <w:szCs w:val="16"/>
        </w:rPr>
        <w:t xml:space="preserve">    "stat3n": "10 weeks",</w:t>
      </w:r>
    </w:p>
    <w:p>
      <w:pPr>
        <w:shd w:fill="F0F0F0" w:val="clear"/>
        <w:spacing w:after="14" w:before="14"/>
        <w:ind w:left="360"/>
      </w:pPr>
      <w:r>
        <w:rPr>
          <w:rFonts w:ascii="Courier New" w:cs="Courier New" w:eastAsia="Courier New" w:hAnsi="Courier New"/>
          <w:color w:val="1B2A4A"/>
          <w:sz w:val="16"/>
          <w:szCs w:val="16"/>
        </w:rPr>
        <w:t xml:space="preserve">    "stat3l": "Southeast Asia higher education market entry strategy",</w:t>
      </w:r>
    </w:p>
    <w:p>
      <w:pPr>
        <w:shd w:fill="F0F0F0" w:val="clear"/>
        <w:spacing w:after="14" w:before="14"/>
        <w:ind w:left="360"/>
      </w:pPr>
      <w:r>
        <w:rPr>
          <w:rFonts w:ascii="Courier New" w:cs="Courier New" w:eastAsia="Courier New" w:hAnsi="Courier New"/>
          <w:color w:val="1B2A4A"/>
          <w:sz w:val="16"/>
          <w:szCs w:val="16"/>
        </w:rPr>
        <w:t xml:space="preserve">    "stat3b": "AI-augmented CPE regulatory mapping and student demand research delivers Southeast Asia higher education strategies efficiently."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w:t>
      </w:r>
    </w:p>
    <w:p>
      <w:pPr>
        <w:pBdr>
          <w:bottom w:val="single" w:color="1B2A4A" w:sz="8" w:space="1"/>
        </w:pBdr>
        <w:spacing w:after="200" w:before="200"/>
      </w:pPr>
      <w:r>
        <w:rPr>
          <w:rFonts w:ascii="Arial" w:cs="Arial" w:eastAsia="Arial" w:hAnsi="Arial"/>
        </w:rPr>
        <w:t xml:space="preserve"/>
      </w:r>
    </w:p>
    <w:p>
      <w:pPr>
        <w:pStyle w:val="Heading1"/>
        <w:spacing w:after="160" w:before="400"/>
      </w:pPr>
      <w:r>
        <w:rPr>
          <w:rFonts w:ascii="Arial" w:cs="Arial" w:eastAsia="Arial" w:hAnsi="Arial"/>
          <w:b/>
          <w:bCs/>
          <w:color w:val="1B2A4A"/>
          <w:sz w:val="32"/>
          <w:szCs w:val="32"/>
        </w:rPr>
        <w:t xml:space="preserve">Final running total — 400-page target reached</w:t>
      </w:r>
    </w:p>
    <w:p>
      <w:pPr>
        <w:spacing w:after="60" w:before="60"/>
      </w:pPr>
      <w:r>
        <w:rPr>
          <w:rFonts w:ascii="Arial" w:cs="Arial" w:eastAsia="Arial" w:hAnsi="Arial"/>
          <w:color w:val="222222"/>
          <w:sz w:val="20"/>
          <w:szCs w:val="20"/>
        </w:rPr>
        <w:t xml:space="preserve">Batch 20: 21 pages → cumulative 360</w:t>
      </w:r>
    </w:p>
    <w:p>
      <w:pPr>
        <w:spacing w:after="60" w:before="60"/>
      </w:pPr>
      <w:r>
        <w:rPr>
          <w:rFonts w:ascii="Arial" w:cs="Arial" w:eastAsia="Arial" w:hAnsi="Arial"/>
          <w:color w:val="222222"/>
          <w:sz w:val="20"/>
          <w:szCs w:val="20"/>
        </w:rPr>
        <w:t xml:space="preserve">Batch 21: 20 pages → cumulative 380</w:t>
      </w:r>
    </w:p>
    <w:p>
      <w:pPr>
        <w:spacing w:after="60" w:before="60"/>
      </w:pPr>
      <w:r>
        <w:rPr>
          <w:rFonts w:ascii="Arial" w:cs="Arial" w:eastAsia="Arial" w:hAnsi="Arial"/>
          <w:color w:val="222222"/>
          <w:sz w:val="20"/>
          <w:szCs w:val="20"/>
        </w:rPr>
        <w:t xml:space="preserve">Batch 22: 20 pages → cumulative 400</w:t>
      </w:r>
    </w:p>
    <w:p>
      <w:pPr>
        <w:spacing w:after="60" w:before="60"/>
      </w:pPr>
      <w:r>
        <w:rPr>
          <w:rFonts w:ascii="Arial" w:cs="Arial" w:eastAsia="Arial" w:hAnsi="Arial"/>
          <w:color w:val="222222"/>
          <w:sz w:val="20"/>
          <w:szCs w:val="20"/>
        </w:rPr>
        <w:t xml:space="preserve"/>
      </w:r>
    </w:p>
    <w:p>
      <w:pPr>
        <w:spacing w:after="60" w:before="60"/>
      </w:pPr>
      <w:r>
        <w:rPr>
          <w:rFonts w:ascii="Arial" w:cs="Arial" w:eastAsia="Arial" w:hAnsi="Arial"/>
          <w:color w:val="222222"/>
          <w:sz w:val="20"/>
          <w:szCs w:val="20"/>
        </w:rPr>
        <w:t xml:space="preserve">Phase 2 target: 400 industry pages — COMPLETE</w:t>
      </w:r>
    </w:p>
    <w:p>
      <w:pPr>
        <w:spacing w:after="60" w:before="60"/>
      </w:pPr>
      <w:r>
        <w:rPr>
          <w:rFonts w:ascii="Arial" w:cs="Arial" w:eastAsia="Arial" w:hAnsi="Arial"/>
          <w:color w:val="222222"/>
          <w:sz w:val="20"/>
          <w:szCs w:val="20"/>
        </w:rPr>
        <w:t xml:space="preserve"/>
      </w:r>
    </w:p>
    <w:p>
      <w:pPr>
        <w:spacing w:after="60" w:before="60"/>
      </w:pPr>
      <w:r>
        <w:rPr>
          <w:rFonts w:ascii="Arial" w:cs="Arial" w:eastAsia="Arial" w:hAnsi="Arial"/>
          <w:color w:val="222222"/>
          <w:sz w:val="20"/>
          <w:szCs w:val="20"/>
        </w:rPr>
        <w:t xml:space="preserve">Next phase (if required): deepen existing sectors with 3rd and 4th page variants, add case study landing pages, add city-specific pages for India (Bengaluru, Mumbai, Hyderabad), and add quarterly newsletter issues as new URLs.</w:t>
      </w:r>
    </w:p>
    <w:p>
      <w:pPr>
        <w:spacing w:before="400"/>
      </w:pPr>
      <w:r>
        <w:rPr>
          <w:rFonts w:ascii="Arial" w:cs="Arial" w:eastAsia="Arial" w:hAnsi="Arial"/>
          <w:i/>
          <w:iCs/>
          <w:color w:val="666666"/>
          <w:sz w:val="16"/>
          <w:szCs w:val="16"/>
        </w:rPr>
        <w:t xml:space="preserve">GreyRadius Consulting | SEO Build Pack Batch 22 (Final) | June 2026 | Confidential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2A4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B2A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2026-06-28T09:04:55.036Z</dcterms:created>
  <dcterms:modified xsi:type="dcterms:W3CDTF">2026-06-28T09:04:55.049Z</dcterms:modified>
</cp:coreProperties>
</file>

<file path=docProps/custom.xml><?xml version="1.0" encoding="utf-8"?>
<Properties xmlns="http://schemas.openxmlformats.org/officeDocument/2006/custom-properties" xmlns:vt="http://schemas.openxmlformats.org/officeDocument/2006/docPropsVTypes"/>
</file>