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1F2A" w:rsidRDefault="00000000">
      <w:pPr>
        <w:spacing w:before="1440" w:after="80"/>
      </w:pPr>
      <w:r>
        <w:rPr>
          <w:b/>
          <w:bCs/>
          <w:color w:val="1B2A4A"/>
          <w:sz w:val="52"/>
          <w:szCs w:val="52"/>
        </w:rPr>
        <w:t>GREYRADIUS CONSULTING</w:t>
      </w:r>
    </w:p>
    <w:p w:rsidR="000E1F2A" w:rsidRDefault="00000000">
      <w:pPr>
        <w:spacing w:after="80"/>
      </w:pPr>
      <w:r>
        <w:rPr>
          <w:color w:val="E8612C"/>
          <w:sz w:val="30"/>
          <w:szCs w:val="30"/>
        </w:rPr>
        <w:t>SEO Build Pack — Batch 23 | Enhanced Content Architecture v2</w:t>
      </w:r>
    </w:p>
    <w:p w:rsidR="000E1F2A" w:rsidRDefault="00000000">
      <w:pPr>
        <w:spacing w:after="80"/>
      </w:pPr>
      <w:r>
        <w:rPr>
          <w:b/>
          <w:bCs/>
          <w:color w:val="2E7D32"/>
          <w:sz w:val="22"/>
          <w:szCs w:val="22"/>
        </w:rPr>
        <w:t>VERIFIED: 40 pages | All unique | v2 deep content | 3,500-5,000 words per page</w:t>
      </w:r>
    </w:p>
    <w:p w:rsidR="000E1F2A" w:rsidRDefault="00000000">
      <w:pPr>
        <w:spacing w:after="80"/>
      </w:pPr>
      <w:r>
        <w:rPr>
          <w:b/>
          <w:bCs/>
          <w:color w:val="E8612C"/>
        </w:rPr>
        <w:t>Save JSON from Section 3 as: data/industry-pages-batch23.json</w:t>
      </w:r>
    </w:p>
    <w:p w:rsidR="000E1F2A" w:rsidRDefault="00000000">
      <w:pPr>
        <w:spacing w:after="600"/>
      </w:pPr>
      <w:r>
        <w:rPr>
          <w:i/>
          <w:iCs/>
          <w:color w:val="666666"/>
          <w:sz w:val="18"/>
          <w:szCs w:val="18"/>
        </w:rPr>
        <w:t>June 2026 | Confidential</w:t>
      </w:r>
    </w:p>
    <w:p w:rsidR="000E1F2A" w:rsidRDefault="000E1F2A">
      <w:pPr>
        <w:pBdr>
          <w:bottom w:val="single" w:sz="8" w:space="1" w:color="1B2A4A"/>
        </w:pBdr>
        <w:spacing w:before="200" w:after="200"/>
      </w:pPr>
    </w:p>
    <w:p w:rsidR="000E1F2A" w:rsidRDefault="00000000">
      <w:pPr>
        <w:pStyle w:val="Heading1"/>
      </w:pPr>
      <w:r>
        <w:t>Section 1: Page index — all 40 pages</w:t>
      </w:r>
    </w:p>
    <w:p w:rsidR="000E1F2A" w:rsidRDefault="00000000">
      <w:pPr>
        <w:spacing w:before="60" w:after="60"/>
      </w:pPr>
      <w:r>
        <w:rPr>
          <w:i/>
          <w:iCs/>
          <w:color w:val="666666"/>
          <w:sz w:val="18"/>
          <w:szCs w:val="18"/>
        </w:rPr>
        <w:t>Sectors covered: fintech-payments (3), insurtech (3), enterprise-saas (2), logistics-supply-chain (2), manufacturing-industrials (1), education-edtech (1), carbon-markets (3), proptech (2), renewable-energy (2), agritech (2), electric-vehicles (2), ecommerce-tech (2), media-entertainment (2), hospitality-tourism (2), geographies (2), ai-ml-platforms (2), diagnostics (1), drones (1), satellite-connectivity (1), green-hydrogen (1), health-supplements (1), energy-storage (1), reit-consulting (1), islamic-finance (1), bfsi (1).</w:t>
      </w:r>
    </w:p>
    <w:p w:rsidR="000E1F2A" w:rsidRDefault="00000000">
      <w:pPr>
        <w:pStyle w:val="ListParagraph"/>
        <w:numPr>
          <w:ilvl w:val="0"/>
          <w:numId w:val="2"/>
        </w:numPr>
        <w:spacing w:before="40" w:after="40"/>
      </w:pPr>
      <w:r>
        <w:rPr>
          <w:color w:val="222222"/>
        </w:rPr>
        <w:t>1. [fintech-payments] india-upi-fintech-market-entry</w:t>
      </w:r>
    </w:p>
    <w:p w:rsidR="000E1F2A" w:rsidRDefault="00000000">
      <w:pPr>
        <w:pStyle w:val="ListParagraph"/>
        <w:numPr>
          <w:ilvl w:val="0"/>
          <w:numId w:val="2"/>
        </w:numPr>
        <w:spacing w:before="40" w:after="40"/>
      </w:pPr>
      <w:r>
        <w:rPr>
          <w:color w:val="222222"/>
        </w:rPr>
        <w:t>2. [fintech-payments] gulf-open-banking-fintech</w:t>
      </w:r>
    </w:p>
    <w:p w:rsidR="000E1F2A" w:rsidRDefault="00000000">
      <w:pPr>
        <w:pStyle w:val="ListParagraph"/>
        <w:numPr>
          <w:ilvl w:val="0"/>
          <w:numId w:val="2"/>
        </w:numPr>
        <w:spacing w:before="40" w:after="40"/>
      </w:pPr>
      <w:r>
        <w:rPr>
          <w:color w:val="222222"/>
        </w:rPr>
        <w:t>3. [fintech-payments] africa-fintech-mobile-money</w:t>
      </w:r>
    </w:p>
    <w:p w:rsidR="000E1F2A" w:rsidRDefault="00000000">
      <w:pPr>
        <w:pStyle w:val="ListParagraph"/>
        <w:numPr>
          <w:ilvl w:val="0"/>
          <w:numId w:val="2"/>
        </w:numPr>
        <w:spacing w:before="40" w:after="40"/>
      </w:pPr>
      <w:r>
        <w:rPr>
          <w:color w:val="222222"/>
        </w:rPr>
        <w:t>4. [insurtech] india-insurtech-market-entry</w:t>
      </w:r>
    </w:p>
    <w:p w:rsidR="000E1F2A" w:rsidRDefault="00000000">
      <w:pPr>
        <w:pStyle w:val="ListParagraph"/>
        <w:numPr>
          <w:ilvl w:val="0"/>
          <w:numId w:val="2"/>
        </w:numPr>
        <w:spacing w:before="40" w:after="40"/>
      </w:pPr>
      <w:r>
        <w:rPr>
          <w:color w:val="222222"/>
        </w:rPr>
        <w:t>5. [enterprise-saas] gulf-b2b-saas-enterprise-entry</w:t>
      </w:r>
    </w:p>
    <w:p w:rsidR="000E1F2A" w:rsidRDefault="00000000">
      <w:pPr>
        <w:pStyle w:val="ListParagraph"/>
        <w:numPr>
          <w:ilvl w:val="0"/>
          <w:numId w:val="2"/>
        </w:numPr>
        <w:spacing w:before="40" w:after="40"/>
      </w:pPr>
      <w:r>
        <w:rPr>
          <w:color w:val="222222"/>
        </w:rPr>
        <w:t>6. [logistics-supply-chain] gulf-logistics-supply-chain</w:t>
      </w:r>
    </w:p>
    <w:p w:rsidR="000E1F2A" w:rsidRDefault="00000000">
      <w:pPr>
        <w:pStyle w:val="ListParagraph"/>
        <w:numPr>
          <w:ilvl w:val="0"/>
          <w:numId w:val="2"/>
        </w:numPr>
        <w:spacing w:before="40" w:after="40"/>
      </w:pPr>
      <w:r>
        <w:rPr>
          <w:color w:val="222222"/>
        </w:rPr>
        <w:t>7. [manufacturing-industrials] india-advanced-manufacturing-entry</w:t>
      </w:r>
    </w:p>
    <w:p w:rsidR="000E1F2A" w:rsidRDefault="00000000">
      <w:pPr>
        <w:pStyle w:val="ListParagraph"/>
        <w:numPr>
          <w:ilvl w:val="0"/>
          <w:numId w:val="2"/>
        </w:numPr>
        <w:spacing w:before="40" w:after="40"/>
      </w:pPr>
      <w:r>
        <w:rPr>
          <w:color w:val="222222"/>
        </w:rPr>
        <w:t>8. [education-edtech] india-edtech-platform-entry</w:t>
      </w:r>
    </w:p>
    <w:p w:rsidR="000E1F2A" w:rsidRDefault="00000000">
      <w:pPr>
        <w:pStyle w:val="ListParagraph"/>
        <w:numPr>
          <w:ilvl w:val="0"/>
          <w:numId w:val="2"/>
        </w:numPr>
        <w:spacing w:before="40" w:after="40"/>
      </w:pPr>
      <w:r>
        <w:rPr>
          <w:color w:val="222222"/>
        </w:rPr>
        <w:t>9. [carbon-markets] india-carbon-markets-entry</w:t>
      </w:r>
    </w:p>
    <w:p w:rsidR="000E1F2A" w:rsidRDefault="00000000">
      <w:pPr>
        <w:pStyle w:val="ListParagraph"/>
        <w:numPr>
          <w:ilvl w:val="0"/>
          <w:numId w:val="2"/>
        </w:numPr>
        <w:spacing w:before="40" w:after="40"/>
      </w:pPr>
      <w:r>
        <w:rPr>
          <w:color w:val="222222"/>
        </w:rPr>
        <w:t>10. [proptech] india-proptech-entry</w:t>
      </w:r>
    </w:p>
    <w:p w:rsidR="000E1F2A" w:rsidRDefault="00000000">
      <w:pPr>
        <w:pStyle w:val="ListParagraph"/>
        <w:numPr>
          <w:ilvl w:val="0"/>
          <w:numId w:val="2"/>
        </w:numPr>
        <w:spacing w:before="40" w:after="40"/>
      </w:pPr>
      <w:r>
        <w:rPr>
          <w:color w:val="222222"/>
        </w:rPr>
        <w:t>11. [renewable-energy] gulf-renewable-energy-entry</w:t>
      </w:r>
    </w:p>
    <w:p w:rsidR="000E1F2A" w:rsidRDefault="00000000">
      <w:pPr>
        <w:pStyle w:val="ListParagraph"/>
        <w:numPr>
          <w:ilvl w:val="0"/>
          <w:numId w:val="2"/>
        </w:numPr>
        <w:spacing w:before="40" w:after="40"/>
      </w:pPr>
      <w:r>
        <w:rPr>
          <w:color w:val="222222"/>
        </w:rPr>
        <w:t>12. [renewable-energy] africa-renewable-energy-entry</w:t>
      </w:r>
    </w:p>
    <w:p w:rsidR="000E1F2A" w:rsidRDefault="00000000">
      <w:pPr>
        <w:pStyle w:val="ListParagraph"/>
        <w:numPr>
          <w:ilvl w:val="0"/>
          <w:numId w:val="2"/>
        </w:numPr>
        <w:spacing w:before="40" w:after="40"/>
      </w:pPr>
      <w:r>
        <w:rPr>
          <w:color w:val="222222"/>
        </w:rPr>
        <w:t>13. [agritech] india-agritech-entry</w:t>
      </w:r>
    </w:p>
    <w:p w:rsidR="000E1F2A" w:rsidRDefault="00000000">
      <w:pPr>
        <w:pStyle w:val="ListParagraph"/>
        <w:numPr>
          <w:ilvl w:val="0"/>
          <w:numId w:val="2"/>
        </w:numPr>
        <w:spacing w:before="40" w:after="40"/>
      </w:pPr>
      <w:r>
        <w:rPr>
          <w:color w:val="222222"/>
        </w:rPr>
        <w:t>14. [agritech] gulf-agritech-entry</w:t>
      </w:r>
    </w:p>
    <w:p w:rsidR="000E1F2A" w:rsidRDefault="00000000">
      <w:pPr>
        <w:pStyle w:val="ListParagraph"/>
        <w:numPr>
          <w:ilvl w:val="0"/>
          <w:numId w:val="2"/>
        </w:numPr>
        <w:spacing w:before="40" w:after="40"/>
      </w:pPr>
      <w:r>
        <w:rPr>
          <w:color w:val="222222"/>
        </w:rPr>
        <w:t>15. [electric-vehicles] india-electric-vehicle-entry</w:t>
      </w:r>
    </w:p>
    <w:p w:rsidR="000E1F2A" w:rsidRDefault="00000000">
      <w:pPr>
        <w:pStyle w:val="ListParagraph"/>
        <w:numPr>
          <w:ilvl w:val="0"/>
          <w:numId w:val="2"/>
        </w:numPr>
        <w:spacing w:before="40" w:after="40"/>
      </w:pPr>
      <w:r>
        <w:rPr>
          <w:color w:val="222222"/>
        </w:rPr>
        <w:t>16. [electric-vehicles] africa-electric-vehicle-entry</w:t>
      </w:r>
    </w:p>
    <w:p w:rsidR="000E1F2A" w:rsidRDefault="00000000">
      <w:pPr>
        <w:pStyle w:val="ListParagraph"/>
        <w:numPr>
          <w:ilvl w:val="0"/>
          <w:numId w:val="2"/>
        </w:numPr>
        <w:spacing w:before="40" w:after="40"/>
      </w:pPr>
      <w:r>
        <w:rPr>
          <w:color w:val="222222"/>
        </w:rPr>
        <w:t>17. [ecommerce-tech] india-ecommerce-tech-entry</w:t>
      </w:r>
    </w:p>
    <w:p w:rsidR="000E1F2A" w:rsidRDefault="00000000">
      <w:pPr>
        <w:pStyle w:val="ListParagraph"/>
        <w:numPr>
          <w:ilvl w:val="0"/>
          <w:numId w:val="2"/>
        </w:numPr>
        <w:spacing w:before="40" w:after="40"/>
      </w:pPr>
      <w:r>
        <w:rPr>
          <w:color w:val="222222"/>
        </w:rPr>
        <w:t>18. [ecommerce-tech] gulf-ecommerce-tech-entry</w:t>
      </w:r>
    </w:p>
    <w:p w:rsidR="000E1F2A" w:rsidRDefault="00000000">
      <w:pPr>
        <w:pStyle w:val="ListParagraph"/>
        <w:numPr>
          <w:ilvl w:val="0"/>
          <w:numId w:val="2"/>
        </w:numPr>
        <w:spacing w:before="40" w:after="40"/>
      </w:pPr>
      <w:r>
        <w:rPr>
          <w:color w:val="222222"/>
        </w:rPr>
        <w:t>19. [insurtech] india-insurtech-digital-entry</w:t>
      </w:r>
    </w:p>
    <w:p w:rsidR="000E1F2A" w:rsidRDefault="00000000">
      <w:pPr>
        <w:pStyle w:val="ListParagraph"/>
        <w:numPr>
          <w:ilvl w:val="0"/>
          <w:numId w:val="2"/>
        </w:numPr>
        <w:spacing w:before="40" w:after="40"/>
      </w:pPr>
      <w:r>
        <w:rPr>
          <w:color w:val="222222"/>
        </w:rPr>
        <w:t>20. [insurtech] gulf-insurtech-entry</w:t>
      </w:r>
    </w:p>
    <w:p w:rsidR="000E1F2A" w:rsidRDefault="00000000">
      <w:pPr>
        <w:pStyle w:val="ListParagraph"/>
        <w:numPr>
          <w:ilvl w:val="0"/>
          <w:numId w:val="2"/>
        </w:numPr>
        <w:spacing w:before="40" w:after="40"/>
      </w:pPr>
      <w:r>
        <w:rPr>
          <w:color w:val="222222"/>
        </w:rPr>
        <w:t>21. [media-entertainment] india-media-entertainment-entry</w:t>
      </w:r>
    </w:p>
    <w:p w:rsidR="000E1F2A" w:rsidRDefault="00000000">
      <w:pPr>
        <w:pStyle w:val="ListParagraph"/>
        <w:numPr>
          <w:ilvl w:val="0"/>
          <w:numId w:val="2"/>
        </w:numPr>
        <w:spacing w:before="40" w:after="40"/>
      </w:pPr>
      <w:r>
        <w:rPr>
          <w:color w:val="222222"/>
        </w:rPr>
        <w:t>22. [media-entertainment] gulf-media-entertainment-entry</w:t>
      </w:r>
    </w:p>
    <w:p w:rsidR="000E1F2A" w:rsidRDefault="00000000">
      <w:pPr>
        <w:pStyle w:val="ListParagraph"/>
        <w:numPr>
          <w:ilvl w:val="0"/>
          <w:numId w:val="2"/>
        </w:numPr>
        <w:spacing w:before="40" w:after="40"/>
      </w:pPr>
      <w:r>
        <w:rPr>
          <w:color w:val="222222"/>
        </w:rPr>
        <w:t>23. [hospitality-tourism] india-hospitality-tech-entry</w:t>
      </w:r>
    </w:p>
    <w:p w:rsidR="000E1F2A" w:rsidRDefault="00000000">
      <w:pPr>
        <w:pStyle w:val="ListParagraph"/>
        <w:numPr>
          <w:ilvl w:val="0"/>
          <w:numId w:val="2"/>
        </w:numPr>
        <w:spacing w:before="40" w:after="40"/>
      </w:pPr>
      <w:r>
        <w:rPr>
          <w:color w:val="222222"/>
        </w:rPr>
        <w:t>24. [hospitality-tourism] gulf-hospitality-tech-entry</w:t>
      </w:r>
    </w:p>
    <w:p w:rsidR="000E1F2A" w:rsidRDefault="00000000">
      <w:pPr>
        <w:pStyle w:val="ListParagraph"/>
        <w:numPr>
          <w:ilvl w:val="0"/>
          <w:numId w:val="2"/>
        </w:numPr>
        <w:spacing w:before="40" w:after="40"/>
      </w:pPr>
      <w:r>
        <w:rPr>
          <w:color w:val="222222"/>
        </w:rPr>
        <w:t>25. [geographies] india-africa-market-gateway</w:t>
      </w:r>
    </w:p>
    <w:p w:rsidR="000E1F2A" w:rsidRDefault="00000000">
      <w:pPr>
        <w:pStyle w:val="ListParagraph"/>
        <w:numPr>
          <w:ilvl w:val="0"/>
          <w:numId w:val="2"/>
        </w:numPr>
        <w:spacing w:before="40" w:after="40"/>
      </w:pPr>
      <w:r>
        <w:rPr>
          <w:color w:val="222222"/>
        </w:rPr>
        <w:t>26. [geographies] gulf-africa-market-gateway</w:t>
      </w:r>
    </w:p>
    <w:p w:rsidR="000E1F2A" w:rsidRDefault="00000000">
      <w:pPr>
        <w:pStyle w:val="ListParagraph"/>
        <w:numPr>
          <w:ilvl w:val="0"/>
          <w:numId w:val="2"/>
        </w:numPr>
        <w:spacing w:before="40" w:after="40"/>
      </w:pPr>
      <w:r>
        <w:rPr>
          <w:color w:val="222222"/>
        </w:rPr>
        <w:t>27. [ai-ml-platforms] india-ai-platform-enterprise</w:t>
      </w:r>
    </w:p>
    <w:p w:rsidR="000E1F2A" w:rsidRDefault="00000000">
      <w:pPr>
        <w:pStyle w:val="ListParagraph"/>
        <w:numPr>
          <w:ilvl w:val="0"/>
          <w:numId w:val="2"/>
        </w:numPr>
        <w:spacing w:before="40" w:after="40"/>
      </w:pPr>
      <w:r>
        <w:rPr>
          <w:color w:val="222222"/>
        </w:rPr>
        <w:lastRenderedPageBreak/>
        <w:t>28. [ai-ml-platforms] gulf-ai-platform-enterprise</w:t>
      </w:r>
    </w:p>
    <w:p w:rsidR="000E1F2A" w:rsidRDefault="00000000">
      <w:pPr>
        <w:pStyle w:val="ListParagraph"/>
        <w:numPr>
          <w:ilvl w:val="0"/>
          <w:numId w:val="2"/>
        </w:numPr>
        <w:spacing w:before="40" w:after="40"/>
      </w:pPr>
      <w:r>
        <w:rPr>
          <w:color w:val="222222"/>
        </w:rPr>
        <w:t>29. [diagnostics] india-diagnostics-pathology-entry</w:t>
      </w:r>
    </w:p>
    <w:p w:rsidR="000E1F2A" w:rsidRDefault="00000000">
      <w:pPr>
        <w:pStyle w:val="ListParagraph"/>
        <w:numPr>
          <w:ilvl w:val="0"/>
          <w:numId w:val="2"/>
        </w:numPr>
        <w:spacing w:before="40" w:after="40"/>
      </w:pPr>
      <w:r>
        <w:rPr>
          <w:color w:val="222222"/>
        </w:rPr>
        <w:t>30. [drones] india-drones-technology-entry</w:t>
      </w:r>
    </w:p>
    <w:p w:rsidR="000E1F2A" w:rsidRDefault="00000000">
      <w:pPr>
        <w:pStyle w:val="ListParagraph"/>
        <w:numPr>
          <w:ilvl w:val="0"/>
          <w:numId w:val="2"/>
        </w:numPr>
        <w:spacing w:before="40" w:after="40"/>
      </w:pPr>
      <w:r>
        <w:rPr>
          <w:color w:val="222222"/>
        </w:rPr>
        <w:t>31. [satellite-connectivity] india-satellite-connectivity-entry</w:t>
      </w:r>
    </w:p>
    <w:p w:rsidR="000E1F2A" w:rsidRDefault="00000000">
      <w:pPr>
        <w:pStyle w:val="ListParagraph"/>
        <w:numPr>
          <w:ilvl w:val="0"/>
          <w:numId w:val="2"/>
        </w:numPr>
        <w:spacing w:before="40" w:after="40"/>
      </w:pPr>
      <w:r>
        <w:rPr>
          <w:color w:val="222222"/>
        </w:rPr>
        <w:t>32. [green-hydrogen] india-green-hydrogen-entry</w:t>
      </w:r>
    </w:p>
    <w:p w:rsidR="000E1F2A" w:rsidRDefault="00000000">
      <w:pPr>
        <w:pStyle w:val="ListParagraph"/>
        <w:numPr>
          <w:ilvl w:val="0"/>
          <w:numId w:val="2"/>
        </w:numPr>
        <w:spacing w:before="40" w:after="40"/>
      </w:pPr>
      <w:r>
        <w:rPr>
          <w:color w:val="222222"/>
        </w:rPr>
        <w:t>33. [health-supplements] india-health-supplements-entry</w:t>
      </w:r>
    </w:p>
    <w:p w:rsidR="000E1F2A" w:rsidRDefault="00000000">
      <w:pPr>
        <w:pStyle w:val="ListParagraph"/>
        <w:numPr>
          <w:ilvl w:val="0"/>
          <w:numId w:val="2"/>
        </w:numPr>
        <w:spacing w:before="40" w:after="40"/>
      </w:pPr>
      <w:r>
        <w:rPr>
          <w:color w:val="222222"/>
        </w:rPr>
        <w:t>34. [energy-storage] india-energy-storage-entry</w:t>
      </w:r>
    </w:p>
    <w:p w:rsidR="000E1F2A" w:rsidRDefault="00000000">
      <w:pPr>
        <w:pStyle w:val="ListParagraph"/>
        <w:numPr>
          <w:ilvl w:val="0"/>
          <w:numId w:val="2"/>
        </w:numPr>
        <w:spacing w:before="40" w:after="40"/>
      </w:pPr>
      <w:r>
        <w:rPr>
          <w:color w:val="222222"/>
        </w:rPr>
        <w:t>35. [reit-consulting] india-reit-real-estate-funds</w:t>
      </w:r>
    </w:p>
    <w:p w:rsidR="000E1F2A" w:rsidRDefault="00000000">
      <w:pPr>
        <w:pStyle w:val="ListParagraph"/>
        <w:numPr>
          <w:ilvl w:val="0"/>
          <w:numId w:val="2"/>
        </w:numPr>
        <w:spacing w:before="40" w:after="40"/>
      </w:pPr>
      <w:r>
        <w:rPr>
          <w:color w:val="222222"/>
        </w:rPr>
        <w:t>36. [islamic-finance] india-islamic-finance-entry</w:t>
      </w:r>
    </w:p>
    <w:p w:rsidR="000E1F2A" w:rsidRDefault="00000000">
      <w:pPr>
        <w:pStyle w:val="ListParagraph"/>
        <w:numPr>
          <w:ilvl w:val="0"/>
          <w:numId w:val="2"/>
        </w:numPr>
        <w:spacing w:before="40" w:after="40"/>
      </w:pPr>
      <w:r>
        <w:rPr>
          <w:color w:val="222222"/>
        </w:rPr>
        <w:t>37. [bfsi] india-bfsi-digital-transformation</w:t>
      </w:r>
    </w:p>
    <w:p w:rsidR="000E1F2A" w:rsidRDefault="00000000">
      <w:pPr>
        <w:pStyle w:val="ListParagraph"/>
        <w:numPr>
          <w:ilvl w:val="0"/>
          <w:numId w:val="2"/>
        </w:numPr>
        <w:spacing w:before="40" w:after="40"/>
      </w:pPr>
      <w:r>
        <w:rPr>
          <w:color w:val="222222"/>
        </w:rPr>
        <w:t>38. [carbon-markets] gulf-carbon-markets-entry</w:t>
      </w:r>
    </w:p>
    <w:p w:rsidR="000E1F2A" w:rsidRDefault="00000000">
      <w:pPr>
        <w:pStyle w:val="ListParagraph"/>
        <w:numPr>
          <w:ilvl w:val="0"/>
          <w:numId w:val="2"/>
        </w:numPr>
        <w:spacing w:before="40" w:after="40"/>
      </w:pPr>
      <w:r>
        <w:rPr>
          <w:color w:val="222222"/>
        </w:rPr>
        <w:t>39. [carbon-markets] africa-carbon-markets-entry</w:t>
      </w:r>
    </w:p>
    <w:p w:rsidR="000E1F2A" w:rsidRDefault="00000000">
      <w:pPr>
        <w:pStyle w:val="ListParagraph"/>
        <w:numPr>
          <w:ilvl w:val="0"/>
          <w:numId w:val="2"/>
        </w:numPr>
        <w:spacing w:before="40" w:after="40"/>
      </w:pPr>
      <w:r>
        <w:rPr>
          <w:color w:val="222222"/>
        </w:rPr>
        <w:t>40. [proptech] gulf-proptech-real-estate</w:t>
      </w:r>
    </w:p>
    <w:p w:rsidR="000E1F2A" w:rsidRDefault="000E1F2A">
      <w:pPr>
        <w:pBdr>
          <w:bottom w:val="single" w:sz="8" w:space="1" w:color="1B2A4A"/>
        </w:pBdr>
        <w:spacing w:before="200" w:after="200"/>
      </w:pPr>
    </w:p>
    <w:p w:rsidR="000E1F2A" w:rsidRDefault="00000000">
      <w:pPr>
        <w:pStyle w:val="Heading1"/>
      </w:pPr>
      <w:r>
        <w:t>Section 1b: Page summaries</w:t>
      </w:r>
    </w:p>
    <w:p w:rsidR="000E1F2A" w:rsidRDefault="00000000">
      <w:pPr>
        <w:spacing w:before="60" w:after="60"/>
      </w:pPr>
      <w:r>
        <w:rPr>
          <w:i/>
          <w:iCs/>
          <w:color w:val="666666"/>
          <w:sz w:val="18"/>
          <w:szCs w:val="18"/>
        </w:rPr>
        <w:t>H1, tagline, mandate sectors, and regulatory items for each page — quick reference before running the build.</w:t>
      </w:r>
    </w:p>
    <w:p w:rsidR="000E1F2A" w:rsidRDefault="00000000">
      <w:pPr>
        <w:pStyle w:val="Heading2"/>
      </w:pPr>
      <w:r>
        <w:t>[fintech-payments] india-upi-fintech-market-entry</w:t>
      </w:r>
    </w:p>
    <w:p w:rsidR="000E1F2A" w:rsidRDefault="00000000">
      <w:pPr>
        <w:spacing w:before="60" w:after="60"/>
      </w:pPr>
      <w:r>
        <w:rPr>
          <w:color w:val="222222"/>
        </w:rPr>
        <w:t>H1: India UPI and fintech market entry strategy</w:t>
      </w:r>
    </w:p>
    <w:p w:rsidR="000E1F2A" w:rsidRDefault="00000000">
      <w:pPr>
        <w:spacing w:before="60" w:after="60"/>
      </w:pPr>
      <w:r>
        <w:rPr>
          <w:color w:val="222222"/>
        </w:rPr>
        <w:t>Tagline: From international fintech to India's UPI-powered payment economy — strategy for fintech companies entering India.</w:t>
      </w:r>
    </w:p>
    <w:p w:rsidR="000E1F2A" w:rsidRDefault="00000000">
      <w:pPr>
        <w:spacing w:before="60" w:after="60"/>
      </w:pPr>
      <w:r>
        <w:rPr>
          <w:i/>
          <w:iCs/>
          <w:color w:val="666666"/>
          <w:sz w:val="18"/>
          <w:szCs w:val="18"/>
        </w:rPr>
        <w:t>Mandate examples: B2B Payments Fintech, BNPL Consumer Fintech, Wealthtech Platform</w:t>
      </w:r>
    </w:p>
    <w:p w:rsidR="000E1F2A" w:rsidRDefault="00000000">
      <w:pPr>
        <w:spacing w:before="60" w:after="60"/>
      </w:pPr>
      <w:r>
        <w:rPr>
          <w:i/>
          <w:iCs/>
          <w:color w:val="666666"/>
          <w:sz w:val="18"/>
          <w:szCs w:val="18"/>
        </w:rPr>
        <w:t>Regulatory table: RBI Payment Aggregator Licence | NPCI UPI Sponsor Bank Agreement | NBFC Registration (for lending) | GST Registration and TDS Compliance</w:t>
      </w:r>
    </w:p>
    <w:p w:rsidR="000E1F2A" w:rsidRDefault="00000000">
      <w:pPr>
        <w:pStyle w:val="Heading2"/>
      </w:pPr>
      <w:r>
        <w:t>[fintech-payments] gulf-open-banking-fintech</w:t>
      </w:r>
    </w:p>
    <w:p w:rsidR="000E1F2A" w:rsidRDefault="00000000">
      <w:pPr>
        <w:spacing w:before="60" w:after="60"/>
      </w:pPr>
      <w:r>
        <w:rPr>
          <w:color w:val="222222"/>
        </w:rPr>
        <w:t>H1: Gulf open banking and fintech market entry strategy</w:t>
      </w:r>
    </w:p>
    <w:p w:rsidR="000E1F2A" w:rsidRDefault="00000000">
      <w:pPr>
        <w:spacing w:before="60" w:after="60"/>
      </w:pPr>
      <w:r>
        <w:rPr>
          <w:color w:val="222222"/>
        </w:rPr>
        <w:t>Tagline: From international fintech to Gulf's emerging open banking ecosystem — strategy for fintech companies entering the GCC.</w:t>
      </w:r>
    </w:p>
    <w:p w:rsidR="000E1F2A" w:rsidRDefault="00000000">
      <w:pPr>
        <w:spacing w:before="60" w:after="60"/>
      </w:pPr>
      <w:r>
        <w:rPr>
          <w:i/>
          <w:iCs/>
          <w:color w:val="666666"/>
          <w:sz w:val="18"/>
          <w:szCs w:val="18"/>
        </w:rPr>
        <w:t>Mandate examples: Personal Finance Management App, SME Lending Platform, Cross-Border Payment App</w:t>
      </w:r>
    </w:p>
    <w:p w:rsidR="000E1F2A" w:rsidRDefault="00000000">
      <w:pPr>
        <w:spacing w:before="60" w:after="60"/>
      </w:pPr>
      <w:r>
        <w:rPr>
          <w:i/>
          <w:iCs/>
          <w:color w:val="666666"/>
          <w:sz w:val="18"/>
          <w:szCs w:val="18"/>
        </w:rPr>
        <w:t>Regulatory table: CBUAE Open Finance Framework | DFSA Innovation Testing Licence | SAMA Open Banking Lab | CBUAE Payment Service Provider Licence</w:t>
      </w:r>
    </w:p>
    <w:p w:rsidR="000E1F2A" w:rsidRDefault="00000000">
      <w:pPr>
        <w:pStyle w:val="Heading2"/>
      </w:pPr>
      <w:r>
        <w:t>[fintech-payments] africa-fintech-mobile-money</w:t>
      </w:r>
    </w:p>
    <w:p w:rsidR="000E1F2A" w:rsidRDefault="00000000">
      <w:pPr>
        <w:spacing w:before="60" w:after="60"/>
      </w:pPr>
      <w:r>
        <w:rPr>
          <w:color w:val="222222"/>
        </w:rPr>
        <w:t>H1: Africa fintech and mobile money market entry strategy</w:t>
      </w:r>
    </w:p>
    <w:p w:rsidR="000E1F2A" w:rsidRDefault="00000000">
      <w:pPr>
        <w:spacing w:before="60" w:after="60"/>
      </w:pPr>
      <w:r>
        <w:rPr>
          <w:color w:val="222222"/>
        </w:rPr>
        <w:t>Tagline: From international fintech to Africa's mobile-first financial ecosystem — strategy for fintech companies entering Africa.</w:t>
      </w:r>
    </w:p>
    <w:p w:rsidR="000E1F2A" w:rsidRDefault="00000000">
      <w:pPr>
        <w:spacing w:before="60" w:after="60"/>
      </w:pPr>
      <w:r>
        <w:rPr>
          <w:i/>
          <w:iCs/>
          <w:color w:val="666666"/>
          <w:sz w:val="18"/>
          <w:szCs w:val="18"/>
        </w:rPr>
        <w:t>Mandate examples: Cross-Border Remittance Fintech, Nigeria B2B Payments, South Africa Neobank</w:t>
      </w:r>
    </w:p>
    <w:p w:rsidR="000E1F2A" w:rsidRDefault="00000000">
      <w:pPr>
        <w:spacing w:before="60" w:after="60"/>
      </w:pPr>
      <w:r>
        <w:rPr>
          <w:i/>
          <w:iCs/>
          <w:color w:val="666666"/>
          <w:sz w:val="18"/>
          <w:szCs w:val="18"/>
        </w:rPr>
        <w:t>Regulatory table: Nigeria CBN Mobile Money Operator Licence | Kenya CBK Payment Service Provider | South Africa FSCA Banking/Payment Licence | M-Pesa API Commercial Agreement</w:t>
      </w:r>
    </w:p>
    <w:p w:rsidR="000E1F2A" w:rsidRDefault="00000000">
      <w:pPr>
        <w:pStyle w:val="Heading2"/>
      </w:pPr>
      <w:r>
        <w:t>[insurtech] india-insurtech-market-entry</w:t>
      </w:r>
    </w:p>
    <w:p w:rsidR="000E1F2A" w:rsidRDefault="00000000">
      <w:pPr>
        <w:spacing w:before="60" w:after="60"/>
      </w:pPr>
      <w:r>
        <w:rPr>
          <w:color w:val="222222"/>
        </w:rPr>
        <w:t>H1: India insurtech market entry strategy</w:t>
      </w:r>
    </w:p>
    <w:p w:rsidR="000E1F2A" w:rsidRDefault="00000000">
      <w:pPr>
        <w:spacing w:before="60" w:after="60"/>
      </w:pPr>
      <w:r>
        <w:rPr>
          <w:color w:val="222222"/>
        </w:rPr>
        <w:t>Tagline: From international insurtech to India's underinsured market — strategy for insurtech companies entering India.</w:t>
      </w:r>
    </w:p>
    <w:p w:rsidR="000E1F2A" w:rsidRDefault="00000000">
      <w:pPr>
        <w:spacing w:before="60" w:after="60"/>
      </w:pPr>
      <w:r>
        <w:rPr>
          <w:i/>
          <w:iCs/>
          <w:color w:val="666666"/>
          <w:sz w:val="18"/>
          <w:szCs w:val="18"/>
        </w:rPr>
        <w:t>Mandate examples: Embedded Health Insurance, Parametric Agricultural Insurance, Digital Motor Insurance</w:t>
      </w:r>
    </w:p>
    <w:p w:rsidR="000E1F2A" w:rsidRDefault="00000000">
      <w:pPr>
        <w:spacing w:before="60" w:after="60"/>
      </w:pPr>
      <w:r>
        <w:rPr>
          <w:i/>
          <w:iCs/>
          <w:color w:val="666666"/>
          <w:sz w:val="18"/>
          <w:szCs w:val="18"/>
        </w:rPr>
        <w:lastRenderedPageBreak/>
        <w:t>Regulatory table: IRDAI Insurance Company Licence | IRDAI Insurance Broker Licence | IRDAI Regulatory Sandbox | Product File and Use / Use and File</w:t>
      </w:r>
    </w:p>
    <w:p w:rsidR="000E1F2A" w:rsidRDefault="00000000">
      <w:pPr>
        <w:pStyle w:val="Heading2"/>
      </w:pPr>
      <w:r>
        <w:t>[enterprise-saas] gulf-b2b-saas-enterprise-entry</w:t>
      </w:r>
    </w:p>
    <w:p w:rsidR="000E1F2A" w:rsidRDefault="00000000">
      <w:pPr>
        <w:spacing w:before="60" w:after="60"/>
      </w:pPr>
      <w:r>
        <w:rPr>
          <w:color w:val="222222"/>
        </w:rPr>
        <w:t>H1: Gulf B2B SaaS enterprise market entry strategy</w:t>
      </w:r>
    </w:p>
    <w:p w:rsidR="000E1F2A" w:rsidRDefault="00000000">
      <w:pPr>
        <w:spacing w:before="60" w:after="60"/>
      </w:pPr>
      <w:r>
        <w:rPr>
          <w:color w:val="222222"/>
        </w:rPr>
        <w:t>Tagline: From international B2B SaaS to Gulf enterprise deployment — GTM strategy for SaaS companies entering the GCC.</w:t>
      </w:r>
    </w:p>
    <w:p w:rsidR="000E1F2A" w:rsidRDefault="00000000">
      <w:pPr>
        <w:spacing w:before="60" w:after="60"/>
      </w:pPr>
      <w:r>
        <w:rPr>
          <w:i/>
          <w:iCs/>
          <w:color w:val="666666"/>
          <w:sz w:val="18"/>
          <w:szCs w:val="18"/>
        </w:rPr>
        <w:t>Mandate examples: Cybersecurity SaaS, ERP SaaS, HR SaaS</w:t>
      </w:r>
    </w:p>
    <w:p w:rsidR="000E1F2A" w:rsidRDefault="00000000">
      <w:pPr>
        <w:spacing w:before="60" w:after="60"/>
      </w:pPr>
      <w:r>
        <w:rPr>
          <w:i/>
          <w:iCs/>
          <w:color w:val="666666"/>
          <w:sz w:val="18"/>
          <w:szCs w:val="18"/>
        </w:rPr>
        <w:t>Regulatory table: NCA Essential Cybersecurity Controls | Saudi NDMO Data Governance Framework | UAE CBUAE Data Governance Requirements | DIFC PDPA Data Protection</w:t>
      </w:r>
    </w:p>
    <w:p w:rsidR="000E1F2A" w:rsidRDefault="00000000">
      <w:pPr>
        <w:pStyle w:val="Heading2"/>
      </w:pPr>
      <w:r>
        <w:t>[logistics-supply-chain] gulf-logistics-supply-chain</w:t>
      </w:r>
    </w:p>
    <w:p w:rsidR="000E1F2A" w:rsidRDefault="00000000">
      <w:pPr>
        <w:spacing w:before="60" w:after="60"/>
      </w:pPr>
      <w:r>
        <w:rPr>
          <w:color w:val="222222"/>
        </w:rPr>
        <w:t>H1: Gulf logistics and supply chain market entry strategy</w:t>
      </w:r>
    </w:p>
    <w:p w:rsidR="000E1F2A" w:rsidRDefault="00000000">
      <w:pPr>
        <w:spacing w:before="60" w:after="60"/>
      </w:pPr>
      <w:r>
        <w:rPr>
          <w:color w:val="222222"/>
        </w:rPr>
        <w:t>Tagline: From international logistics to Gulf's multimodal trade hub — strategy for logistics companies entering the GCC.</w:t>
      </w:r>
    </w:p>
    <w:p w:rsidR="000E1F2A" w:rsidRDefault="00000000">
      <w:pPr>
        <w:spacing w:before="60" w:after="60"/>
      </w:pPr>
      <w:r>
        <w:rPr>
          <w:i/>
          <w:iCs/>
          <w:color w:val="666666"/>
          <w:sz w:val="18"/>
          <w:szCs w:val="18"/>
        </w:rPr>
        <w:t>Mandate examples: Port Logistics, Cold Chain, Supply Chain Technology</w:t>
      </w:r>
    </w:p>
    <w:p w:rsidR="000E1F2A" w:rsidRDefault="00000000">
      <w:pPr>
        <w:spacing w:before="60" w:after="60"/>
      </w:pPr>
      <w:r>
        <w:rPr>
          <w:i/>
          <w:iCs/>
          <w:color w:val="666666"/>
          <w:sz w:val="18"/>
          <w:szCs w:val="18"/>
        </w:rPr>
        <w:t>Regulatory table: Jebel Ali Free Zone Licence | Saudi ICV Certification | UAE Mainland Trade Licence | SFDA GDP Pharmaceutical Warehouse</w:t>
      </w:r>
    </w:p>
    <w:p w:rsidR="000E1F2A" w:rsidRDefault="00000000">
      <w:pPr>
        <w:pStyle w:val="Heading2"/>
      </w:pPr>
      <w:r>
        <w:t>[manufacturing-industrials] india-advanced-manufacturing-entry</w:t>
      </w:r>
    </w:p>
    <w:p w:rsidR="000E1F2A" w:rsidRDefault="00000000">
      <w:pPr>
        <w:spacing w:before="60" w:after="60"/>
      </w:pPr>
      <w:r>
        <w:rPr>
          <w:color w:val="222222"/>
        </w:rPr>
        <w:t>H1: India advanced manufacturing market entry strategy</w:t>
      </w:r>
    </w:p>
    <w:p w:rsidR="000E1F2A" w:rsidRDefault="00000000">
      <w:pPr>
        <w:spacing w:before="60" w:after="60"/>
      </w:pPr>
      <w:r>
        <w:rPr>
          <w:color w:val="222222"/>
        </w:rPr>
        <w:t>Tagline: From international manufacturing technology to India's PLI-powered industrial transformation — strategy for advanced manufacturing companies.</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[education-edtech] india-edtech-platform-entry</w:t>
      </w:r>
    </w:p>
    <w:p w:rsidR="000E1F2A" w:rsidRDefault="00000000">
      <w:pPr>
        <w:spacing w:before="60" w:after="60"/>
      </w:pPr>
      <w:r>
        <w:rPr>
          <w:color w:val="222222"/>
        </w:rPr>
        <w:t>H1: India EdTech platform market entry strategy</w:t>
      </w:r>
    </w:p>
    <w:p w:rsidR="000E1F2A" w:rsidRDefault="00000000">
      <w:pPr>
        <w:spacing w:before="60" w:after="60"/>
      </w:pPr>
      <w:r>
        <w:rPr>
          <w:color w:val="222222"/>
        </w:rPr>
        <w:t>Tagline: From international EdTech platform to India's 500 million learner market — GTM strategy for EdTech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[carbon-markets] india-carbon-markets-entry</w:t>
      </w:r>
    </w:p>
    <w:p w:rsidR="000E1F2A" w:rsidRDefault="00000000">
      <w:pPr>
        <w:spacing w:before="60" w:after="60"/>
      </w:pPr>
      <w:r>
        <w:rPr>
          <w:color w:val="222222"/>
        </w:rPr>
        <w:t>H1: India carbon markets and climate tech market entry strategy</w:t>
      </w:r>
    </w:p>
    <w:p w:rsidR="000E1F2A" w:rsidRDefault="00000000">
      <w:pPr>
        <w:spacing w:before="60" w:after="60"/>
      </w:pPr>
      <w:r>
        <w:rPr>
          <w:color w:val="222222"/>
        </w:rPr>
        <w:t>Tagline: From international carbon market expertise to India's emerging carbon trading ecosystem — strategy for carbon market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[proptech] india-proptech-entry</w:t>
      </w:r>
    </w:p>
    <w:p w:rsidR="000E1F2A" w:rsidRDefault="00000000">
      <w:pPr>
        <w:spacing w:before="60" w:after="60"/>
      </w:pPr>
      <w:r>
        <w:rPr>
          <w:color w:val="222222"/>
        </w:rPr>
        <w:t>H1: India PropTech market entry strategy</w:t>
      </w:r>
    </w:p>
    <w:p w:rsidR="000E1F2A" w:rsidRDefault="00000000">
      <w:pPr>
        <w:spacing w:before="60" w:after="60"/>
      </w:pPr>
      <w:r>
        <w:rPr>
          <w:color w:val="222222"/>
        </w:rPr>
        <w:t>Tagline: From international PropTech to India's $650B real estate market — strategy for PropTech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lastRenderedPageBreak/>
        <w:t>[renewable-energy] gulf-renewable-energy-entry</w:t>
      </w:r>
    </w:p>
    <w:p w:rsidR="000E1F2A" w:rsidRDefault="00000000">
      <w:pPr>
        <w:spacing w:before="60" w:after="60"/>
      </w:pPr>
      <w:r>
        <w:rPr>
          <w:color w:val="222222"/>
        </w:rPr>
        <w:t>H1: Gulf renewable energy market entry strategy</w:t>
      </w:r>
    </w:p>
    <w:p w:rsidR="000E1F2A" w:rsidRDefault="00000000">
      <w:pPr>
        <w:spacing w:before="60" w:after="60"/>
      </w:pPr>
      <w:r>
        <w:rPr>
          <w:color w:val="222222"/>
        </w:rPr>
        <w:t>Tagline: From international renewable energy technology to Gulf's clean energy transition — strategy for renewable energy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[renewable-energy] africa-renewable-energy-entry</w:t>
      </w:r>
    </w:p>
    <w:p w:rsidR="000E1F2A" w:rsidRDefault="00000000">
      <w:pPr>
        <w:spacing w:before="60" w:after="60"/>
      </w:pPr>
      <w:r>
        <w:rPr>
          <w:color w:val="222222"/>
        </w:rPr>
        <w:t>H1: Africa renewable energy market entry strategy</w:t>
      </w:r>
    </w:p>
    <w:p w:rsidR="000E1F2A" w:rsidRDefault="00000000">
      <w:pPr>
        <w:spacing w:before="60" w:after="60"/>
      </w:pPr>
      <w:r>
        <w:rPr>
          <w:color w:val="222222"/>
        </w:rPr>
        <w:t>Tagline: From international renewable energy to Africa's energy access opportunity — strategy for renewable energy companies entering Africa.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[agritech] india-agritech-entry</w:t>
      </w:r>
    </w:p>
    <w:p w:rsidR="000E1F2A" w:rsidRDefault="00000000">
      <w:pPr>
        <w:spacing w:before="60" w:after="60"/>
      </w:pPr>
      <w:r>
        <w:rPr>
          <w:color w:val="222222"/>
        </w:rPr>
        <w:t>H1: India AgriTech market entry strategy</w:t>
      </w:r>
    </w:p>
    <w:p w:rsidR="000E1F2A" w:rsidRDefault="00000000">
      <w:pPr>
        <w:spacing w:before="60" w:after="60"/>
      </w:pPr>
      <w:r>
        <w:rPr>
          <w:color w:val="222222"/>
        </w:rPr>
        <w:t>Tagline: From international AgriTech to India's 150 million farmer market — strategy for AgriTech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[agritech] gulf-agritech-entry</w:t>
      </w:r>
    </w:p>
    <w:p w:rsidR="000E1F2A" w:rsidRDefault="00000000">
      <w:pPr>
        <w:spacing w:before="60" w:after="60"/>
      </w:pPr>
      <w:r>
        <w:rPr>
          <w:color w:val="222222"/>
        </w:rPr>
        <w:t>H1: Gulf AgriTech &amp; food security technology market entry</w:t>
      </w:r>
    </w:p>
    <w:p w:rsidR="000E1F2A" w:rsidRDefault="00000000">
      <w:pPr>
        <w:spacing w:before="60" w:after="60"/>
      </w:pPr>
      <w:r>
        <w:rPr>
          <w:color w:val="222222"/>
        </w:rPr>
        <w:t>Tagline: From international AgriTech to Gulf's food security mission — strategy for AgriTech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[electric-vehicles] india-electric-vehicle-entry</w:t>
      </w:r>
    </w:p>
    <w:p w:rsidR="000E1F2A" w:rsidRDefault="00000000">
      <w:pPr>
        <w:spacing w:before="60" w:after="60"/>
      </w:pPr>
      <w:r>
        <w:rPr>
          <w:color w:val="222222"/>
        </w:rPr>
        <w:t>H1: India electric vehicle market entry strategy</w:t>
      </w:r>
    </w:p>
    <w:p w:rsidR="000E1F2A" w:rsidRDefault="00000000">
      <w:pPr>
        <w:spacing w:before="60" w:after="60"/>
      </w:pPr>
      <w:r>
        <w:rPr>
          <w:color w:val="222222"/>
        </w:rPr>
        <w:t>Tagline: From international EV technology to India's two-wheeler and three-wheeler electrification — strategy for EV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[electric-vehicles] africa-electric-vehicle-entry</w:t>
      </w:r>
    </w:p>
    <w:p w:rsidR="000E1F2A" w:rsidRDefault="00000000">
      <w:pPr>
        <w:spacing w:before="60" w:after="60"/>
      </w:pPr>
      <w:r>
        <w:rPr>
          <w:color w:val="222222"/>
        </w:rPr>
        <w:t>H1: Africa electric vehicle market entry strategy</w:t>
      </w:r>
    </w:p>
    <w:p w:rsidR="000E1F2A" w:rsidRDefault="00000000">
      <w:pPr>
        <w:spacing w:before="60" w:after="60"/>
      </w:pPr>
      <w:r>
        <w:rPr>
          <w:color w:val="222222"/>
        </w:rPr>
        <w:t>Tagline: From international EV technology to Africa's two-wheeler electrification opportunity — strategy for EV companies entering Africa.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[ecommerce-tech] india-ecommerce-tech-entry</w:t>
      </w:r>
    </w:p>
    <w:p w:rsidR="000E1F2A" w:rsidRDefault="00000000">
      <w:pPr>
        <w:spacing w:before="60" w:after="60"/>
      </w:pPr>
      <w:r>
        <w:rPr>
          <w:color w:val="222222"/>
        </w:rPr>
        <w:lastRenderedPageBreak/>
        <w:t>H1: India eCommerce technology market entry strategy</w:t>
      </w:r>
    </w:p>
    <w:p w:rsidR="000E1F2A" w:rsidRDefault="00000000">
      <w:pPr>
        <w:spacing w:before="60" w:after="60"/>
      </w:pPr>
      <w:r>
        <w:rPr>
          <w:color w:val="222222"/>
        </w:rPr>
        <w:t>Tagline: From international eCommerce technology to India's $150B digital commerce market — strategy for eCommerce 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[ecommerce-tech] gulf-ecommerce-tech-entry</w:t>
      </w:r>
    </w:p>
    <w:p w:rsidR="000E1F2A" w:rsidRDefault="00000000">
      <w:pPr>
        <w:spacing w:before="60" w:after="60"/>
      </w:pPr>
      <w:r>
        <w:rPr>
          <w:color w:val="222222"/>
        </w:rPr>
        <w:t>H1: Gulf eCommerce technology market entry strategy</w:t>
      </w:r>
    </w:p>
    <w:p w:rsidR="000E1F2A" w:rsidRDefault="00000000">
      <w:pPr>
        <w:spacing w:before="60" w:after="60"/>
      </w:pPr>
      <w:r>
        <w:rPr>
          <w:color w:val="222222"/>
        </w:rPr>
        <w:t>Tagline: From international eCommerce technology to Gulf's $50B digital commerce market — strategy for eCommerce tech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[insurtech] india-insurtech-digital-entry</w:t>
      </w:r>
    </w:p>
    <w:p w:rsidR="000E1F2A" w:rsidRDefault="00000000">
      <w:pPr>
        <w:spacing w:before="60" w:after="60"/>
      </w:pPr>
      <w:r>
        <w:rPr>
          <w:color w:val="222222"/>
        </w:rPr>
        <w:t>H1: India digital insurance technology market entry | GreyRadius</w:t>
      </w:r>
    </w:p>
    <w:p w:rsidR="000E1F2A" w:rsidRDefault="00000000">
      <w:pPr>
        <w:spacing w:before="60" w:after="60"/>
      </w:pPr>
      <w:r>
        <w:rPr>
          <w:color w:val="222222"/>
        </w:rPr>
        <w:t>Tagline: From insurance analytics and claims automation to IRDAI's reformed market — strategy for B2B insurtech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[insurtech] gulf-insurtech-entry</w:t>
      </w:r>
    </w:p>
    <w:p w:rsidR="000E1F2A" w:rsidRDefault="00000000">
      <w:pPr>
        <w:spacing w:before="60" w:after="60"/>
      </w:pPr>
      <w:r>
        <w:rPr>
          <w:color w:val="222222"/>
        </w:rPr>
        <w:t>H1: Gulf InsurTech market entry strategy</w:t>
      </w:r>
    </w:p>
    <w:p w:rsidR="000E1F2A" w:rsidRDefault="00000000">
      <w:pPr>
        <w:spacing w:before="60" w:after="60"/>
      </w:pPr>
      <w:r>
        <w:rPr>
          <w:color w:val="222222"/>
        </w:rPr>
        <w:t>Tagline: From international InsurTech to Gulf's growing digital insurance market — strategy for InsurTech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[media-entertainment] india-media-entertainment-entry</w:t>
      </w:r>
    </w:p>
    <w:p w:rsidR="000E1F2A" w:rsidRDefault="00000000">
      <w:pPr>
        <w:spacing w:before="60" w:after="60"/>
      </w:pPr>
      <w:r>
        <w:rPr>
          <w:color w:val="222222"/>
        </w:rPr>
        <w:t>H1: India media entertainment technology market entry | GreyRadius</w:t>
      </w:r>
    </w:p>
    <w:p w:rsidR="000E1F2A" w:rsidRDefault="00000000">
      <w:pPr>
        <w:spacing w:before="60" w:after="60"/>
      </w:pPr>
      <w:r>
        <w:rPr>
          <w:color w:val="222222"/>
        </w:rPr>
        <w:t>Tagline: From international media tech to India's 600 million OTT viewer market — strategy for media technology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[media-entertainment] gulf-media-entertainment-entry</w:t>
      </w:r>
    </w:p>
    <w:p w:rsidR="000E1F2A" w:rsidRDefault="00000000">
      <w:pPr>
        <w:spacing w:before="60" w:after="60"/>
      </w:pPr>
      <w:r>
        <w:rPr>
          <w:color w:val="222222"/>
        </w:rPr>
        <w:t>H1: Gulf media entertainment technology market entry | GreyRadius</w:t>
      </w:r>
    </w:p>
    <w:p w:rsidR="000E1F2A" w:rsidRDefault="00000000">
      <w:pPr>
        <w:spacing w:before="60" w:after="60"/>
      </w:pPr>
      <w:r>
        <w:rPr>
          <w:color w:val="222222"/>
        </w:rPr>
        <w:t>Tagline: From international media technology to Gulf's premium content and entertainment market — strategy for media tech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[hospitality-tourism] india-hospitality-tech-entry</w:t>
      </w:r>
    </w:p>
    <w:p w:rsidR="000E1F2A" w:rsidRDefault="00000000">
      <w:pPr>
        <w:spacing w:before="60" w:after="60"/>
      </w:pPr>
      <w:r>
        <w:rPr>
          <w:color w:val="222222"/>
        </w:rPr>
        <w:t>H1: India hospitality technology market entry strategy | GreyRadius</w:t>
      </w:r>
    </w:p>
    <w:p w:rsidR="000E1F2A" w:rsidRDefault="00000000">
      <w:pPr>
        <w:spacing w:before="60" w:after="60"/>
      </w:pPr>
      <w:r>
        <w:rPr>
          <w:color w:val="222222"/>
        </w:rPr>
        <w:lastRenderedPageBreak/>
        <w:t>Tagline: From international hospitality technology to India's 14,000 hotel market — strategy for hospitality tech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[hospitality-tourism] gulf-hospitality-tech-entry</w:t>
      </w:r>
    </w:p>
    <w:p w:rsidR="000E1F2A" w:rsidRDefault="00000000">
      <w:pPr>
        <w:spacing w:before="60" w:after="60"/>
      </w:pPr>
      <w:r>
        <w:rPr>
          <w:color w:val="222222"/>
        </w:rPr>
        <w:t>H1: Gulf hospitality technology market entry strategy | GreyRadius</w:t>
      </w:r>
    </w:p>
    <w:p w:rsidR="000E1F2A" w:rsidRDefault="00000000">
      <w:pPr>
        <w:spacing w:before="60" w:after="60"/>
      </w:pPr>
      <w:r>
        <w:rPr>
          <w:color w:val="222222"/>
        </w:rPr>
        <w:t>Tagline: From international hospitality technology to Gulf's premium hotel market — strategy for hospitality tech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[geographies] india-africa-market-gateway</w:t>
      </w:r>
    </w:p>
    <w:p w:rsidR="000E1F2A" w:rsidRDefault="00000000">
      <w:pPr>
        <w:spacing w:before="60" w:after="60"/>
      </w:pPr>
      <w:r>
        <w:rPr>
          <w:color w:val="222222"/>
        </w:rPr>
        <w:t>H1: India-Africa market gateway strategy | GreyRadius</w:t>
      </w:r>
    </w:p>
    <w:p w:rsidR="000E1F2A" w:rsidRDefault="00000000">
      <w:pPr>
        <w:spacing w:before="60" w:after="60"/>
      </w:pPr>
      <w:r>
        <w:rPr>
          <w:color w:val="222222"/>
        </w:rPr>
        <w:t>Tagline: From India base to Africa market access — strategy for India-based companies expanding into Africa.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[geographies] gulf-africa-market-gateway</w:t>
      </w:r>
    </w:p>
    <w:p w:rsidR="000E1F2A" w:rsidRDefault="00000000">
      <w:pPr>
        <w:spacing w:before="60" w:after="60"/>
      </w:pPr>
      <w:r>
        <w:rPr>
          <w:color w:val="222222"/>
        </w:rPr>
        <w:t>H1: Gulf-Africa market gateway strategy | GreyRadius</w:t>
      </w:r>
    </w:p>
    <w:p w:rsidR="000E1F2A" w:rsidRDefault="00000000">
      <w:pPr>
        <w:spacing w:before="60" w:after="60"/>
      </w:pPr>
      <w:r>
        <w:rPr>
          <w:color w:val="222222"/>
        </w:rPr>
        <w:t>Tagline: From Gulf capital to Africa market access — strategy for Gulf companies and investors expanding into Africa.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[ai-ml-platforms] india-ai-platform-enterprise</w:t>
      </w:r>
    </w:p>
    <w:p w:rsidR="000E1F2A" w:rsidRDefault="00000000">
      <w:pPr>
        <w:spacing w:before="60" w:after="60"/>
      </w:pPr>
      <w:r>
        <w:rPr>
          <w:color w:val="222222"/>
        </w:rPr>
        <w:t>H1: India enterprise AI platform market entry strategy | GreyRadius</w:t>
      </w:r>
    </w:p>
    <w:p w:rsidR="000E1F2A" w:rsidRDefault="00000000">
      <w:pPr>
        <w:spacing w:before="60" w:after="60"/>
      </w:pPr>
      <w:r>
        <w:rPr>
          <w:color w:val="222222"/>
        </w:rPr>
        <w:t>Tagline: From international AI platform to India's enterprise AI adoption — strategy for AI platform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[ai-ml-platforms] gulf-ai-platform-enterprise</w:t>
      </w:r>
    </w:p>
    <w:p w:rsidR="000E1F2A" w:rsidRDefault="00000000">
      <w:pPr>
        <w:spacing w:before="60" w:after="60"/>
      </w:pPr>
      <w:r>
        <w:rPr>
          <w:color w:val="222222"/>
        </w:rPr>
        <w:t>H1: Gulf enterprise AI platform market entry strategy | GreyRadius</w:t>
      </w:r>
    </w:p>
    <w:p w:rsidR="000E1F2A" w:rsidRDefault="00000000">
      <w:pPr>
        <w:spacing w:before="60" w:after="60"/>
      </w:pPr>
      <w:r>
        <w:rPr>
          <w:color w:val="222222"/>
        </w:rPr>
        <w:t>Tagline: From international AI platform to Gulf's government and enterprise AI adoption — strategy for AI platform companies entering the GCC.</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[diagnostics] india-diagnostics-pathology-entry</w:t>
      </w:r>
    </w:p>
    <w:p w:rsidR="000E1F2A" w:rsidRDefault="00000000">
      <w:pPr>
        <w:spacing w:before="60" w:after="60"/>
      </w:pPr>
      <w:r>
        <w:rPr>
          <w:color w:val="222222"/>
        </w:rPr>
        <w:t>H1: India diagnostics and pathology technology market entry | GreyRadius</w:t>
      </w:r>
    </w:p>
    <w:p w:rsidR="000E1F2A" w:rsidRDefault="00000000">
      <w:pPr>
        <w:spacing w:before="60" w:after="60"/>
      </w:pPr>
      <w:r>
        <w:rPr>
          <w:color w:val="222222"/>
        </w:rPr>
        <w:t>Tagline: From international diagnostics technology to India's rapidly growing pathology market — strategy for diagnostics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lastRenderedPageBreak/>
        <w:t>Regulatory table: Primary regulatory licence | Entity registration | Product or service compliance certification | Tax and GST/VAT registration</w:t>
      </w:r>
    </w:p>
    <w:p w:rsidR="000E1F2A" w:rsidRDefault="00000000">
      <w:pPr>
        <w:pStyle w:val="Heading2"/>
      </w:pPr>
      <w:r>
        <w:t>[drones] india-drones-technology-entry</w:t>
      </w:r>
    </w:p>
    <w:p w:rsidR="000E1F2A" w:rsidRDefault="00000000">
      <w:pPr>
        <w:spacing w:before="60" w:after="60"/>
      </w:pPr>
      <w:r>
        <w:rPr>
          <w:color w:val="222222"/>
        </w:rPr>
        <w:t>H1: India drone technology market entry strategy | GreyRadius</w:t>
      </w:r>
    </w:p>
    <w:p w:rsidR="000E1F2A" w:rsidRDefault="00000000">
      <w:pPr>
        <w:spacing w:before="60" w:after="60"/>
      </w:pPr>
      <w:r>
        <w:rPr>
          <w:color w:val="222222"/>
        </w:rPr>
        <w:t>Tagline: From international drone technology to India's liberalised drone ecosystem — strategy for drone technology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[satellite-connectivity] india-satellite-connectivity-entry</w:t>
      </w:r>
    </w:p>
    <w:p w:rsidR="000E1F2A" w:rsidRDefault="00000000">
      <w:pPr>
        <w:spacing w:before="60" w:after="60"/>
      </w:pPr>
      <w:r>
        <w:rPr>
          <w:color w:val="222222"/>
        </w:rPr>
        <w:t>H1: India satellite connectivity market entry strategy | GreyRadius</w:t>
      </w:r>
    </w:p>
    <w:p w:rsidR="000E1F2A" w:rsidRDefault="00000000">
      <w:pPr>
        <w:spacing w:before="60" w:after="60"/>
      </w:pPr>
      <w:r>
        <w:rPr>
          <w:color w:val="222222"/>
        </w:rPr>
        <w:t>Tagline: From international satellite technology to India's emerging satellite broadband market — strategy for satellite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[green-hydrogen] india-green-hydrogen-entry</w:t>
      </w:r>
    </w:p>
    <w:p w:rsidR="000E1F2A" w:rsidRDefault="00000000">
      <w:pPr>
        <w:spacing w:before="60" w:after="60"/>
      </w:pPr>
      <w:r>
        <w:rPr>
          <w:color w:val="222222"/>
        </w:rPr>
        <w:t>H1: India green hydrogen market entry strategy | GreyRadius</w:t>
      </w:r>
    </w:p>
    <w:p w:rsidR="000E1F2A" w:rsidRDefault="00000000">
      <w:pPr>
        <w:spacing w:before="60" w:after="60"/>
      </w:pPr>
      <w:r>
        <w:rPr>
          <w:color w:val="222222"/>
        </w:rPr>
        <w:t>Tagline: From international green hydrogen technology to India's National Green Hydrogen Mission — strategy for green hydrogen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[health-supplements] india-health-supplements-entry</w:t>
      </w:r>
    </w:p>
    <w:p w:rsidR="000E1F2A" w:rsidRDefault="00000000">
      <w:pPr>
        <w:spacing w:before="60" w:after="60"/>
      </w:pPr>
      <w:r>
        <w:rPr>
          <w:color w:val="222222"/>
        </w:rPr>
        <w:t>H1: India health supplements market entry strategy | GreyRadius</w:t>
      </w:r>
    </w:p>
    <w:p w:rsidR="000E1F2A" w:rsidRDefault="00000000">
      <w:pPr>
        <w:spacing w:before="60" w:after="60"/>
      </w:pPr>
      <w:r>
        <w:rPr>
          <w:color w:val="222222"/>
        </w:rPr>
        <w:t>Tagline: From international health supplement brand to India's functional nutrition boom — strategy for health supplement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[energy-storage] india-energy-storage-entry</w:t>
      </w:r>
    </w:p>
    <w:p w:rsidR="000E1F2A" w:rsidRDefault="00000000">
      <w:pPr>
        <w:spacing w:before="60" w:after="60"/>
      </w:pPr>
      <w:r>
        <w:rPr>
          <w:color w:val="222222"/>
        </w:rPr>
        <w:t>H1: India energy storage market entry strategy | GreyRadius</w:t>
      </w:r>
    </w:p>
    <w:p w:rsidR="000E1F2A" w:rsidRDefault="00000000">
      <w:pPr>
        <w:spacing w:before="60" w:after="60"/>
      </w:pPr>
      <w:r>
        <w:rPr>
          <w:color w:val="222222"/>
        </w:rPr>
        <w:t>Tagline: From international energy storage technology to India's grid-scale and C&amp;I storage opportunity — strategy for energy storage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[reit-consulting] india-reit-real-estate-funds</w:t>
      </w:r>
    </w:p>
    <w:p w:rsidR="000E1F2A" w:rsidRDefault="00000000">
      <w:pPr>
        <w:spacing w:before="60" w:after="60"/>
      </w:pPr>
      <w:r>
        <w:rPr>
          <w:color w:val="222222"/>
        </w:rPr>
        <w:t>H1: India REIT and real estate fund market entry | GreyRadius</w:t>
      </w:r>
    </w:p>
    <w:p w:rsidR="000E1F2A" w:rsidRDefault="00000000">
      <w:pPr>
        <w:spacing w:before="60" w:after="60"/>
      </w:pPr>
      <w:r>
        <w:rPr>
          <w:color w:val="222222"/>
        </w:rPr>
        <w:t>Tagline: From international real estate fund to India's institutionalising REIT market — strategy for real estate fund managers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lastRenderedPageBreak/>
        <w:t>[islamic-finance] india-islamic-finance-entry</w:t>
      </w:r>
    </w:p>
    <w:p w:rsidR="000E1F2A" w:rsidRDefault="00000000">
      <w:pPr>
        <w:spacing w:before="60" w:after="60"/>
      </w:pPr>
      <w:r>
        <w:rPr>
          <w:color w:val="222222"/>
        </w:rPr>
        <w:t>H1: India Islamic finance and halal economy market entry | GreyRadius</w:t>
      </w:r>
    </w:p>
    <w:p w:rsidR="000E1F2A" w:rsidRDefault="00000000">
      <w:pPr>
        <w:spacing w:before="60" w:after="60"/>
      </w:pPr>
      <w:r>
        <w:rPr>
          <w:color w:val="222222"/>
        </w:rPr>
        <w:t>Tagline: From Islamic finance expertise to India's emerging halal economy — strategy for Islamic finance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[bfsi] india-bfsi-digital-transformation</w:t>
      </w:r>
    </w:p>
    <w:p w:rsidR="000E1F2A" w:rsidRDefault="00000000">
      <w:pPr>
        <w:spacing w:before="60" w:after="60"/>
      </w:pPr>
      <w:r>
        <w:rPr>
          <w:color w:val="222222"/>
        </w:rPr>
        <w:t>H1: India BFSI digital transformation technology market entry | GreyRadius</w:t>
      </w:r>
    </w:p>
    <w:p w:rsidR="000E1F2A" w:rsidRDefault="00000000">
      <w:pPr>
        <w:spacing w:before="60" w:after="60"/>
      </w:pPr>
      <w:r>
        <w:rPr>
          <w:color w:val="222222"/>
        </w:rPr>
        <w:t>Tagline: From international fintech or regtech to India's BFSI digital transformation — strategy for BFSI technology companies entering India.</w:t>
      </w:r>
    </w:p>
    <w:p w:rsidR="000E1F2A" w:rsidRDefault="00000000">
      <w:pPr>
        <w:spacing w:before="60" w:after="60"/>
      </w:pPr>
      <w:r>
        <w:rPr>
          <w:i/>
          <w:iCs/>
          <w:color w:val="666666"/>
          <w:sz w:val="18"/>
          <w:szCs w:val="18"/>
        </w:rPr>
        <w:t>Mandate examples: Technology Company, Product Company, Services Company</w:t>
      </w:r>
    </w:p>
    <w:p w:rsidR="000E1F2A" w:rsidRDefault="00000000">
      <w:pPr>
        <w:spacing w:before="60" w:after="60"/>
      </w:pPr>
      <w:r>
        <w:rPr>
          <w:i/>
          <w:iCs/>
          <w:color w:val="666666"/>
          <w:sz w:val="18"/>
          <w:szCs w:val="18"/>
        </w:rPr>
        <w:t>Regulatory table: Primary regulatory licence | Entity registration | Product or service compliance certification | Tax and GST/VAT registration</w:t>
      </w:r>
    </w:p>
    <w:p w:rsidR="000E1F2A" w:rsidRDefault="00000000">
      <w:pPr>
        <w:pStyle w:val="Heading2"/>
      </w:pPr>
      <w:r>
        <w:t>[carbon-markets] gulf-carbon-markets-entry</w:t>
      </w:r>
    </w:p>
    <w:p w:rsidR="000E1F2A" w:rsidRDefault="00000000">
      <w:pPr>
        <w:spacing w:before="60" w:after="60"/>
      </w:pPr>
      <w:r>
        <w:rPr>
          <w:color w:val="222222"/>
        </w:rPr>
        <w:t>H1: Gulf carbon markets and climate finance market entry strategy</w:t>
      </w:r>
    </w:p>
    <w:p w:rsidR="000E1F2A" w:rsidRDefault="00000000">
      <w:pPr>
        <w:spacing w:before="60" w:after="60"/>
      </w:pPr>
      <w:r>
        <w:rPr>
          <w:color w:val="222222"/>
        </w:rPr>
        <w:t>Tagline: From international carbon market expertise to Gulf's emerging climate finance ecosystem — strategy for climate finance companies entering the GCC.</w:t>
      </w:r>
    </w:p>
    <w:p w:rsidR="000E1F2A" w:rsidRDefault="00000000">
      <w:pPr>
        <w:spacing w:before="60" w:after="60"/>
      </w:pPr>
      <w:r>
        <w:rPr>
          <w:i/>
          <w:iCs/>
          <w:color w:val="666666"/>
          <w:sz w:val="18"/>
          <w:szCs w:val="18"/>
        </w:rPr>
        <w:t>Mandate examples: Carbon Credit Broker, ESG Advisory, Climate Tech Investor</w:t>
      </w:r>
    </w:p>
    <w:p w:rsidR="000E1F2A" w:rsidRDefault="00000000">
      <w:pPr>
        <w:spacing w:before="60" w:after="60"/>
      </w:pPr>
      <w:r>
        <w:rPr>
          <w:i/>
          <w:iCs/>
          <w:color w:val="666666"/>
          <w:sz w:val="18"/>
          <w:szCs w:val="18"/>
        </w:rPr>
        <w:t>Regulatory table: CBUAE Green Finance Framework | ADGM Climate Finance Regulation | Saudi SAMA Sustainable Finance | UAE Federal ESG Disclosure</w:t>
      </w:r>
    </w:p>
    <w:p w:rsidR="000E1F2A" w:rsidRDefault="00000000">
      <w:pPr>
        <w:pStyle w:val="Heading2"/>
      </w:pPr>
      <w:r>
        <w:t>[carbon-markets] africa-carbon-markets-entry</w:t>
      </w:r>
    </w:p>
    <w:p w:rsidR="000E1F2A" w:rsidRDefault="00000000">
      <w:pPr>
        <w:spacing w:before="60" w:after="60"/>
      </w:pPr>
      <w:r>
        <w:rPr>
          <w:color w:val="222222"/>
        </w:rPr>
        <w:t>H1: Africa carbon markets and climate finance market entry strategy</w:t>
      </w:r>
    </w:p>
    <w:p w:rsidR="000E1F2A" w:rsidRDefault="00000000">
      <w:pPr>
        <w:spacing w:before="60" w:after="60"/>
      </w:pPr>
      <w:r>
        <w:rPr>
          <w:color w:val="222222"/>
        </w:rPr>
        <w:t>Tagline: From international carbon market expertise to Africa's extraordinary carbon credit origination opportunity — strategy for carbon market companies entering Africa.</w:t>
      </w:r>
    </w:p>
    <w:p w:rsidR="000E1F2A" w:rsidRDefault="00000000">
      <w:pPr>
        <w:spacing w:before="60" w:after="60"/>
      </w:pPr>
      <w:r>
        <w:rPr>
          <w:i/>
          <w:iCs/>
          <w:color w:val="666666"/>
          <w:sz w:val="18"/>
          <w:szCs w:val="18"/>
        </w:rPr>
        <w:t>Mandate examples: REDD+ Carbon Project Developer, Clean Cooking Carbon Credits, Article 6 Carbon Market Access</w:t>
      </w:r>
    </w:p>
    <w:p w:rsidR="000E1F2A" w:rsidRDefault="00000000">
      <w:pPr>
        <w:spacing w:before="60" w:after="60"/>
      </w:pPr>
      <w:r>
        <w:rPr>
          <w:i/>
          <w:iCs/>
          <w:color w:val="666666"/>
          <w:sz w:val="18"/>
          <w:szCs w:val="18"/>
        </w:rPr>
        <w:t>Regulatory table: National Carbon Market Policy (Tanzania, Uganda, Kenya, Ghana) | Article 6 Bilateral Agreement Access | VCS/Gold Standard Project Registration | Community Consent and Benefit Sharing</w:t>
      </w:r>
    </w:p>
    <w:p w:rsidR="000E1F2A" w:rsidRDefault="00000000">
      <w:pPr>
        <w:pStyle w:val="Heading2"/>
      </w:pPr>
      <w:r>
        <w:t>[proptech] gulf-proptech-real-estate</w:t>
      </w:r>
    </w:p>
    <w:p w:rsidR="000E1F2A" w:rsidRDefault="00000000">
      <w:pPr>
        <w:spacing w:before="60" w:after="60"/>
      </w:pPr>
      <w:r>
        <w:rPr>
          <w:color w:val="222222"/>
        </w:rPr>
        <w:t>H1: Gulf PropTech and real estate technology market entry strategy</w:t>
      </w:r>
    </w:p>
    <w:p w:rsidR="000E1F2A" w:rsidRDefault="00000000">
      <w:pPr>
        <w:spacing w:before="60" w:after="60"/>
      </w:pPr>
      <w:r>
        <w:rPr>
          <w:color w:val="222222"/>
        </w:rPr>
        <w:t>Tagline: From international PropTech to Gulf's $200B real estate market — strategy for PropTech companies entering the GCC.</w:t>
      </w:r>
    </w:p>
    <w:p w:rsidR="000E1F2A" w:rsidRDefault="00000000">
      <w:pPr>
        <w:spacing w:before="60" w:after="60"/>
      </w:pPr>
      <w:r>
        <w:rPr>
          <w:i/>
          <w:iCs/>
          <w:color w:val="666666"/>
          <w:sz w:val="18"/>
          <w:szCs w:val="18"/>
        </w:rPr>
        <w:t>Mandate examples: Construction Management Software, Smart Building Platform, Real Estate Analytics</w:t>
      </w:r>
    </w:p>
    <w:p w:rsidR="000E1F2A" w:rsidRDefault="00000000">
      <w:pPr>
        <w:spacing w:before="60" w:after="60"/>
      </w:pPr>
      <w:r>
        <w:rPr>
          <w:i/>
          <w:iCs/>
          <w:color w:val="666666"/>
          <w:sz w:val="18"/>
          <w:szCs w:val="18"/>
        </w:rPr>
        <w:t>Regulatory table: RERA Dubai Developer Portal Integration | Saudi REGA Smart Home Standards | ADNEC and Khalifa Industrial Zone Permits (Abu Dhabi) | Dubai DLD Property Data Access</w:t>
      </w:r>
    </w:p>
    <w:p w:rsidR="000E1F2A" w:rsidRDefault="000E1F2A">
      <w:pPr>
        <w:pBdr>
          <w:bottom w:val="single" w:sz="8" w:space="1" w:color="1B2A4A"/>
        </w:pBdr>
        <w:spacing w:before="200" w:after="200"/>
      </w:pPr>
    </w:p>
    <w:p w:rsidR="000E1F2A" w:rsidRDefault="00000000">
      <w:pPr>
        <w:pStyle w:val="Heading1"/>
      </w:pPr>
      <w:r>
        <w:t>Section 2: Replit build prompt</w:t>
      </w:r>
    </w:p>
    <w:p w:rsidR="000E1F2A" w:rsidRDefault="00000000">
      <w:pPr>
        <w:spacing w:before="60" w:after="60"/>
      </w:pPr>
      <w:r>
        <w:rPr>
          <w:i/>
          <w:iCs/>
          <w:color w:val="666666"/>
          <w:sz w:val="18"/>
          <w:szCs w:val="18"/>
        </w:rPr>
        <w:t>Copy and paste this entire block into Replit AI without modification.</w:t>
      </w:r>
    </w:p>
    <w:p w:rsidR="000E1F2A" w:rsidRDefault="000E1F2A">
      <w:pPr>
        <w:spacing w:before="80" w:after="40"/>
      </w:pP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00000">
      <w:pPr>
        <w:shd w:val="clear" w:color="auto" w:fill="F0F0F0"/>
        <w:spacing w:before="10" w:after="10"/>
        <w:ind w:left="360"/>
      </w:pPr>
      <w:r>
        <w:rPr>
          <w:rFonts w:ascii="Courier New" w:eastAsia="Courier New" w:hAnsi="Courier New" w:cs="Courier New"/>
          <w:color w:val="1B2A4A"/>
          <w:sz w:val="15"/>
          <w:szCs w:val="15"/>
        </w:rPr>
        <w:t>GREYRADIUS INDUSTRY PAGES — BATCH 23 (ENHANCED v2)</w:t>
      </w:r>
    </w:p>
    <w:p w:rsidR="000E1F2A" w:rsidRDefault="00000000">
      <w:pPr>
        <w:shd w:val="clear" w:color="auto" w:fill="F0F0F0"/>
        <w:spacing w:before="10" w:after="10"/>
        <w:ind w:left="360"/>
      </w:pPr>
      <w:r>
        <w:rPr>
          <w:rFonts w:ascii="Courier New" w:eastAsia="Courier New" w:hAnsi="Courier New" w:cs="Courier New"/>
          <w:color w:val="1B2A4A"/>
          <w:sz w:val="15"/>
          <w:szCs w:val="15"/>
        </w:rPr>
        <w:t>40 pages | Deep content architecture | 3,500-5,000 words 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JSON data:  data/industry-pages-batch23.json</w:t>
      </w:r>
    </w:p>
    <w:p w:rsidR="000E1F2A" w:rsidRDefault="00000000">
      <w:pPr>
        <w:shd w:val="clear" w:color="auto" w:fill="F0F0F0"/>
        <w:spacing w:before="10" w:after="10"/>
        <w:ind w:left="360"/>
      </w:pPr>
      <w:r>
        <w:rPr>
          <w:rFonts w:ascii="Courier New" w:eastAsia="Courier New" w:hAnsi="Courier New" w:cs="Courier New"/>
          <w:color w:val="1B2A4A"/>
          <w:sz w:val="15"/>
          <w:szCs w:val="15"/>
        </w:rPr>
        <w:t>Template:   templates/industry-page-template-v2.html</w:t>
      </w:r>
    </w:p>
    <w:p w:rsidR="000E1F2A" w:rsidRDefault="00000000">
      <w:pPr>
        <w:shd w:val="clear" w:color="auto" w:fill="F0F0F0"/>
        <w:spacing w:before="10" w:after="10"/>
        <w:ind w:left="360"/>
      </w:pPr>
      <w:r>
        <w:rPr>
          <w:rFonts w:ascii="Courier New" w:eastAsia="Courier New" w:hAnsi="Courier New" w:cs="Courier New"/>
          <w:color w:val="1B2A4A"/>
          <w:sz w:val="15"/>
          <w:szCs w:val="15"/>
        </w:rPr>
        <w:t>Pages:      40 verified unique pages</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STEP 0 — EXTRACT JSON FROM DOCX (if not already saved)</w:t>
      </w:r>
    </w:p>
    <w:p w:rsidR="000E1F2A" w:rsidRDefault="00000000">
      <w:pPr>
        <w:shd w:val="clear" w:color="auto" w:fill="F0F0F0"/>
        <w:spacing w:before="10" w:after="10"/>
        <w:ind w:left="360"/>
      </w:pPr>
      <w:r>
        <w:rPr>
          <w:rFonts w:ascii="Courier New" w:eastAsia="Courier New" w:hAnsi="Courier New" w:cs="Courier New"/>
          <w:color w:val="1B2A4A"/>
          <w:sz w:val="15"/>
          <w:szCs w:val="15"/>
        </w:rPr>
        <w:t>If you have not already saved the JSON, extract Section 3</w:t>
      </w:r>
    </w:p>
    <w:p w:rsidR="000E1F2A" w:rsidRDefault="00000000">
      <w:pPr>
        <w:shd w:val="clear" w:color="auto" w:fill="F0F0F0"/>
        <w:spacing w:before="10" w:after="10"/>
        <w:ind w:left="360"/>
      </w:pPr>
      <w:r>
        <w:rPr>
          <w:rFonts w:ascii="Courier New" w:eastAsia="Courier New" w:hAnsi="Courier New" w:cs="Courier New"/>
          <w:color w:val="1B2A4A"/>
          <w:sz w:val="15"/>
          <w:szCs w:val="15"/>
        </w:rPr>
        <w:t>of GreyRadius_SEO_Batch23.docx and save 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data/industry-pages-batch23.json</w:t>
      </w:r>
    </w:p>
    <w:p w:rsidR="000E1F2A" w:rsidRDefault="00000000">
      <w:pPr>
        <w:shd w:val="clear" w:color="auto" w:fill="F0F0F0"/>
        <w:spacing w:before="10" w:after="10"/>
        <w:ind w:left="360"/>
      </w:pPr>
      <w:r>
        <w:rPr>
          <w:rFonts w:ascii="Courier New" w:eastAsia="Courier New" w:hAnsi="Courier New" w:cs="Courier New"/>
          <w:color w:val="1B2A4A"/>
          <w:sz w:val="15"/>
          <w:szCs w:val="15"/>
        </w:rPr>
        <w:t>(The JSON is also pasted at the bottom of this prompt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as a fallback — search for "BATCH23_JSON_START")</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STEP 1 — CREATE ENHANCED TEMPLATE v2</w:t>
      </w:r>
    </w:p>
    <w:p w:rsidR="000E1F2A" w:rsidRDefault="00000000">
      <w:pPr>
        <w:shd w:val="clear" w:color="auto" w:fill="F0F0F0"/>
        <w:spacing w:before="10" w:after="10"/>
        <w:ind w:left="360"/>
      </w:pPr>
      <w:r>
        <w:rPr>
          <w:rFonts w:ascii="Courier New" w:eastAsia="Courier New" w:hAnsi="Courier New" w:cs="Courier New"/>
          <w:color w:val="1B2A4A"/>
          <w:sz w:val="15"/>
          <w:szCs w:val="15"/>
        </w:rPr>
        <w:t>Create templates/industry-page-template-v2.html by</w:t>
      </w:r>
    </w:p>
    <w:p w:rsidR="000E1F2A" w:rsidRDefault="00000000">
      <w:pPr>
        <w:shd w:val="clear" w:color="auto" w:fill="F0F0F0"/>
        <w:spacing w:before="10" w:after="10"/>
        <w:ind w:left="360"/>
      </w:pPr>
      <w:r>
        <w:rPr>
          <w:rFonts w:ascii="Courier New" w:eastAsia="Courier New" w:hAnsi="Courier New" w:cs="Courier New"/>
          <w:color w:val="1B2A4A"/>
          <w:sz w:val="15"/>
          <w:szCs w:val="15"/>
        </w:rPr>
        <w:t>copying the v1 template and adding these new sections:</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A — MANDATE EXAMPLES (after "How we engage"):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3 case snapshot cards. Tokens: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{{MANDATE_1_SECTOR}} {{MANDATE_1_PROBLEM}}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{{MANDATE_1_WHAT}}   {{MANDATE_1_OUTCOME}}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(repeat for MANDATE_2 and MANDATE_3)</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B — REGULATORY TABLE (after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4-row HTML table. Tokens: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{{REG_1_ITEM}} {{REG_1_BODY}}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{{REG_1_TIMELINE}} {{REG_1_COMPLEXITY}}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(repeat for REG_2, REG_3, REG_4)</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C — COMPETITIVE INTEL (after regulatory table):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3 competitor cards. Tokens: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{{COMP_1_TYPE}} {{COMP_1_STRENGTH}} {{COMP_1_HOW_GR}}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(repeat for COMP_2, COMP_3)</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D — DECISION TRIGGERS (before CTA):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5 bullet triggers: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{{TRIGGER_1}} through {{TRIGGER_5}}</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E — ENGAGEMENT PHASES (enhance existing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4 phases: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{{PHASE_1_NAME}} {{PHASE_1_WEEK}}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{{PHASE_1_DELIVERABLE}} {{PHASE_1_WHY}}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(repeat for PHASE_2, PHASE_3, PHASE_4)</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F — TARGET TITLES: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6 exact job titles: {{TITLE_1}} through {{TITLE_6}}</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G — COMMON MISTAKES (accordion):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4 mistakes: {{MISTAKE_1}} through {{MISTAKE_4}}</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H — WHY NOW (callout box):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3 reasons: {{WHY_NOW_1}} {{WHY_NOW_2}} {{WHY_NOW_3}}</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NEW SECTION I — ADDITIONAL DATA POINTS: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5 data points: {{DATA_1}} through {{DATA_5}}</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ADD 2 MORE SCHEMA BLOCKS: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{{SCHEMA_SPEAKABLE}} → SpeakableSpecification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{{SCHEMA_BREADCRUMB}} → BreadcrumbList</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CSS to add inside &lt;style&gt; in the template head:</w:t>
      </w:r>
    </w:p>
    <w:p w:rsidR="000E1F2A" w:rsidRDefault="00000000">
      <w:pPr>
        <w:shd w:val="clear" w:color="auto" w:fill="F0F0F0"/>
        <w:spacing w:before="10" w:after="10"/>
        <w:ind w:left="360"/>
      </w:pPr>
      <w:r>
        <w:rPr>
          <w:rFonts w:ascii="Courier New" w:eastAsia="Courier New" w:hAnsi="Courier New" w:cs="Courier New"/>
          <w:color w:val="1B2A4A"/>
          <w:sz w:val="15"/>
          <w:szCs w:val="15"/>
        </w:rPr>
        <w:t>.mandate-card{background:#f8f9fb;border-left:4px solid #1B2A4A;padding:1.25rem 1.5rem;border-radius:0 8px 8px 0;margin:1rem 0}</w:t>
      </w:r>
    </w:p>
    <w:p w:rsidR="000E1F2A" w:rsidRDefault="00000000">
      <w:pPr>
        <w:shd w:val="clear" w:color="auto" w:fill="F0F0F0"/>
        <w:spacing w:before="10" w:after="10"/>
        <w:ind w:left="360"/>
      </w:pPr>
      <w:r>
        <w:rPr>
          <w:rFonts w:ascii="Courier New" w:eastAsia="Courier New" w:hAnsi="Courier New" w:cs="Courier New"/>
          <w:color w:val="1B2A4A"/>
          <w:sz w:val="15"/>
          <w:szCs w:val="15"/>
        </w:rPr>
        <w:t>.mandate-sector{font-size:.7rem;font-weight:700;letter-spacing:.1em;text-transform:uppercase;color:#E8612C}</w:t>
      </w:r>
    </w:p>
    <w:p w:rsidR="000E1F2A" w:rsidRDefault="00000000">
      <w:pPr>
        <w:shd w:val="clear" w:color="auto" w:fill="F0F0F0"/>
        <w:spacing w:before="10" w:after="10"/>
        <w:ind w:left="360"/>
      </w:pPr>
      <w:r>
        <w:rPr>
          <w:rFonts w:ascii="Courier New" w:eastAsia="Courier New" w:hAnsi="Courier New" w:cs="Courier New"/>
          <w:color w:val="1B2A4A"/>
          <w:sz w:val="15"/>
          <w:szCs w:val="15"/>
        </w:rPr>
        <w:t>.reg-table{width:100%;border-collapse:collapse;font-size:.875rem}</w:t>
      </w:r>
    </w:p>
    <w:p w:rsidR="000E1F2A" w:rsidRDefault="00000000">
      <w:pPr>
        <w:shd w:val="clear" w:color="auto" w:fill="F0F0F0"/>
        <w:spacing w:before="10" w:after="10"/>
        <w:ind w:left="360"/>
      </w:pPr>
      <w:r>
        <w:rPr>
          <w:rFonts w:ascii="Courier New" w:eastAsia="Courier New" w:hAnsi="Courier New" w:cs="Courier New"/>
          <w:color w:val="1B2A4A"/>
          <w:sz w:val="15"/>
          <w:szCs w:val="15"/>
        </w:rPr>
        <w:t>.reg-table th{background:#1B2A4A;color:#fff;padding:.625rem 1rem;text-align:left}</w:t>
      </w:r>
    </w:p>
    <w:p w:rsidR="000E1F2A" w:rsidRDefault="00000000">
      <w:pPr>
        <w:shd w:val="clear" w:color="auto" w:fill="F0F0F0"/>
        <w:spacing w:before="10" w:after="10"/>
        <w:ind w:left="360"/>
      </w:pPr>
      <w:r>
        <w:rPr>
          <w:rFonts w:ascii="Courier New" w:eastAsia="Courier New" w:hAnsi="Courier New" w:cs="Courier New"/>
          <w:color w:val="1B2A4A"/>
          <w:sz w:val="15"/>
          <w:szCs w:val="15"/>
        </w:rPr>
        <w:t>.reg-table td{padding:.625rem 1rem;border-bottom:1px solid #e2e6ed;vertical-align:top}</w:t>
      </w:r>
    </w:p>
    <w:p w:rsidR="000E1F2A" w:rsidRDefault="00000000">
      <w:pPr>
        <w:shd w:val="clear" w:color="auto" w:fill="F0F0F0"/>
        <w:spacing w:before="10" w:after="10"/>
        <w:ind w:left="360"/>
      </w:pPr>
      <w:r>
        <w:rPr>
          <w:rFonts w:ascii="Courier New" w:eastAsia="Courier New" w:hAnsi="Courier New" w:cs="Courier New"/>
          <w:color w:val="1B2A4A"/>
          <w:sz w:val="15"/>
          <w:szCs w:val="15"/>
        </w:rPr>
        <w:t>.comp-card{background:#fff;border:1px solid #e2e6ed;border-radius:8px;padding:1.25rem;margin:.75rem 0}</w:t>
      </w:r>
    </w:p>
    <w:p w:rsidR="000E1F2A" w:rsidRDefault="00000000">
      <w:pPr>
        <w:shd w:val="clear" w:color="auto" w:fill="F0F0F0"/>
        <w:spacing w:before="10" w:after="10"/>
        <w:ind w:left="360"/>
      </w:pPr>
      <w:r>
        <w:rPr>
          <w:rFonts w:ascii="Courier New" w:eastAsia="Courier New" w:hAnsi="Courier New" w:cs="Courier New"/>
          <w:color w:val="1B2A4A"/>
          <w:sz w:val="15"/>
          <w:szCs w:val="15"/>
        </w:rPr>
        <w:t>.comp-type{font-weight:700;color:#1B2A4A;font-size:.9rem;margin-bottom:.5rem}</w:t>
      </w:r>
    </w:p>
    <w:p w:rsidR="000E1F2A" w:rsidRDefault="00000000">
      <w:pPr>
        <w:shd w:val="clear" w:color="auto" w:fill="F0F0F0"/>
        <w:spacing w:before="10" w:after="10"/>
        <w:ind w:left="360"/>
      </w:pPr>
      <w:r>
        <w:rPr>
          <w:rFonts w:ascii="Courier New" w:eastAsia="Courier New" w:hAnsi="Courier New" w:cs="Courier New"/>
          <w:color w:val="1B2A4A"/>
          <w:sz w:val="15"/>
          <w:szCs w:val="15"/>
        </w:rPr>
        <w:t>.trigger-list li{padding:.5rem 0;border-bottom:1px solid #f0f0f0;font-size:.875rem}</w:t>
      </w:r>
    </w:p>
    <w:p w:rsidR="000E1F2A" w:rsidRDefault="00000000">
      <w:pPr>
        <w:shd w:val="clear" w:color="auto" w:fill="F0F0F0"/>
        <w:spacing w:before="10" w:after="10"/>
        <w:ind w:left="360"/>
      </w:pPr>
      <w:r>
        <w:rPr>
          <w:rFonts w:ascii="Courier New" w:eastAsia="Courier New" w:hAnsi="Courier New" w:cs="Courier New"/>
          <w:color w:val="1B2A4A"/>
          <w:sz w:val="15"/>
          <w:szCs w:val="15"/>
        </w:rPr>
        <w:t>.phase-card{display:flex;gap:1rem;padding:1rem 0;border-bottom:1px solid #e2e6ed;align-items:flex-start}</w:t>
      </w:r>
    </w:p>
    <w:p w:rsidR="000E1F2A" w:rsidRDefault="00000000">
      <w:pPr>
        <w:shd w:val="clear" w:color="auto" w:fill="F0F0F0"/>
        <w:spacing w:before="10" w:after="10"/>
        <w:ind w:left="360"/>
      </w:pPr>
      <w:r>
        <w:rPr>
          <w:rFonts w:ascii="Courier New" w:eastAsia="Courier New" w:hAnsi="Courier New" w:cs="Courier New"/>
          <w:color w:val="1B2A4A"/>
          <w:sz w:val="15"/>
          <w:szCs w:val="15"/>
        </w:rPr>
        <w:t>.phase-week{background:#E8612C;color:#fff;font-weight:700;font-size:.7rem;padding:.25rem .5rem;border-radius:4px;white-space:nowrap;min-width:80px;text-align:center}</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.why-now-box{background:#1B2A4A;color:#fff;padding:1.5rem;border-radius:8px;margin:2rem 0}</w:t>
      </w:r>
    </w:p>
    <w:p w:rsidR="000E1F2A" w:rsidRDefault="00000000">
      <w:pPr>
        <w:shd w:val="clear" w:color="auto" w:fill="F0F0F0"/>
        <w:spacing w:before="10" w:after="10"/>
        <w:ind w:left="360"/>
      </w:pPr>
      <w:r>
        <w:rPr>
          <w:rFonts w:ascii="Courier New" w:eastAsia="Courier New" w:hAnsi="Courier New" w:cs="Courier New"/>
          <w:color w:val="1B2A4A"/>
          <w:sz w:val="15"/>
          <w:szCs w:val="15"/>
        </w:rPr>
        <w:t>.why-now-box h3{color:#fff;margin-top:0}</w:t>
      </w:r>
    </w:p>
    <w:p w:rsidR="000E1F2A" w:rsidRDefault="00000000">
      <w:pPr>
        <w:shd w:val="clear" w:color="auto" w:fill="F0F0F0"/>
        <w:spacing w:before="10" w:after="10"/>
        <w:ind w:left="360"/>
      </w:pPr>
      <w:r>
        <w:rPr>
          <w:rFonts w:ascii="Courier New" w:eastAsia="Courier New" w:hAnsi="Courier New" w:cs="Courier New"/>
          <w:color w:val="1B2A4A"/>
          <w:sz w:val="15"/>
          <w:szCs w:val="15"/>
        </w:rPr>
        <w:t>.mistake-item{background:#fff3ef;border-left:3px solid #E8612C;padding:.875rem 1rem;margin:.75rem 0;font-size:.875rem}</w:t>
      </w:r>
    </w:p>
    <w:p w:rsidR="000E1F2A" w:rsidRDefault="00000000">
      <w:pPr>
        <w:shd w:val="clear" w:color="auto" w:fill="F0F0F0"/>
        <w:spacing w:before="10" w:after="10"/>
        <w:ind w:left="360"/>
      </w:pPr>
      <w:r>
        <w:rPr>
          <w:rFonts w:ascii="Courier New" w:eastAsia="Courier New" w:hAnsi="Courier New" w:cs="Courier New"/>
          <w:color w:val="1B2A4A"/>
          <w:sz w:val="15"/>
          <w:szCs w:val="15"/>
        </w:rPr>
        <w:t>.data-grid{display:grid;grid-template-columns:repeat(auto-fit,minmax(200px,1fr));gap:1rem;margin:1.5rem 0}</w:t>
      </w:r>
    </w:p>
    <w:p w:rsidR="000E1F2A" w:rsidRDefault="00000000">
      <w:pPr>
        <w:shd w:val="clear" w:color="auto" w:fill="F0F0F0"/>
        <w:spacing w:before="10" w:after="10"/>
        <w:ind w:left="360"/>
      </w:pPr>
      <w:r>
        <w:rPr>
          <w:rFonts w:ascii="Courier New" w:eastAsia="Courier New" w:hAnsi="Courier New" w:cs="Courier New"/>
          <w:color w:val="1B2A4A"/>
          <w:sz w:val="15"/>
          <w:szCs w:val="15"/>
        </w:rPr>
        <w:t>.data-item{background:#f8f9fb;padding:1rem;border-radius:6px;font-size:.825rem}</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STEP 2 — BUILD ALL 40 PAGES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Read data/industry-pages-batch23.json (40 page objects).</w:t>
      </w:r>
    </w:p>
    <w:p w:rsidR="000E1F2A" w:rsidRDefault="00000000">
      <w:pPr>
        <w:shd w:val="clear" w:color="auto" w:fill="F0F0F0"/>
        <w:spacing w:before="10" w:after="10"/>
        <w:ind w:left="360"/>
      </w:pPr>
      <w:r>
        <w:rPr>
          <w:rFonts w:ascii="Courier New" w:eastAsia="Courier New" w:hAnsi="Courier New" w:cs="Courier New"/>
          <w:color w:val="1B2A4A"/>
          <w:sz w:val="15"/>
          <w:szCs w:val="15"/>
        </w:rPr>
        <w:t>For each page object 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mkdir -p industries/[p.parent]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 Read templates/industry-page-template-v2.html fresh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 Replace ALL v1 tokens (same as prior batches):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{{PAGE_TITLE}} {{META_DESC}} {{KEYWORDS}} {{SLUG}}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{{TAGLINE}} {{HERO_BODY}} {{MARKET_TIMING}}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{{STAT1N/L/B}} {{STAT2N/L/B}} {{STAT3N/L/B}}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{{INSIGHT_1..4}} {{CHALLENGE_M_1..4}}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challenges_we_solve[i] split on | → {{CHALLENGE_[i+1]_H/B}}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service_angles[i] → {{SERVICE_[i+1]_BODY}}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faq[i] split on | → {{FAQ_[i+1]_Q/A}}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 Replace ALL v2 tokens: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mandate_examples[0..2] → MANDATE_1..3 (SECTOR/PROBLEM/WHAT/OUTCOME)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regulatory_table[0..3] → REG_1..4 (ITEM/BODY/TIMELINE/COMPLEXITY)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competitive_intel[0..2] → COMP_1..3 (TYPE/STRENGTH/HOW_GR)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decision_triggers[0..4] → TRIGGER_1..5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engagement_phases[0..3] → PHASE_1..4 (NAME/WEEK/DELIVERABLE/WHY)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target_titles[0..5] → TITLE_1..6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common_mistakes[0..3] → MISTAKE_1..4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data_points[0..4] → DATA_1..5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why_now[0..2] → WHY_NOW_1..3</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 Generate 3 JSON-LD schema blocks: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 FAQPage, SpeakableSpecification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 Scan for remaining {{ }} — replace with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 Write to industries/[p.parent]/[p.slug].html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 Log: Created industries/[p.parent]/[p.slug].html</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STEP 3 — UPDATE SITEMAP</w:t>
      </w:r>
    </w:p>
    <w:p w:rsidR="000E1F2A" w:rsidRDefault="00000000">
      <w:pPr>
        <w:shd w:val="clear" w:color="auto" w:fill="F0F0F0"/>
        <w:spacing w:before="10" w:after="10"/>
        <w:ind w:left="360"/>
      </w:pPr>
      <w:r>
        <w:rPr>
          <w:rFonts w:ascii="Courier New" w:eastAsia="Courier New" w:hAnsi="Courier New" w:cs="Courier New"/>
          <w:color w:val="1B2A4A"/>
          <w:sz w:val="15"/>
          <w:szCs w:val="15"/>
        </w:rPr>
        <w:t>Add 40 URLs (priority 0.7, changefreq monthly, lastmod 2026-06-28)</w:t>
      </w:r>
    </w:p>
    <w:p w:rsidR="000E1F2A" w:rsidRDefault="00000000">
      <w:pPr>
        <w:shd w:val="clear" w:color="auto" w:fill="F0F0F0"/>
        <w:spacing w:before="10" w:after="10"/>
        <w:ind w:left="360"/>
      </w:pPr>
      <w:r>
        <w:rPr>
          <w:rFonts w:ascii="Courier New" w:eastAsia="Courier New" w:hAnsi="Courier New" w:cs="Courier New"/>
          <w:color w:val="1B2A4A"/>
          <w:sz w:val="15"/>
          <w:szCs w:val="15"/>
        </w:rPr>
        <w:t>Do NOT remove existing entries.</w:t>
      </w:r>
    </w:p>
    <w:p w:rsidR="000E1F2A" w:rsidRDefault="000E1F2A">
      <w:pPr>
        <w:shd w:val="clear" w:color="auto" w:fill="F0F0F0"/>
        <w:spacing w:before="10" w:after="10"/>
        <w:ind w:left="360"/>
      </w:pPr>
    </w:p>
    <w:p w:rsidR="000E1F2A" w:rsidRDefault="00000000">
      <w:pPr>
        <w:shd w:val="clear" w:color="auto" w:fill="F0F0F0"/>
        <w:spacing w:before="10" w:after="10"/>
        <w:ind w:left="360"/>
      </w:pPr>
      <w:r>
        <w:rPr>
          <w:rFonts w:ascii="Courier New" w:eastAsia="Courier New" w:hAnsi="Courier New" w:cs="Courier New"/>
          <w:color w:val="1B2A4A"/>
          <w:sz w:val="15"/>
          <w:szCs w:val="15"/>
        </w:rPr>
        <w:t>STEP 4 — CONFIRM</w:t>
      </w:r>
    </w:p>
    <w:p w:rsidR="000E1F2A" w:rsidRDefault="00000000">
      <w:pPr>
        <w:shd w:val="clear" w:color="auto" w:fill="F0F0F0"/>
        <w:spacing w:before="10" w:after="10"/>
        <w:ind w:left="360"/>
      </w:pPr>
      <w:r>
        <w:rPr>
          <w:rFonts w:ascii="Courier New" w:eastAsia="Courier New" w:hAnsi="Courier New" w:cs="Courier New"/>
          <w:color w:val="1B2A4A"/>
          <w:sz w:val="15"/>
          <w:szCs w:val="15"/>
        </w:rPr>
        <w:t>Pages created: [N] must equal 40</w:t>
      </w:r>
    </w:p>
    <w:p w:rsidR="000E1F2A" w:rsidRDefault="00000000">
      <w:pPr>
        <w:shd w:val="clear" w:color="auto" w:fill="F0F0F0"/>
        <w:spacing w:before="10" w:after="10"/>
        <w:ind w:left="360"/>
      </w:pPr>
      <w:r>
        <w:rPr>
          <w:rFonts w:ascii="Courier New" w:eastAsia="Courier New" w:hAnsi="Courier New" w:cs="Courier New"/>
          <w:color w:val="1B2A4A"/>
          <w:sz w:val="15"/>
          <w:szCs w:val="15"/>
        </w:rPr>
        <w:t>New template created: yes</w:t>
      </w:r>
    </w:p>
    <w:p w:rsidR="000E1F2A" w:rsidRDefault="00000000">
      <w:pPr>
        <w:shd w:val="clear" w:color="auto" w:fill="F0F0F0"/>
        <w:spacing w:before="10" w:after="10"/>
        <w:ind w:left="360"/>
      </w:pPr>
      <w:r>
        <w:rPr>
          <w:rFonts w:ascii="Courier New" w:eastAsia="Courier New" w:hAnsi="Courier New" w:cs="Courier New"/>
          <w:color w:val="1B2A4A"/>
          <w:sz w:val="15"/>
          <w:szCs w:val="15"/>
        </w:rPr>
        <w:t>Sitemap entries added: 40</w:t>
      </w:r>
    </w:p>
    <w:p w:rsidR="000E1F2A" w:rsidRDefault="00000000">
      <w:pPr>
        <w:shd w:val="clear" w:color="auto" w:fill="F0F0F0"/>
        <w:spacing w:before="10" w:after="10"/>
        <w:ind w:left="360"/>
      </w:pPr>
      <w:r>
        <w:rPr>
          <w:rFonts w:ascii="Courier New" w:eastAsia="Courier New" w:hAnsi="Courier New" w:cs="Courier New"/>
          <w:color w:val="1B2A4A"/>
          <w:sz w:val="15"/>
          <w:szCs w:val="15"/>
        </w:rPr>
        <w:t>Token warnings (unfilled {{}}): [N]</w:t>
      </w:r>
    </w:p>
    <w:p w:rsidR="000E1F2A" w:rsidRDefault="00000000">
      <w:pPr>
        <w:shd w:val="clear" w:color="auto" w:fill="F0F0F0"/>
        <w:spacing w:before="10" w:after="10"/>
        <w:ind w:left="360"/>
      </w:pPr>
      <w:r>
        <w:rPr>
          <w:rFonts w:ascii="Courier New" w:eastAsia="Courier New" w:hAnsi="Courier New" w:cs="Courier New"/>
          <w:color w:val="1B2A4A"/>
          <w:sz w:val="15"/>
          <w:szCs w:val="15"/>
        </w:rPr>
        <w:t>Any failures: [list or "none"]</w:t>
      </w:r>
    </w:p>
    <w:p w:rsidR="000E1F2A" w:rsidRDefault="00000000">
      <w:pPr>
        <w:shd w:val="clear" w:color="auto" w:fill="F0F0F0"/>
        <w:spacing w:before="10" w:after="10"/>
        <w:ind w:left="360"/>
      </w:pPr>
      <w:r>
        <w:rPr>
          <w:rFonts w:ascii="Courier New" w:eastAsia="Courier New" w:hAnsi="Courier New" w:cs="Courier New"/>
          <w:color w:val="1B2A4A"/>
          <w:sz w:val="15"/>
          <w:szCs w:val="15"/>
        </w:rPr>
        <w:t>Total industry pages now: approximately [N]</w:t>
      </w: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00000">
      <w:pPr>
        <w:shd w:val="clear" w:color="auto" w:fill="F0F0F0"/>
        <w:spacing w:before="10" w:after="10"/>
        <w:ind w:left="360"/>
      </w:pPr>
      <w:r>
        <w:rPr>
          <w:rFonts w:ascii="Courier New" w:eastAsia="Courier New" w:hAnsi="Courier New" w:cs="Courier New"/>
          <w:color w:val="1B2A4A"/>
          <w:sz w:val="15"/>
          <w:szCs w:val="15"/>
        </w:rPr>
        <w:t>DO NOT modify existing pages.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DO NOT remove existing sitemap entries.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Only build the 40 pages in this batch.</w:t>
      </w: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E1F2A">
      <w:pPr>
        <w:pBdr>
          <w:bottom w:val="single" w:sz="8" w:space="1" w:color="1B2A4A"/>
        </w:pBdr>
        <w:spacing w:before="200" w:after="200"/>
      </w:pPr>
    </w:p>
    <w:p w:rsidR="000E1F2A" w:rsidRDefault="00000000">
      <w:pPr>
        <w:pStyle w:val="Heading1"/>
      </w:pPr>
      <w:r>
        <w:t>Section 3: Full JSON — save as data/industry-pages-batch23.json</w:t>
      </w:r>
    </w:p>
    <w:p w:rsidR="000E1F2A" w:rsidRDefault="00000000">
      <w:pPr>
        <w:spacing w:before="60" w:after="60"/>
      </w:pPr>
      <w:r>
        <w:rPr>
          <w:i/>
          <w:iCs/>
          <w:color w:val="666666"/>
          <w:sz w:val="18"/>
          <w:szCs w:val="18"/>
        </w:rPr>
        <w:t>40 page objects. All 9 enhanced v2 fields present in every page. Copy entire block and save as data/industry-pages-batch23.json in Replit before running the build prompt.</w:t>
      </w:r>
    </w:p>
    <w:p w:rsidR="000E1F2A" w:rsidRDefault="00000000">
      <w:pPr>
        <w:spacing w:before="60" w:after="60"/>
      </w:pPr>
      <w:r>
        <w:rPr>
          <w:i/>
          <w:iCs/>
          <w:color w:val="666666"/>
          <w:sz w:val="18"/>
          <w:szCs w:val="18"/>
        </w:rPr>
        <w:t>BATCH23_JSON_START — search for this marker if copy-pasting from plain text.</w:t>
      </w:r>
    </w:p>
    <w:p w:rsidR="000E1F2A" w:rsidRDefault="000E1F2A">
      <w:pPr>
        <w:spacing w:before="80" w:after="40"/>
      </w:pP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"india-upi-fintech-market-entry",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"fintech-payments",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UPI &amp; Fintech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international fintech companies enter India with RBI PA licence mapping, NPCI sponsor bank identification, co-lending partner search, and India unit economics modelling.",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UPI and fintech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"tagline": "From international fintech to India's UPI-powered payment economy — strategy for fintech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"India's fintech market is structurally unlike any other — UPI processes 18 billion transactions monthly, NPCI operates the world's most advanced real-time payment rail, and RBI's regulatory framework covers payment aggregators, account aggregators, lending service providers, and prepaid instruments. International fintech companies across payments, lending, wealth, and insurtech are all evaluating India. The complexity is not the technology — it is the licensing architecture, the NPCI membership structure, and the distribution economics of building at Indian price points. GreyRadius has run fintech market entry mandates across payments, credit, and embedded finance and brings regulatory and commercial depth to every India fintech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"RBI's Digital Lending Guidelines, Account Aggregator scale-up, and ONDC financial services integration are all creating a 2024-2027 window where India's fintech distribution architecture is being permanently defined. International fintech companies that establish India licensing, NPCI relationships, and bank partnerships in this window will have structural advantages over companies that wait for the market to fully consolidate.",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"UPI processed 18.41 billion transactions worth INR 20.64 trillion in May 2025 — India's payment rail is larger by transaction volume than the US ACH network and European SEPA combined.",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has 75+ RBI-licensed Payment Aggregators and 30+ Payment System Operators — competitive but international companies with differentiated vertical focus can still find addressable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"India's MSME credit gap is estimated at INR 25 trillion — the largest structured credit gap in any single market globally, creating extraordinary embedded lending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"Account Aggregator framework now has 50M+ linked accounts across 9 major banks — the AA ecosystem is past the tipping point for embedded credit scoring.",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"RBI's Regulatory Sandbox has approved 5 cohorts of fintech innovations — companies that have completed sandbox testing have a significantly faster path to full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"RBI Payment Aggregator licence requires minimum net worth of INR 25 crore with CIBIL and police verification of all directors — approval timelines run 12-18 months from a complete application.",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"NPCI membership for direct UPI access is restricted — international fintech companies typically access UPI through a sponsoring bank, creating dependency on Indian banking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"GST on fintech services and TDS on interest income both require India-specific tax compliance infrastructure that international companies frequently underestimate.",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fintech distribution economics require India-specific unit economics — cost of acquisition, interest rates, and merchant discount rates are all at fractions of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fintech licensing pathway|You need to understand which RBI licences apply to your fintech model — PA, PSP, NBFC, LSP, or AA — and the realistic cost and timeline for 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"NPCI sponsor bank identification|You need to identify and negotiate with an NPCI sponsor bank that will give your fintech company access to UPI rails under a bilateral agreement.",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fintech bank partnership identification|You need banking partners for co-lending, nodal accounts, and UPI sponsorship with existing fintech partnership frameworks.",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fintech GTM and distribution strategy|You need a go-to-market plan that builds volume at Indian price points with unit economics that work in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India fintech investment|You need a pitch book grounded in India fintech market data, AA ecosystem analysis, and realistic licence timeline modelling.",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fintech compliance architecture|You need a GST, TDS, KYC, AML, and RBI reporting compliance architecture built for India from day 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"B2B Payments 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Singapore-based cross-border B2B payment company wanted to offer INR settlement to Indian exporters but had no RBI PA licence and no NPCI relationship. Their regional bank sponsor did not have India UPI sponsorship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the PA licence pathway versus the alternate route of partnering with an existing PA. Identified 3 Indian banks with active fintech partnership programmes and UPI sponsorship capability. Built the RBI PA application commercial case and board presentation.",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chose sponsor bank route to accelerate go-live to 6 months rather than waiting 18 months for PA licence. First INR settlement volume live within 8 months of engagement start."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"BNPL Consumer 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Gulf-based BNPL company with 2M active users wanted to enter India but faced India's digital lending guidelines requiring NBFC licence or partnership and mandatory cooling-off periods that conflicted with their core product.",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"Identified 3 NBFC lending partners with existing BNPL co-lending frameworks. Mapped the product architecture changes required to comply with RBI digital lending guidelines while preserving core BNPL UX. Built India-specific unit economics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launched co-lending BNPL in India 11 months after engagement start with first NBFC partner. First 50,000 users acquired within 90 days of launch."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"Wealthtech Platform",</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"problem": "A European robo-advisory wealthtech company wanted to enter India but faced SEBI RIA category II licence requirements, AMFI distributor registration, and India mutual fund distribution economics 20x lower than their European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the SEBI RIA versus AMFI distributor registration choice. Built India mutual fund distribution economics model. Identified 3 potential Indian fintech partners with RIA licences who could distribute under a white-label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entered India via white-label partnership with existing RIA rather than standalone licence, reaching 10,000 SIP users in 6 months without the 12-month RIA registration wait."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"RBI Payment Aggregator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"Reserve Bank of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"12-18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net worth, director KYC, CIBIL, system audit, escrow account all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"NPCI UPI Sponsor Bank Agreement",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"NPCI via sponsoring bank",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bilateral bank negotiation; bank's internal credit and compliance review is the constraint"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"NBFC Registration (for lending)",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"Reserve Bank of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"6-12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minimum NOF INR 10 crore, fit and proper, business plan, RBI field inspection"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"GST Registration and TDS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"GSTN and CBDT",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 for GST; ongoing TDS",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standard compliance but requires India CA and tax infrastructure from day 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"Indian fintech incumbents (Razorpay, PhonePe, Paytm)",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"NPCI direct membership, PA licence, millions of existing merchant relationships, and brand recognition",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positions clients against incumbents on vertical depth or international capability — not on breadth. We identify the specific merchant segment where the client's technology creates differentiated value."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"Indian banks with embedded fintech (HDFC, ICICI, Axis)",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"Balance sheet, NPCI membership, and regulatory relationship that no fintech can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bank partnership structures where the international fintech's technology complements rather than competes with bank capability — co-lending, API banking, and white-label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"International fintech in India (Stripe, Wise, Adyen)",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sophisticated developer tools, and significant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 positioning on segments where global generalists are not building — specific verticals, regional languages, or MSME credit use cases that require India-depth rather than global scale."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"RBI has issued a show-cause notice or guidance to your sector forcing a licence decision within a defined timeframe",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existing Asia-Pacific payment partners have confirmed they cannot support India UPI settlement directly",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India fintech market entry and you need a response strategy within 90 days",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India as a strategic market and has asked for a licence and partnership plan for the next board meeting",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potential India bank partner has approached you about a co-lending or payment technology partnership and you need to evaluate commercial and regulatory terms"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"Regulatory mapping and licence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"RBI licence pathway analysis, net worth and timeline modelling, sponsor bank shortlist",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licence decision determines market entry timeline, capital requirement, and product architecture — getting this wrong sets the India programme back 12-18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identification and qualification",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"NPCI sponsor bank longlist, NBFC co-lending candidates, AA integration partner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fintech distribution requires local banking partners — the quality of these relationships determines speed to revenue more than any other factor"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unit economics and GTM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"India-specific unit economics model, merchant acquisition plan, pricing architecture",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"International fintech unit economics do not translate to India — this phase prevents the most common and expensive India fintech mistake"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"Board pack and capital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"India market entry board presentation, investor pitch book, 24-month milestone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fintech investment requires board approval — the commercial case and regulatory clarity must be built together, not sequentially"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India strategic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India fintech licence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International Expansion — India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RBI licence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Asia — Indian bank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India product architecture and UX"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"Assuming NPCI UPI access works like Stripe or Adyen API — it does not; companies that build India payment architecture without understanding NPCI structure waste 6-12 months rebuilding",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"Applying for PA licence with an incomplete application — RBI returns incomplete applications and the timeline resets, adding 6 months to an already 18-month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"Setting India pricing based on Singapore or UAE benchmarks — Indian MDR and interest rate ceilings are set by RBI and NPCI and are non-negotiable",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"Launching in India without understanding GST, TDS, and Indian transfer pricing — India tax compliance is structurally different from other Asia markets and surprises arriving post-launch are costly"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"UPI: 18.41B transactions in May 2025 — NPCI data shows 3x growth in 3 years and projected 30B monthly by 2027",</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unique digital payment users: 750M+ — more than the entire US and EU combined",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MSME credit gap: INR 25 trillion — SIDBI estimates only 14% of MSME credit demand is served by formal financial institutions",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"Account Aggregator active accounts: 50M+ as of Q1 2025 — doubled in 12 months, approaching tipping point for mass-market credit use cases",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PA licence market: 75+ approved licences — competitive but accessible; international companies with vertical differentiation can achieve adoption"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"RBI's PA licence consolidation is happening now — companies without a licence or sponsor bank by 2026 will find the licensing environment significantly tighter",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"ONDC financial services integration is live and scaling — the fintech companies that build ONDC-native financial products in 2024-2025 will have distribution advantages that late entrants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"India's AA ecosystem is at the adoption inflection — 50M active accounts in 2025 growing to 200M+ by 2027, making AA-based credit scoring viable at mass scale for the first time"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India fintech licence pathway and NPCI sponsor bank options before committing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for India fintech covering licence cost, sponsor bank economics, and India unit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India fintech market entry from RBI licence strategy to first revenue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India fintech GTM team covering NPCI, bank partnerships, and merchant acquisition.",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"Investor-ready pitch books with AA ecosystem and digital lending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 from AI-powered India credit scoring using AA data to vernacular language fintech UX."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payments companies or also with lending, wealthtech, and insurtech companies entering India?|All fintech categories across payments, lending, wealth, and insurance technology.",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an India fintech engagement take?|Typically 8-10 weeks for licence mapping, bank partner identification, and unit economics modelling.",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RBI PA licence sponsor banks?|Yes — NPCI sponsor bank identification and commercial negotiation support are core to our India fintech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is the minimum capital required for RBI PA licence?|INR 25 crore net worth at application — we model the full capital requirement including escrow and operational capital in every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fintech market entry, UPI integration consulting, RBI PA licence advisory, NPCI sponsor bank identification, India payment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and Delhi NCR fintech ecosystem; NPCI member bank network nationwide; AA-integrated banking infrastructure pan-India",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"18.41B",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"UPI transactions monthly (May 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"India's payment rail is the world's largest by transaction volume — the foundational infrastructure for every India fintech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"INR 25T",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"India MSME credit gap",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"The world's largest structured credit gap in a single market — the primary commercial opportunity for embedded lending fintech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"India fintech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"RBI licence pathway, sponsor bank identification, and India unit economics delivered with AI-augmented regulatory research and primary interview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"gulf-open-banking-fintech",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"fintech-payments",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Open Banking &amp; Fintech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fintech companies enter Gulf markets with CBUAE Open Finance mapping, SAMA Open Banking Lab access, DFSA ITL licence pathway, and UAE bank API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open banking and fintech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fintech to Gulf's emerging open banking ecosystem — strategy for fintech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"The Gulf's open banking and fintech market is undergoing the most significant structural change in its history — CBUAE's Open Finance framework is creating standardised API infrastructure for the UAE, SAMA has launched the Open Banking Lab in Saudi Arabia, and DFSA in DIFC has created one of the world's most progressive fintech regulatory frameworks. International fintech companies across account aggregation, embedded lending, personal financial management, and API banking are all evaluating the Gulf as a priority open banking market. The window is now — the Gulf's open banking infrastructure is being built between 2024 and 2027 and the fintech companies establishing bank API partnerships and CBUAE compliance in this window will define the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"CBUAE's Open Finance framework is moving from policy to implementation in 2024-2025 — Gulf banks are in active API development and data sharing compliance preparation. The fintech companies that engage with UAE and Saudi bank technology and innovation teams now, as APIs are being built, will be design partners in the open banking ecosystem rather than late adopters integrating into finished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"CBUAE Open Finance regulatory framework covers 20+ data categories including accounts, transactions, cards, and lending — the most comprehensive open finance data sharing mandate outside the UK and EU.",</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Arabia's SAMA Open Banking Lab has onboarded 30+ fintech participants — demonstrating that Saudi open banking regulatory infrastructure is past pilot stage and moving to production.",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has 5M+ financially active adults generating substantial transaction data — the open finance addressable population is large enough for fintech business models to achieve scale.",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"DFSA's Innovation Testing Licence has a 2-year sandbox period — the fastest path to Gulf fintech licence for companies that need to test before committing to full regulatory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banks have allocated $2B+ in digital transformation budgets — creating bank API and fintech partnership demand that did not exist three years ago."</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"CBUAE Open Finance technical specifications are evolving — fintech companies that build API integrations before CBUAE standards are finalised risk technical debt when standards change in the 2025 finalisation phase.",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bank API programmes have different implementation timelines — some UAE banks have live Open Finance APIs while others are still in development, making multi-bank integration planning complex.",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"DFSA Innovation Testing Licence has activity restrictions — ITL companies cannot solicit clients beyond approved test groups during the sandbox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fintech go-to-market is relationship-first — bank partnership conversations in UAE and Saudi Arabia require senior executive relationships built through sustained in-person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open banking regulatory mapping|You need to understand CBUAE Open Finance framework compliance, SAMA Open Banking Lab participation, and DFSA ITL pathway for your fintech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and Saudi bank API partnership identification|You need Gulf bank innovation team contacts who are building Open Finance API programmes and seeking fintech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fintech GTM strategy|You need a go-to-market plan that captures Open Finance API-enabled distribution across UAE and Saudi bank customer bases.",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"DFSA licence pathway|You need to understand DFSA Innovation Testing Licence, Retail Endorsement, and full CMS licence pathways and choose the right sequence.",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Gulf fintech investment|You need a pitch book grounded in Gulf Open Finance market data, bank partnership pipeline, and DFSA regulatory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bank partnership commercial structuring|You need a revenue share, white-label, or API licensing structure that aligns with Gulf bank procurement and fintech partnership models."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"Personal Finance Management App",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UK-based PFM app with 500K users wanted to enter UAE but found that CBUAE Open Finance APIs were not yet live at all major banks, and DFSA licence was required for their account aggregation feature.",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CBUAE Open Finance API readiness across 8 major UAE banks. Identified 2 banks with live sandbox APIs and strong fintech partnership appetite. Built DFSA ITL application support and bank design partner engagement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became design partner to two major UAE banks on their Open Finance API programmes. DFSA ITL application submitted. Live in UAE within 14 months with bilateral API access before full CBUAE mandated open banking went live."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"SME Lending Platform",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Singapore-based SME lending platform wanted to access Gulf SME transaction data for credit scoring through Open Finance but found that CBUAE data sharing for SME accounts was in a different regulatory track from consumer accounts.",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CBUAE SME Open Finance data category coverage. Identified alternative data sources through Marmore MENA Intelligence and Dubai Chamber data partnerships. Built SAMA Open Banking Lab application for Saudi SME lending pilot.",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accessed Saudi SAMA Open Banking Lab within 6 months. Saudi SME lending pilot live with 200+ borrowers within 12 months. UAE SME Open Finance integration scheduled for when CBUAE SME data categories go live."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"Cross-Border Payment App",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Kenyan mobile money company wanted to extend into Gulf to capture GCC remittance to Africa corridor but faced CBUAE payment licence requirements and needed access to UAE exchange house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CBUAE payment service provider licence requirements versus partnership with licensed UAE exchange house. Identified 3 UAE exchange houses with existing Africa corridor and fintech partnership appetite. Built commercial structure for API-enabled remittance partnership.",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partnered with UAE exchange house within 8 months. GCC-to-Africa remittance corridor live without own CBUAE licence. 10,000 monthly transactions within 6 months of launch."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"CBUAE Open Finance Framework",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UAE",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"Full mandate Q1 2025; compliance ongoing",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framework is clear but bank API readiness varies; data category coverage expanding quarterly"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"DFSA Innovation Testing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"Dubai Financial Services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"Application to approval: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detailed application but DFSA actively supports fintech applicants; 2-year sandbox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"SAMA Open Banking Lab",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"Saudi Central Bank",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"Application to participation: 1-3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designed for fintech participation; Saudi bank partnerships follow lab validation"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"CBUAE Payment Service Provider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UAE",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"6-12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"complexity": "High — capital requirements, AML/CFT compliance, IT security audit, director fit and proper all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"UAE neobanks (Wio, Liv, Meem)",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CBUAE licence, Gulf bank backing, and early Open Finance API integration position",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positions clients on specific capabilities that UAE neobanks have not built — cross-border rails, specialist SME credit, or international investment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"International fintech expanding in Gulf (Wise, Revolut, Stripe)",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sophisticated product, and significant capital for Gulf expansion",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 positioning on segments where global generalists are not prioritising — Arabic-language products, Gulf SME segments, or Saudi-specific regulatory tracks requiring local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bank in-house digital finance (Emirates NBD Liv, FAB PayIt)",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"Balance sheet, existing customer base, and regulatory relationship that no standalone fintech can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bank white-label and co-brand structures where the international fintech's technology creates value the bank cannot build internally."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"CBUAE has published a new Open Finance technical standard affecting your API integration architecture",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UAE or Saudi bank has approached you about a fintech partnership and you need to evaluate commercial and regulatory terms within 60 days",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approved Gulf as a strategic market following a competitor entering Dubai or Riyadh",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investors want to fund your Gulf expansion in exchange for early market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"RBI or FCA approved a bilateral fintech bridge with CBUAE or DFSA creating a simplified cross-border regulatory path"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"Open Finance regulatory and API readiness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"CBUAE Open Finance compliance checklist, UAE bank API readiness matrix, DFSA or SAMA pathway recommendation",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open banking regulatory and technical standards are evolving simultaneously — knowing what is live versus planned determines the product and partnership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"Bank and fintech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"UAE and Saudi bank innovation team contact map, fintech partnership commercial structure options, SAMA Open Banking Lab application",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fintech distribution is bank-partnership-driven — the quality of these relationships is the primary market entry differentiator"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GTM and unit economics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"Gulf-specific unit economics model, Arabic localisation requirements, customer acquisition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fintech pricing and distribution economics differ from European and Asian markets — this phase prevents the most common Gulf fintech planning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"Commercial and legal structuring",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"Bank partnership term sheet framework, DFSA ITL application support, Gulf entity structure recommendation",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bank partnership commercial terms are non-standard and require experienced negotiation — getting the first deal wrong creates a market-wide precedent problem"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expansion strategic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fintech investment approval",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Partnerships — Gulf bank partnership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CBUAE and DFSA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Product — Gulf product localisation and Arabic UX",</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"Head of MENA — Gulf market entry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UAE product assuming CBUAE Open Finance APIs are live at all major banks — they are not; companies plan architecture around live APIs and find they are 12-18 months ahead of actual bank implementation",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"Applying for DFSA ITL without understanding activity restrictions — ITL companies cannot market broadly, meaning the 2-year sandbox window must be spent on bank partnerships, not consumer acquisition",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Arabic language requirement — Gulf bank customers interact with financial products in Arabic and English-only fintech see adoption rates 60-70% below Arabic-enabled equivalents",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"Treating UAE and Saudi Arabia as one Gulf market — CBUAE and SAMA have different open banking frameworks, timelines, and bank API programmes requiring separate regulatory and commercial strategies"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"CBUAE Open Finance: 20+ data categories mandated — account, transaction, card, lending, and investment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financially active adults: 5.4M — addressable fintech population at scale once Open Finance APIs are live across all major banks",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"SAMA Open Banking Lab: 30+ fintech participants as of Q1 2025 — Saudi open banking past pilot stage",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"DFSA ITL approvals: 50+ companies to date — most progressive fintech sandbox in MENA by applicant success rate",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fintech investment: $2B+ in 2024 — highest annual Gulf fintech investment on record"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"CBUAE Open Finance APIs going live at major UAE banks in 2024-2025 — fintech companies that become design partners during API development have 12-18 month head starts",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"SAMA Open Banking Lab cohort selection is happening now — limited slots and the companies participating in 2024-2025 cohorts will define the Saudi fintech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bank digital transformation budgets are at peak allocation — the 2024-2026 period is when UAE and Saudi banks make their largest external fintech partnership investments"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open banking regulatory pathway and UAE bank API partner options before committing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for Gulf fintech covering CBUAE licence cost, bank partnership economics, and Gulf unit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open banking market entry from DFSA ITL application to first bank partnership live.",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fintech GTM team covering CBUAE, SAMA, and UAE bank innovation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CBUAE Open Finance and bank partnership pipeline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 from Arabic language AI financial advisory to CBUAE-compliant open finance data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account aggregation companies or also with embedded lending, payment, and PFM companies entering the Gulf?|All open banking and fintech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fintech engagement take?|Typically 8-10 weeks for regulatory mapping, bank partner identification, and GTM structuring.",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UAE bank innovation team contacts for Open Finance partnerships?|Yes — UAE and Saudi bank innovation team relationships are core to our Gulf fintech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"Should we go to UAE or Saudi Arabia first?|It depends on your product — we recommend the market where your specific fintech use case has more mature API infrastructure and regulatory clarity, which differs by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open banking market entry, CBUAE Open Finance consulting, DFSA fintech licence advisory, SAMA open banking Saudi Arabia, UAE fintech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DIFC Dubai DFSA-regulated fintech and CBUAE Open Finance bank API ecosystem; Saudi Arabia — SAMA Open Banking Lab Riyadh",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"20+",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"CBUAE Open Finance data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"The most comprehensive open finance data sharing mandate in the emerging world — account, transaction, card, lending, and investment data all mandated.",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"$2B+",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"Gulf fintech investment in 2024",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"Highest annual Gulf fintech investment on record — driven by CBUAE and SAMA open banking policy catalysts creating the market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open banking fintech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"CBUAE framework mapping, UAE bank API partnership identification, and DFSA licence pathway with regulatory depth and primary bank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"africa-fintech-mobile-money",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"fintech-payments",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Fintech &amp; Mobile Money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"meta": "GreyRadius helps international fintech companies enter Africa with M-Pesa and MTN Mobile Money partnership mapping, CBN and CBK regulatory advisory, and GTM strategy across Nigeria, Kenya, and South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"Africa fintech and mobile money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fintech to Africa's mobile-first financial ecosystem — strategy for fintech companies entering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"Africa's fintech market is built on a fundamentally different infrastructure than any other major market — M-Pesa processes more transactions annually than Western Union globally, MTN Mobile Money has 300M+ registered users across 17 countries, and Africa's mobile money operators have built the payment rails, identity infrastructure, and agent networks that banks in most African markets have not matched. International fintech companies entering Africa must understand that the distribution infrastructure they will use — and compete with — is mobile money-first, not bank-first. GreyRadius has run fintech market entry mandates in Nigeria, Kenya, Ghana, South Africa, and Egypt and understands Africa's specific fintech regulatory, distribution, and commercial dynamics.",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"Africa's fintech market is at a regulatory maturation inflection — Nigeria's CBN has established a comprehensive fintech licensing framework, Kenya's CBK has launched a formal regulatory sandbox, and South Africa's FSCA is actively creating digital banking and payment licence pathways. The 2024-2027 period is when Africa's fintech regulatory frameworks are being finalised and international companies that engage with regulators now will shape the compliance environment they operate 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mobile money market: $1 trillion in annual transaction value — M-Pesa alone processes more transactions than Western Union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"Nigeria fintech market: $4B investment since 2020 — the most active African fintech investment market with the most competitive but largest commercial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"Kenya M-Pesa: 50M+ users processing 67% of Kenya's GDP annually — the world's most successful mobile money system and the benchmark for Africa fintech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"South Africa FSCA digital banking licences: 3 neobanks licensed in 2023-2024 — South Africa's regulatory environment for digital financial services is the most advanced on the continent.",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"Africa's unbanked population: 350M adults — the largest financially excluded population in the world and the primary growth market for mobile money and fintech expansion."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"Nigeria CBN fintech licences require significant capital — Mobile Money Operator licence requires NGN 2 billion minimum paid-up capital; Payment Service Bank requires NGN 5 billion.",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"Kenya CBK regulatory sandbox has limited slots per cohort — companies that miss cohort selection wait 6 months for the next application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"South Africa FICA compliance for fintech is complex — RICA, FICA, POPIA, and NCA compliance all apply to South African fintech companies with different requirements depending on service type.",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multi-country fintech operation is challenging — operating across 5+ African countries requires country-specific licences, local entities, and regulatory relationships in each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fintech market prioritisation|You need to identify which African fintech markets to enter first based on regulatory accessibility, mobile money infrastructure, and commercial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"CBN, CBK, and FSCA regulatory pathway|You need to understand Nigeria CBN fintech licence options, Kenya CBK regulatory sandbox, and South Africa FSCA digital banking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"M-Pesa and MTN Mobile Money partnership identification|You need Safaricom M-Pesa API partnership, MTN Mobile Money API access, and Airtel Money integration contacts for Africa fintech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fintech GTM strategy|You need a mobile-money-first distribution strategy that reaches African consumers through the infrastructure they actually use.",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Africa fintech investment|You need a pitch book grounded in Africa fintech market data, mobile money infrastructure analysis, and regulatory pathway.",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fintech unit economics|You need an Africa-specific unit economics model built on mobile money distribution economics, not Western bank-based assumptions."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"Cross-Border Remittance 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UK-based remittance company wanted to enter the Kenya-UK corridor but found that direct M-Pesa disbursement required a Safaricom commercial API agreement and CBK approval for a non-bank payment service provider.",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CBK payment service provider licence requirements versus partnership with a licensed Kenya PSP. Identified 2 Kenya-licensed PSPs with existing M-Pesa API integration and UK corridor capability. Built commercial structure for white-label disbursement partnership.",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launched Kenya corridor in 5 months using licensed PSP partnership. M-Pesa disbursement live. Monthly transfer volume reached $2M within 6 months. CBK PSP licence application filed in parallel for future direct operation."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"Nigeria B2B Payments",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B2B payment company wanted to serve Nigerian SMEs with USD-NGN payment settlement but found Nigeria's CBN has complex FX regulations, SWIFT banking restrictions, and a separate Payment Solution Service Provider licence for B2B payments.",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CBN PSSP licence requirements and FX transaction reporting obligations. Identified 3 Nigerian banks with active fintech partnership frameworks for FX settlement. Built CBN-compliant B2B payment structure with bank as FX counterparty.",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launched Nigeria B2B payment service 9 months after engagement. CBN PSSP licence application submitted. First 100 Nigerian SME customers onboarded within 3 months of launch."</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"South Africa Neobank",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European neobank wanted to enter South Africa but faced FSCA banking licence requirements, FICA KYC obligations, and a South African market dominated by the Big 4 banks with deep customer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FSCA banking licence versus Mutual Bank licence versus partnership with licensed bank options. Identified the township and underbanked segment where the neobank's mobile-first product had structural advantage over Big 4. Built FSCA licence application commercial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chose Mutual Bank licence pathway targeting unbanked South Africans — a segment the Big 4 do not prioritise. FSCA application submitted. POC with 5,000 users launched in 10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"Nigeria CBN Mobile Money Operator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Nigeria",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"12-18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NGN 2 billion minimum capital; extensive compliance infrastructure and CBN approval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"Kenya CBK Payment Service Provider",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Kenya",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"6-12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regulatory sandbox pathway available; CBK is more accessible than CBN for international 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"South Africa FSCA Banking/Payment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"Financial Sector Conduct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"12-24 months for banking licence; 6-12 for payment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FICA, POPIA, NCA compliance all required; FSCA has dedicated fintech unit"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"M-Pesa API Commercial Agreement",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"Safaricom (Kenya) / Vodacom (Tanzania/South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commercial negotiation; technical integration is well-documented; commercial terms vary by volume commitment"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"Africa mobile money operators (M-Pesa, MTN MoMo, Orange Money)",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"400M+ users, agent network reaching every African market, and regulatory licences in 20+ countries",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position international fintech as API-layer services on top of mobile money infrastructure — not as competitors but as value-added services that mobile money operators cannot build internally."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"African fintech unicorns (Flutterwave, Paystack, Chipper Cash)",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"Pan-Africa payment infrastructure, regulatory licences across 10+ countries, and VC-funded scale",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specific use cases that pan-Africa generalists underserve — B2B payment automation, specialist credit products, or specific African migration corridors."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"Big 4 South Africa banks (Standard Bank, Absa, FNB, Nedbank)",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licence, 30M+ customers, agent networks, and full banking services",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target unbanked and underbanked South Africans that Big 4 banks structurally underserve — the 12M South African adults who are financially excluded from formal banking."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mobile money operator has approached you about an API partnership or commercial distribution agreement",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"CBN, CBK, or FSCA has published a new fintech regulation that creates a compliance obligation — or a new licence pathway — for your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PE or VC investor is specifically requesting Africa fintech as part of a growth market diversification mandate",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African enterprise customer is requesting your fintech service for their Africa operations and you have no Africa entity or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"M-Pesa or MTN Mobile Money has published an API programme that is directly relevant to your fintech product's distribution needs"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lastRenderedPageBreak/>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fintech market prioritisation",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"Nigeria vs Kenya vs South Africa comparative analysis, mobile money infrastructure map, regulatory accessibility ranking",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fintech entry sequencing determines speed to first revenue — the wrong first market can consume 18 months and $2M with nothing to show for 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"Regulatory pathway and licensing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"Country-specific licence options, partnership versus own-licence decision, sandbox eligibility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fintech regulation is moving fast — the regulatory choice made now determines the 3-year operating framework"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"Mobile money and distribution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"M-Pesa and MTN API partnership contacts, licensed PSP partner candidates, bank partnership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"Mobile money distribution is the difference between 50,000 users and 5M users in Africa — the right API partnership makes or breaks Africa fintech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GTM and unit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"Africa-specific unit economics model, mobile-money-first GTM plan, localisation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fintech unit economics are unlike any other market — mobile money distribution costs, agent economics, and local currency risk all require Africa-native modelling"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fintech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Africa fintech capital allocation and licence budget",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International or Emerging Markets — Africa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CBN, CBK, and FSCA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Africa — mobile money operator partnership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Africa-specific product localisation and mobile-first UX"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Nigeria without understanding CBN's formal fintech licensing hierarchy — Nigeria has 7 distinct fintech licence categories and companies that launch without the right licence receive CBN enforcement action within 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"Assuming M-Pesa API access is open to all international companies — M-Pesa commercial API agreements require Safaricom commercial partnership and volume commitments that most international fintech companies do not anticipate",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fintech unit economics from a banking-infrastructure assumption — Africa fintech economics are built on mobile money agent margins, USSD transaction fees, and feature phone accessibility requirements that are completely different from European or US fintech",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"Operating across 5 African countries with 5 different legal entities and regulatory licences without a pan-Africa compliance programme — the compliance cost of multi-country Africa fintech operation consistently exceeds initial budgets by 200-300%"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mobile money annual transaction value: $1 trillion — M-Pesa alone processes more than Western Union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"Nigeria fintech investment since 2020: $4B — the most active African fintech investment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"Kenya M-Pesa users: 50M+ processing 67% of Kenya GDP annually — world's most successful mobile money deployment",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unbanked adults: 350M — the largest financially excluded population in the world and the primary fintech growth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fintech licences: 100+ issued across Nigeria, Kenya, Ghana, South Africa, and Egypt since 2020 — regulatory frameworks are maturing rapidly"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"Nigeria CBN has published its largest expansion of fintech licensing categories since 2012 — the framework created in 2024 will define Nigeria fintech for the next decade",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"Kenya CBK regulatory sandbox is in its most active cohort — companies participating in 2024-2025 receive direct CBK engagement that shapes their licence pathway",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"South Africa's FSCA is actively issuing digital banking licences for the first time — the window for a first-mover neobank position in South Africa's 12M unbanked population is open now and will close once the 3-5 licence positions are filled"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fintech market entry, M-Pesa mobile money partnership consulting, CBN Nigeria fintech licence advisory, Africa mobile payment GTM strategy, Africa fintech regulatory pathway",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"Nigeria — CBN-licensed fintech in Lagos and Abuja; Kenya — CBK-regulated with M-Pesa ecosystem; South Africa — FSCA-licensed Cape Town and Johannesburg; Ghana, Egypt secondary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mobile money annual transaction value",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"M-Pesa alone processes more transactions than Western Union globally — the foundational infrastructure for every Africa fintech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"350M",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"Africa unbanked adults",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"The world's largest financially excluded population — the primary growth market for mobile money and fintech expansion with proven commercial viability.",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fintech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"Market prioritisation, regulatory pathway, and mobile money partnership identification delivered with Africa regulatory and commercial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"india-insurtech-market-entry",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"insurtech",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Insurtech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international insurtech companies enter India with IRDAI licence mapping, insurance distribution partner identification, embedded insurance strategy,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insurtech to India's underinsured market — strategy for insurtech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"India's insurance market is one of the world's most significant underinsurance opportunities — with insurance penetration at 4.2% of GDP versus a global average of 7%, 1.4 billion people with rapidly growing insurance awareness, IRDAI's regulatory sandbox creating tested pathways for insurtech innovation, and the Bima Sugam government insurance marketplace creating a new digital distribution channel. International insurtech companies across embedded insurance, digital underwriting, claims automation, and telematics are all evaluating India as a priority market. GreyRadius helps insurtech companies validate Indian insurance buyer demand, navigate IRDAI regulatory requirements, identify insurance partner and distribution relationships, and execute GTM.",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"IRDAI's regulatory reform programme — Insurance for All by 2047 — is the most significant structural change in India's insurance market since nationalisation. IRDAI has expanded foreign ownership to 100%, simplified product filing, launched the IRDAI regulatory sandbox, and is building Bima Sugam as a national insurance marketplace. The 2024-2027 period is the most open regulatory window for international insurtech companies in India's history.",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market: $130B in premiums by 2026 growing at 15% annually — the fastest-growing major insurance market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penetration: 4.2% of GDP — versus a global average of 7% and Singapore at 12%, representing the world's largest single-country insurance underservicing gap.",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has approved 100% FDI in insurance — removing the 74% cap that previously restricted international insurance company ownership.",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regulatory sandbox: 40+ innovations approved — creating tested pathways for embedded insurance, telematics, and parametric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health insurance: growing at 25% annually — the fastest-growing insurance line driven by Ayushman Bharat and employer group health mandates."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insurance licence requires minimum paid-up capital of INR 100 crore for life, general, or health insurance company registration — substantial capital commitment before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"Product filing with IRDAI is required for every insurance product before sale — file and use versus use and file norms apply to different product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"Distribution in India is agent-dominated — 5.5M insurance agents control 75% of India's retail insurance distribution and bypassing them is very difficult for new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"Indian insurance buyer trust is built on claim settlement reputation — new entrants must demonstrate claim settlement ratio before Indian consumers and enterprises trust them with insurance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insurtech regulatory pathway|You need to understand IRDAI licence options (Insurer, Broker, Web Aggregator, Insurance Marketing Firm) and the right structure for your insurtech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partner insurer identification|You need an IRDAI-licensed insurance partner for embedded insurance or co-insurance arrangements if own-licence capital is not the right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distribution channel strategy|You need a channel strategy across digital, bancassurance, and agent distribution that reaches your target Indian insurance buyer.",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insurtech GTM strategy|You need a go-to-market plan covering Bima Sugam marketplace listing, bancassurance partnership, and embedded insurance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India insurtech investment|You need a pitch book grounded in India insurance market data, IRDAI regulatory reform analysis, and distribution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product localisation|You need an India-specific insurance product design that meets IRDAI filing requirements, Indian actuarial standards, and Indian buyer preferences."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"Embedded Health Insurance",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embedded insurance company wanted to offer micro health insurance to India's gig workers through gig platforms but found that IRDAI requires insurance distribution through licensed entities and gig platform embedment required specific IRDAI Corporate Agent or MISP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IRDAI MISP (Motor Insurance Service Provider equivalent for health) and Corporate Agent registration options. Identified 3 IRDAI-licensed health insurers with appetite for gig worker micro-health product partnerships. Built product structure for INR 500/month micro health cover.",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launched embedded micro-health insurance through Urban Company platform with IRDAI-licensed insurer partner. 50,000 gig workers insured within 4 months of launch. IRDAI product approved on file-and-use basis."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"Parametric Agricultural Insurance",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Dutch parametric crop insurance company wanted to enter India's agricultural insurance market but found that PMFBY (Pradhan Mantri Fasal Bima Yojana) dominated the segment and direct parametric products required IRDAI approval and distribution to 150M Indian farmers.",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PMFBY co-insurance partnership versus standalone parametric product IRDAI filing options. Identified state government agricultural insurance partnership opportunities outside PMFBY. Built distribution strategy through India's Primary Agricultural Cooperative Societies (PACS).",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entered as PMFBY co-insurer for 3 Indian states providing parametric trigger methodology. First season coverage: 500,000 farmers. India technology licence revenue from GIC Re partnership: $2M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"Digital Motor Insurance",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 digital motor insurer wanted to enter India but found India's motor insurance market is mandatory third-party (INR 7,000 crore annual TP pool), dominated by public sector insurers, and faces intense price competition on own-damage.",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IRDAI motor insurance product filing requirements. Identified the fleet motor insurance segment as an addressable niche where telematics-based pricing creates differentiation. Built bancassurance and auto dealer channel partnership strategy for own-damage cover.",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entered India motor via telematics fleet insurance with 3 fleet operators. IRDAI product approval in 5 months. First year GWP: INR 15 crore from fleet segment before scaling to retail own-damage."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"IRDAI Insurance Company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"Insurance Regulatory and Development Authority of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"12-18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INR 100 crore minimum capital, actuarial sign-off, fit and proper, business plan scrutiny"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"IRDAI Insurance Broker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"IRDAI",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"6-9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INR 50 lakh capital, qualified broker, PI insurance; allows placement with any IRDAI-licensed insurer"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"IRDAI Regulatory Sandbox",</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"IRDAI Innovation Hub",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"Application to approval: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designed for innovation; approved innovations get 36-month operating permission before full IRDAI filing"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File and Use / Use and File",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"IRDAI",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"File and use: pre-approved categories immediate; others 30 days",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depends on product category; IRDAI has expanded file-and-use eligibility significantly under reform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"Indian public sector insurers (LIC, New India, National Insurance)",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"Dominant market share (55%+ of life insurance via LIC), mandatory TP motor pool, and government relationship",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international insurtech on private lines and digital distribution where public sector insurers structurally underperform — health, SME liability, and embedded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"Indian private insurers (HDFC Life, ICICI Lombard, Bajaj Allianz)",</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"Strong bancassurance distribution, IRDAI licence, brand recognition, and 20+ years of Indian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position international insurtech as technology or product partners to Indian private insurers rather than as competitors — co-insurance, underwriting technology, or claims automation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"India insurtech startups (Acko, Digit, Policy Bazaar)",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"Digital-first distribution, aggressive pricing on motor and health, and significant VC funding",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international companies on B2B insurtech — underwriting technology, actuarial AI, claims automation — where Indian insurtech startups are buyers rather than competitors."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has published a new product category or distribution channel innovation that directly enables your insurtech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major Indian insurer or bank has approached you about a technology or co-insurance partnership",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PE or VC investor is requesting India as part of Asia-Pacific expansion diligence",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India insurance coverage under their international group policy and you have no India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"India's Bima Sugam marketplace has gone live and creates a direct digital distribution channel for your insurance product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"IRDAI regulatory pathway and sandbox eligibility",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"IRDAI licence option analysis, sandbox eligibility assessment, partner insurer versus own-licence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IRDAI structure decision determines capital requirement, product flexibility, and go-to-market timeline — getting this right in Week 1 saves 12+ months of wrong-direction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insurer and distribution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"IRDAI-licensed partner insurer candidates, bancassurance and digital distribution contacts, PACS and corporate agent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insurance distribution is relationship-driven — identifying the right insurer and distribution partner is the primary commercial determinant of India insurtech success"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insurance product design and IRDAI filing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"India-specific product specification, IRDAI filing strategy, actuarial requirements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insurance products must be designed for IRDAI filing requirements from the start — retrofitting products designed for other markets adds 6-9 months of rework"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"India insurtech GTM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"Distribution channel GTM plan, Bima Sugam marketplace integration strategy, first premium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"India insurtech GTM requires simultaneous regulatory, partner, and distribution tracks — the sequencing plan determines first premium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India strategic expansion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Actuary — IRDAI product filing and India actuarial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International Business — India insurer and distribution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IRDAI licence strategy and sandbox application",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Product — India insurance product design and IRDAI filing",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Distribution or Partnerships — bancassurance and agent channel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India with a foreign insurance entity assuming it can directly underwrite India risks — IRDAI requires an Indian insurance company for direct underwriting; foreign reinsurance is the only exception",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"Designing India insurance products for Western product structures without IRDAI filing compatibility — India insurance products must comply with IRDAI standardisation guidelines that differ from EU Solvency II or US state regulations",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the agent distribution requirement — 5.5M Indian insurance agents control 75% of retail distribution and digital-only strategies that bypass agents find adoption capped at 5-8% market share",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"Setting India insurance pricing without understanding IRDAI tariff and guideline requirements — motor TP pricing is fixed by IRDAI and health pricing has IRDAI disclosure requirements that affect product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market: $130B in premiums by 2026 at 15% annual growth — the fastest-growing major insurance market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insurance penetration: 4.2% of GDP — world's largest insurance underservicing gap by absolute market size",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100% FDI approved — the most significant India insurance regulatory liberalisation since nationalisation",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health insurance growth: 25% annually — driven by Ayushman Bharat and rising employer group health mandate",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sandbox: 40+ innovations approved including embedded insurance, telematics, and parametric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"IRDAI Insurance for All by 2047 is the structural reform catalyst — IRDAI has eliminated the 74% FDI cap, streamlined product filing, and launched Bima Sugam in the past 24 months; this reform momentum will not repeat",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"Bima Sugam marketplace is going live in 2024-2025 creating a direct digital insurance distribution channel that did not previously exist — early listers on Bima Sugam will have distribution advantages that late entrants cannot acquire",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"India's gig economy insurance gap is the world's largest unaddressed embedded insurance opportunity — 50M gig workers without any insurance and a regulatory pathway now open for micro-insurance products through gig platforms"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insurtech market entry, IRDAI licence consulting, India embedded insurance advisory, India insurance distribution GTM, India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insurance hub; Bengaluru and Delhi NCR for embedded insurtech; IRDAI-regulated nationwide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"$130B",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insurance premiums by 2026",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15% annually — the fastest-growing major insurance market globally with the world's largest insurance underservicing gap.",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"4.2%",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"India insurance penetration of GDP",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"Versus a global average of 7% — the world's largest single-country insurance underservicing gap representing hundreds of billions in addressable premium.",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"India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"IRDAI regulatory pathway, partner insurer identification, and distribution strategy — with primary research from IRDAI officials and Indian insurer partnership contacts."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"gulf-b2b-saas-enterprise-entry",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"enterprise-saas",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B2B SaaS Enterprise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international B2B SaaS companies enter Gulf markets with enterprise buyer mapping, NCA data residency advisory, SI partner identification, and Vision 2030 programme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B2B SaaS enterprise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B2B SaaS to Gulf enterprise deployment — GTM strategy for SaaS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"The Gulf's enterprise software market is growing at extraordinary speed — driven by Vision 2030 digital transformation investment, the world's most active government enterprise software procurement outside the US, and Gulf enterprises managing the most complex digital transformation mandates in the emerging world. International B2B SaaS companies across ERP, CRM, cybersecurity, HR, and vertical software are all evaluating Gulf market entry. But Gulf enterprise SaaS is not the same as US or European enterprise GTM — NCA data residency requirements affect cloud architecture, government procurement requires G-Cloud certification in Saudi Arabia, and Gulf enterprise decisions involve senior government relationships that take years to build. GreyRadius has run SaaS GTM mandates for international software companies across BFSI, energy, government, and manufacturing and brings commercial and regulatory depth to every Gulf SaaS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"Saudi Arabia's NDMO Data Governance Framework and NCA Essential Controls are both in active compliance enforcement — Gulf enterprises that have delayed cloud and SaaS adoption are now making mandatory procurement decisions to achieve compliance. The B2B SaaS companies certified as NCA-compliant in 2024-2026 will be the default choices in mandatory procurement cycles that cannot be deferred.",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enterprise software market: $15B by 2028 growing at 18% annually — Vision 2030 digital transformation mandates are the single largest driver of enterprise software procurement growth in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Arabia's NCA Essential Cybersecurity Controls apply to all government and critical infrastructure enterprises — mandatory compliance creating enterprise SaaS procurement that is regulatory-driven, not discretionary.",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"UAE's CBUAE, MOHAP, and DIFC all have sector-specific data residency and software compliance requirements — SaaS companies serving Gulf financial services, healthcare, and financial centre tenants all face specific regulatory obligations.",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"GITEX Global: 100,000+ attendees from 170 countries — the world's most commercially active enterprise technology event and the essential entry point for Gulf enterprise SaaS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G-Cloud: government cloud programme actively procuring SaaS — NCA-certified SaaS companies access the world's most active government cloud procurement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"NCA certification in Saudi Arabia requires a formal assessment against the Essential Cybersecurity Controls framework — SaaS companies without NCA certification cannot participate in government or critical infrastructure enterprise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 residency requirements vary by sector and country — Saudi Arabia's NDMO framework, UAE's CBUAE data governance, and DIFC PDPA all create different data localisation obligations for SaaS products.",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enterprise sales cycles are long and senior relationship-dependent — the CIO and CISO of Saudi Aramco, ADNOC, and Gulf telecom companies make software decisions through sustained C-suite engagement, not digital demand generation.",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global SaaS companies (SAP, Oracle, Salesforce) with dedicated Gulf offices and decade-long customer relationships is intense across all major enterprise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enterprise buyer mapping|You need to identify which Gulf enterprises have your problem and understand the buying committee structure, NCA compliance urgency, and budget cycle timing.",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"NCA and data residency compliance pathway|You need to understand NCA Essential Controls certification, UAE data residency requirements by sector, and the impact on your SaaS architecture.",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SI and reseller partner identification|You need Gulf System Integrators — Accenture Gulf, Deloitte Digital, stc Solutions — who have existing enterprise relationships and can resell or implement your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SaaS GTM strategy|You need a go-to-market plan that sequences NCA certification, SI partnership, and direct enterprise account development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Gulf SaaS investment|You need a pitch book grounded in Gulf enterprise software market data, NCA compliance mandate analysis, and SI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SaaS localisation roadmap|You need an Arabic language UI, Gulf data residency architecture, and NCA compliance implementation roadmap before enterprise procurement can begin."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"Cybersecurity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cybersecurity SaaS company with SOC 2 Type II and ISO 27001 certifications wanted to enter Saudi Arabia but found that NCA certification was required for government procurement and their existing certifications were not equivalent to NCA Essential Controls.",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NCA Essential Controls gap against existing certifications. Estimated 4-month NCA assessment timeline and $150K compliance investment. Identified stc Solutions as the Saudi SI with strongest government cybersecurity procurement relationships. Built NCA certification and SI partnership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"NCA certification achieved in 5 months. stc Solutions partnership signed. First Saudi government cybersecurity SaaS contract: $1.2M ACV. Saudi Arabia became the company's largest single-country market within 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"ERP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cloud ERP company targeting mid-market Gulf enterprises found that their AWS US-East hosted ERP violated Saudi Arabia NDMO data residency requirements for Saudi companies and UAE CBUAE data governance for financial services clients.",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NDMO and CBUAE data residency requirements. Identified AWS Riyadh and Microsoft Azure UAE regions as compliant hosting options. Built the architecture change roadmap and cost estimate ($200K for 6-month migration) for Gulf data residency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"Client migrated Gulf instances to AWS Riyadh within 6 months. First Saudi enterprise ERP customer signed post-migration: INR 800K ACV. UAE financial services ERP pipeline opened after CBUAE compliance achieved."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"HR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European HR platform wanted to enter Gulf but found that Saudisation (Nitaqat) and Emiratisation compliance reporting — mandatory for all regulated Gulf employers — required government system integration that their global platform did not have.",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"Identified GOSI (Saudi) and MOHRE (UAE) integration requirements. Estimated 4-month development timeline for Gulf compliance features. Built Gulf pricing at 25% discount to European list with localisation roadmap. Identified Mercer and Aon Gulf as HR consulting partners with enterprise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compliance features built in 4 months. Mercer Gulf partnership signed. First 5 Gulf enterprise customers within 9 months. Gulf ARR reached $800K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"NCA Essential Cybersecurity Controls",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"Saudi National Cybersecurity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"Assessment to certification: 4-6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full controls assessment by approved CISO; mandatory for government and critical infrastructure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"Saudi NDMO Data Governance Framework",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"National Data Management Office",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"Compliance review: 2-3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data classification and residency requirements; Saudi Arabia region cloud hosting resolves most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"UAE CBUAE Data Governance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UAE",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"Bank-specific; typically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financial services SaaS must have UAE-resident data; CBUAE periodically audits vendor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"DIFC PDPA Data Protection",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"DIFC Commissioner of Data Protection",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"DPO registration: 1 month; full compliance: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similar to GDPR but DIFC-specific; DPO registration and privacy policy compliance required for DIFC-licensed entities"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SaaS majors (SAP, Oracle, Salesforce, ServiceNow)",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"Dedicated Gulf offices, decade-long enterprise relationships, and NCA-certified Gulf data centres",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international SaaS on the mid-market Gulf enterprise segment (INR 50M-500M revenue equivalent) that global majors underserve — deals too small for their enterprise sales motion but too large for SME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SaaS companies (MENA-native ERP, Aramis, SAP Gulf SI)",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"Gulf compliance built-in, Arabic language, and existing government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position international SaaS on specific capability depth — AI features, global integration, or vertical specialisation — that Gulf-native competitors have not built."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SIs reselling international SaaS (stc Solutions, Accenture Gulf, IBM Gulf)",</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C-suite relationships at 200+ Gulf enterprises and government entities",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structure SI partnerships that give international SaaS access to SI enterprise relationships without ceding product roadmap control or pricing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"NCA has issued a compliance deadline for your target Gulf enterprise segment creating mandatory SaaS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Gulf enterprise or government entity has submitted an unsolicited request for your SaaS product",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Gulf as a strategic market and asked for a 90-day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global SI (Accenture, Deloitte, PwC) has asked whether you have Gulf capabilities and interest in a reseller relationship",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"Vision 2030 has funded a specific government programme that creates enterprise software procurement in your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"NCA and data residency compliance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"NCA Essential Controls gap analysis, NDMO data residency compliance plan, UAE sector-specific requirements 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enterprise procurement requires NCA and data residency compliance — starting GTM before understanding compliance requirements leads to deals lost at the final procurement stage"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enterprise buyer mapping and ICP validation",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enterprise ICP, named account list of 30 target enterprises, buying committee structure at 10 priority accounts",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enterprise SaaS requires account-based selling — the right ICP prevents 12 months of sales activity aimed at accounts that cannot or will not buy"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"SI and channel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SI partner shortlist, partner commercial structure options, GITEX participation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enterprise SaaS cannot scale without SI partnership — the right SI partner provides C-suite access that direct sales cannot achieve in 24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SaaS GTM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"NCA certification timeline, SI partner onboarding plan, named account GTM, first ARR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SaaS GTM requires simultaneous NCA compliance, SI partnership, and direct account tracks — the sequencing determines first revenue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strategic expansion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Sales — Gulf enterprise revenue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NCA and UAE data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Partnerships — Gulf SI and reseller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Product — Gulf localisation and Arabic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Revenue Officer — Gulf ARR target and channel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"Attending GITEX without NCA certification or data residency compliance — Gulf enterprises that express interest at GITEX complete procurement diligence 3-6 months later and find non-compliant vendors at that stage",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Gulf SaaS at European or US list price — Gulf enterprises expect 20-30% discount to global list pricing plus Arabic language support and Gulf data residency as standard inclusions",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GTM as an extension of Europe or India sales teams — Gulf enterprise buyers require dedicated Gulf-based sales engagement; remote selling from outside the region has a 70% lower conversion rate on enterprise deals",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the Saudi G-Cloud government procurement process — Saudi government SaaS procurement requires G-Cloud provider certification, tender participation, and NCA certification simultaneously; companies that start without all three cannot complete the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enterprise software market: $15B by 2028 at 18% CAGR — Vision 2030 digital transformation mandates driving extraordinary enterprise software procurement growth",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NCA Essential Controls enforcement: active across government and critical infrastructure — creating mandatory compliance-driven SaaS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"GITEX Global: 100,000+ attendees from 170 countries — the single most commercially active enterprise technology event for Gulf SaaS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SI market: stc Solutions, Accenture Gulf, IBM Gulf, and Deloitte collectively serving 500+ Gulf enterprise accounts — the access channel for international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SaaS pricing benchmark: 20-30% discount to US list required plus Arabic and data residency — our primary research across 8 software categories confirms this range"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"NCA compliance enforcement is in its most active phase — Saudi Arabia has moved from guideline to enforcement and Gulf enterprises that deferred NCA compliance are now in mandatory procurement cycles",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G-Cloud provider roster is being established — the SaaS companies achieving G-Cloud certification in 2024-2026 will be the default government cloud options; late entrants will find the provider list full",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enterprise digital transformation budgets are at 5-year peak — Vision 2030 programme companies and government entities have allocated their largest ever annual digital transformation budgets for 2024-2026"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B2B SaaS enterprise market entry, NCA certification consulting, Saudi Arabia SaaS GTM advisory, UAE enterprise software strategy, Gulf digital transformation SaaS",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NCA-compliant government and enterprise SaaS in Riyadh; UAE — CBUAE-regulated financial services SaaS in Dubai and Abu Dhabi; GITEX Global Dubai as entry point",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"$15B",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enterprise software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18% annually — Vision 2030 digital transformation mandates driving the most active government enterprise software procurement outside the 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"100K+",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"GITEX Global attendees",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"The world's most commercially active enterprise technology event — the essential entry point for any international SaaS company entering Gulf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B2B SaaS enterprise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"NCA compliance gap assessment, SI partner identification, and Gulf enterprise buyer mapping with primary research from Gulf CIOs and SI partner conversations."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"gulf-logistics-supply-chain",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"logistics-supply-chain",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Logistics &amp; Supply Chain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international logistics companies enter Gulf markets with JAFZA and NMDP access, ICV compliance strategy, cold chain certification, and 3PL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logistics and supply chain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logistics to Gulf's multimodal trade hub — strategy for logistics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"The Gulf's logistics market is at a historic investment peak — Jebel Ali Port processes 15M TEUs annually, Saudi Arabia's NMDP commits $3B+ to new port and logistics infrastructure, and UAE's free zone ecosystem creates the most accessible logistics market entry conditions globally. International logistics companies across freight forwarding, 3PL, port logistics, supply chain technology, and cold chain are all evaluating Gulf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"Saudi Arabia's NMDP is in active construction — anchor tenant positions at Jeddah Islamic Port, King Abdullah Port, and Ras Al-Khair industrial logistics parks are being allocated now. Logistics companies establishing Saudi relationships in 2024-2026 will access infrastructure that defines Saudi Arabia's logistics competitive landscape for the next decade.",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logistics market: $100B by 2028 at 10% annual growth — Vision 2030 trade diversification and NMDP investment driving expansion.",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"Jebel Ali Free Zone: 9,400+ companies from 100+ countries — the most internationally accessible logistics market entry point in the emerging world.",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Arabia NMDP: $3B+ in new port infrastructure — creating logistics park anchor tenant opportunities that did not exist before 2022.",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free zones: 40+ with 100% foreign ownership and zero corporate tax — the most favourable logistics market entry conditions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cold chain: $4B market growing at 15% — pharmaceutical, food, and e-commerce cold chain vastly exceeding current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"ICV requirements apply to Saudi logistics contracts — local workforce, local spending, and Saudi maritime transport utilisation factor into ICV scoring for government contracts.",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free zone versus mainland logistics creates commercial restrictions — free zone companies cannot directly serve UAE mainland customers without a mainland entity.",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climate creates extreme operational demands — summer temperatures of 45C affect cold chain, vehicle performance, and worker safety requiring Gulf-specific operational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DP World and ADPC with government backing, port infrastructure, and regional logistics positions is the defining competitive challenge."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logistics free zone and infrastructure access|You need to identify the right UAE free zone or Saudi logistics park anchor tenant position for your operations.",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"NMDP and Jebel Ali ecosystem access|You need Saudi NMDP programme contacts, JAFZA commercial terms, and DP World partnership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3PL and cold chain partner identification|You need Gulf logistics operators, cold chain specialists, and port logistics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logistics GTM strategy|You need a go-to-market plan covering UAE free zone logistics hub, Saudi NMDP programme, and Gulf e-commerce logistics.",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Gulf logistics investment|You need a pitch book grounded in Gulf logistics market data and NMDP infrastructure pipeline analysis.",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ICV compliance strategy|You need an ICV plan covering workforce localisation, local procurement, and Saudi maritime transport utilisation."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"Port Logistics",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Netherlands-based port logistics company wanted to access Jebel Ali's ecosystem but needed to position carefully given DP World's dominant market position.",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"Identified 3 Jebel Ali Free Zone logistics niches where DP World was not competitive — speciality chemical logistics, pharmaceutical GDP cold chain, and dangerous goods warehousing. Built JAFZA commercial terms comparison.",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"JAFZA lease signed for speciality chemical logistics. First 5 chemical company clients onboarded within 6 months. Annual throughput: 12,000 TEU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"Cold Chain",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European pharmaceutical cold chain operator wanted to enter Saudi Arabia's pharmaceutical import market but faced ICV requirements and SFDA GDP warehouse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SFDA GDP warehouse certification requirements. Built Saudi ICV compliance plan with 30% local workforce target. Identified Riyadh Industrial City pharmaceutical logistics zone.",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"SFDA GDP certification achieved in 4 months. Riyadh facility lease signed. First Saudi pharma cold chain contract: $2.5M ACV."</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"Supply Chain Technology",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supply chain visibility SaaS company wanted to serve Gulf retailers but found NCA compliance in Saudi Arabia affected their cloud architecture.",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NCA data residency requirements. Identified AWS Riyadh as compliant hosting. Built Gulf pricing at 25% discount to US list with Arabic language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"Gulf data residency architecture deployed in 4 months. First Gulf supply chain customer at Lulu Hypermarket. Gulf ARR: $1.2M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"Jebel Ali Free Zone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"JAFZA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100% foreign ownership; no customs duties in free zone"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"Saudi ICV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"Saudi Vision 2030 ICV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annual ICV assessment by certified auditor; percentage target increases annually"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"UAE Mainland Trade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"DED (Department of Economic Development)",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required for serving UAE mainland customers from a free zone entity"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"SFDA GDP Pharmaceutical Warehouse",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"Saudi Food and Drug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"3-5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temperature mapping, SOPs, and facility inspection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"DP World and ADPC",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"Port infrastructure monopoly, government backing, and integrated logistics ecosystem",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structure international logistics entry as partner or tenant to DP World — accessing their distribution network without competing against their core business."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"Arabian logistics companies (Aramex, Al-Futtaim Logistics, DHL Gulf)",</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"Existing Gulf enterprise relationships, Arabic operations, and regional Gulf network",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position international companies on specific capability gaps — pharmaceutical GDP cold chain, hazmat, or supply chain technology — where established operators underperform."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"Saudi national logistics companies (SPL, Naqel Express)",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"Saudi government contracts, nationwide Saudi delivery network, and ICV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target the multinational and Vision 2030 manufacturer segment where Saudi national operators lack international supply chain capability and global network integration."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NMDP has announced a logistics park anchor tenant tender in your infrastructure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Gulf enterprise has approached you to manage their supply chain or logistics operations",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global logistics client has Saudi Arabia or UAE operations and has asked you to cover their Gulf supply chain",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"DP World has announced a partnership programme for international logistics operators",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has changed free zone regulations creating a specific window for your logistics market entry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logistics free zone and infrastructure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"UAE free zone comparative analysis, NMDP logistics park access map, ICV requirement overview",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logistics entry structure determines tax, customs, and client access — the free zone versus mainland versus Saudi entity decision affects every subsequent commercial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logistics partner and anchor tenant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3PL partner candidates, DP World and ADPC partnership structure options, cold chain specialist shortlist",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logistics infrastructure access requires partner or tenant relationships — identifying these early determines the infrastructure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logistics GTM and unit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logistics unit economics model, ICV compliance plan, client acquisition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logistics unit economics are structurally different from European or Asian benchmarks — climate, ICV compliance, and free zone trade-offs all require Gulf-native modelling"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logistics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"Free zone licence application, ICV compliance roadmap, first client acquisition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logistics GTM requires simultaneous free zone, ICV, and client development tracks — sequencing determines speed to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logistics strategic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Operating Officer — Gulf logistics infrastructure and operations",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International Business Development — Gulf client and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Middle East — Gulf logistics commercial and regulatory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Cold Chain — Gulf pharmaceutical and food logistics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logistics capex and free zone cost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"Establishing a UAE free zone logistics entity and then trying to serve UAE mainland customers without a mainland entity — free zone companies cannot directly deliver to UAE mainland",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logistics unit economics from European cost assumptions — Gulf climate, ICV compliance, and free zone operating costs are structurally different",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Saudi logistics without an ICV compliance plan — Saudi government logistics contracts require ICV certification and companies without it cannot bid",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DP World's market position — companies that position as DP World competitors rather than partners find market access blocked across most Gulf logistics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logistics market: $100B by 2028 at 10% annual growth — Vision 2030 trade diversification the primary structural driver",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"Jebel Ali throughput: 15M TEU annually — world's 9th largest port and Gulf's primary logistics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NMDP: $3B+ in new port and logistics infrastructure — creating anchor tenant opportunities across 4 new logistics parks",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free zones: 40+ with 100% foreign ownership — most accessible logistics market entry conditions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cold chain: $4B growing at 15% — pharmaceutical cold chain highest-margin and fastest-growing segment"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NMDP logistics parks are being built now — anchor tenant positions are being allocated in 2024-2026 and late entrants will find prime locations committed",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free zone evolution is creating a short-term structural window — companies establishing UAE free zone entities before the evolving tax regime is finalised will have structure certainty",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pharmaceutical cold chain is at the adoption inflection — Vision 2030 healthcare investment and pharmaceutical import growth are creating GDP cold chain demand that current Gulf infrastructure cannot serve"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logistics demand with primary research from Gulf enterprise logistics buyers and free zone operators.",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logistics unit economics, ICV compliance, and free zone versus mainland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logistics market entry from JAFZA licence to first freight volume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logistics GTM team covering NMDP programme and Gulf enterprise client acquisition.",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Vision 2030 trade and NMDP infrastructure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ICV compliance strategy — from workforce localisation to maritime transport utilisation."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freight forwarders or also with 3PL operators, cold chain, and supply chain technology companies entering the Gulf?|All logistics and supply chain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logistics engagement take?|Typically 8-10 weeks for free zone analysis, partner identification, and logistics unit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NMDP logistics park anchor tenant opportunities?|Yes — Saudi NMDP programme and logistics park developer relationships are core to our Gulf logistics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"Should we enter via UAE or Saudi Arabia first?|UAE for free zone speed to first revenue; Saudi Arabia for larger long-term government and energy sector logistics volume — we recommend sequencing based on your existing client relationships and infrastructure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logistics supply chain market entry, Jebel Ali JAFZA logistics consulting, Saudi NMDP advisory, UAE free zone logistics GTM, Gulf cold chain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Jebel Ali JAFZA, Dubai South, Kizad Abu Dhabi free zone logistics; Saudi Arabia — NMDP Jeddah, King Abdullah Port, Ras Al-Khair logistics park",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"$100B",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logistics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10% annually — Vision 2030 trade diversification and NMDP port infrastructure driving the Gulf logistics market expansion.",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"15M",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"TEU Jebel Ali annual throughput",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"World's 9th largest port and the Gulf's foundational logistics infrastructure — the reference point for every Gulf logistics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logistics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"Free zone analysis, NMDP partner identification, and Gulf logistics unit economics with primary research from Gulf logistics buyers."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"india-advanced-manufacturing-entry",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"manufacturing-industrials",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Advanced Manufacturing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manufacturing industrials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advanced manufacturing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manufacturing technology to India's PLI-powered industrial transformation — strategy for advanced manufacturing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manufacturing industrials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manufacturing industrials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manufacturing industrials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manufacturing industrials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manufacturing industrials space?|Yes — all company types across the full manufacturing industrials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PLI scheme consulting, India defence offset advisory, India industrial zone GTM, Make in India manufacturing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Pune and Bengaluru engineering; Sriperumbudur electronics PLI; Dholera Gujarat semiconductor; Mahindra DSS Hyderabad defence",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"INR 2T",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PLI scheme incentives committed",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"Across 14 manufacturing sectors — the most ambitious manufacturing incentive programme in India's history targeting $500B exports.",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"Manufacturing Industrials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"india-edtech-platform-entry",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"education-edtech",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Edtech Platform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education edtech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EdTech platform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EdTech platform to India's 500 million learner market — GTM strategy for EdTech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education edtech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education edtech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education edtech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education edtech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education edtech space?|Yes — all company types across the full education edtech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EdTech consulting, NSDC SIDH advisory, NEP 2020 EdTech GTM, India online education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Delhi NCR, Mumbai, Bengaluru metro EdTech; NSDC SIDH nationwide; Tier 2 and 3 via vernacular platform",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EdTech learner base",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second-largest EdTech addressable market spanning K-12, higher education, and vocational training.",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"Education Edtech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"india-carbon-markets-entry",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"carbon-markets",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Carbon Markets And Climate 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carbon markets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carbon markets and climate 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carbon market expertise to India's emerging carbon trading ecosystem — strategy for carbon market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carbon markets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carbon markets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carbon markets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carbon markets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carbon markets space?|Yes — all company types across the full carbon markets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carbon markets consulting, CCTS BEE advisory, India voluntary carbon GTM, India climate tech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BEE PAT designated consumers in energy-intensive manufacturing; REDD+ northeast India; cookstove UP, Bihar, Odisha",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"200M+",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voluntary carbon credits issued",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 is among the world's top 3 voluntary carbon credit origination countries.",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"Carbon Markets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"india-proptech-entry",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"proptech",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Proptech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proptech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PropTech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PropTech to India's $650B real estate market — strategy for PropTech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proptech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proptech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proptech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proptech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proptech space?|Yes — all company types across the full proptech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PropTech consulting, RERA compliance advisory, India construction technology GTM, India real estate analytics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Delhi NCR, Bengaluru, Hyderabad developer concentration; RERA-registered projects across 28 states",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"$650B",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real estate market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most active real estate market outside China — the PropTech opportunity and data infrastructure that international companies can build 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"Proptech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"gulf-renewable-energy-entry",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"renewable-energy",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Renewable Energy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renewable energy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renewable energy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renewable energy technology to Gulf's clean energy transition — strategy for renewable energy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renewable energy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renewable energy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renewable energy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renewable energy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renewable energy space?|Yes — all company types across the full renewable energy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renewable energy consulting, NEOM clean energy advisory, Saudi Vision 2030 renewable GTM, UAE renewable energy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Red Sea Project renewable energy zones; UAE — Masdar solar and Barakah adjacent clean energy",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"130 GW",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renewable energy capacity target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Arabia targeting 50% renewable energy by 2030 — the most aggressive clean energy transition commitment in the Arab world.",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"Renewable Energy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"africa-renewable-energy-entry",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"renewable-energy",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Renewable Energy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renewable energy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"Africa renewable energy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renewable energy to Africa's energy access opportunity — strategy for renewable energy companies entering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renewable energy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renewable energy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renewable energy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renewable energy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renewable energy space?|Yes — all company types across the full renewable energy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renewable energy consulting, IRENA Africa advisory, AfDB energy access GTM, Africa solar wind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"South Africa — REIPPPP bid window; Kenya — off-grid solar East Africa; Nigeria — embedded power C&amp;I solar",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"600M",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people without electricity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"The world's largest energy access gap — and the renewable energy deployment opportunity that goes with 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"Renewable Energy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"india-agritech-entry",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"agritech",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Agritech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agritech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AgriTech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AgriTech to India's 150 million farmer market — strategy for AgriTech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agritech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agritech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agritech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agritech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agritech space?|Yes — all company types across the full agritech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AgriTech consulting, PM Kisan advisory, India precision farming GTM, India agricultural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Punjab and Haryana wheat and rice belt; Maharashtra and Karnataka horticulture; Tamil Nadu and Andhra Pradesh coastal agriculture",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"150M",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"Indian farmer households",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second-largest agricultural land area — and the most complex AgriTech distribution challenge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"Agritech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"gulf-agritech-entry",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"agritech",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Agritech &amp; Food Security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agritech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AgriTech &amp; food security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AgriTech to Gulf's food security mission — strategy for AgriTech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agritech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agritech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agritech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agritech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agritech space?|Yes — all company types across the full agritech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AgriTech food security consulting, Saudi NWARA advisory, UAE vertical farming GTM, Gulf controlled environment agriculture",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agricultural zones and NWARA; UAE — indoor farming Abu Dhabi and Dubai; Qatar — National Food Security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"85%",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food import dependence",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"The world's highest per-capita food import dependence — driving Vision 2030 food security technology investment.",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"Agritech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"india-electric-vehicle-entry",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"electric-vehicles",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Electric Vehicle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electric vehicles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electric vehicle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EV technology to India's two-wheeler and three-wheeler electrification — strategy for EV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electric vehicles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electric vehicles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electric vehicles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electric vehicles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electric vehicles space?|Yes — all company types across the full electric vehicles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EV market entry consulting, FAME II subsidy advisory, India battery technology GTM, India EV ecosystem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Bengaluru, Pune, Delhi NCR EV manufacturing cluster; FAME II subsidy-eligible markets nationwide",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two-wheeler electrification target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"India's EV transition is two-wheeler and three-wheeler first — the world's largest L-category EV market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"Electric Vehicles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"africa-electric-vehicle-entry",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"electric-vehicles",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Electric Vehicle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electric vehicles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"Africa electric vehicle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EV technology to Africa's two-wheeler electrification opportunity — strategy for EV companies entering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electric vehicles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electric vehicles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electric vehicles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electric vehicles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electric vehicles space?|Yes — all company types across the full electric vehicles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EV market entry consulting, Kenya boda-boda electrification advisory, Nigeria okada EV GTM, Africa electric mobility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"Kenya — Nairobi boda-boda electrification; Nigeria — Lagos okada conversion; Rwanda — e-bike programme Kigali",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two-wheeler electrification opportunity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"Africa's boda-boda and okada motorcycle markets are the world's largest two-wheeler electrification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"Electric Vehicles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"india-ecommerce-tech-entry",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"ecommerce-tech",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Ecommerce Technology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ecommerce 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eCommerce technology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eCommerce technology to India's $150B digital commerce market — strategy for eCommerce 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ecommerce 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ecommerce 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ecommerce 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ecommerce 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ecommerce tech space?|Yes — all company types across the full ecommerce 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eCommerce tech consulting, ONDC integration advisory, India quick commerce GTM, India digital commerce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Delhi NCR, Bengaluru eCommerce platform concentration; ONDC nationwide; quick commerce Tier 1 cities",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"$150B",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eCommerce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25% annually — quick commerce, ONDC, and social commerce all creating new technology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"Ecommerce 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"gulf-ecommerce-tech-entry",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"ecommerce-tech",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Ecommerce Technology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ecommerce 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eCommerce technology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eCommerce technology to Gulf's $50B digital commerce market — strategy for eCommerce 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ecommerce 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ecommerce 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ecommerce 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ecommerce 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ecommerce tech space?|Yes — all company types across the full ecommerce 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eCommerce tech consulting, Noon technology advisory, UAE digital commerce GTM, Gulf eCommerce platform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Dubai Internet City eCommerce hub; Saudi Arabia — Riyadh eCommerce and last mile technology",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eCommerce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20% annually — Noon, Amazon.ae, and Carrefour online driving enterprise technology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"Ecommerce 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"india-insurtech-digital-entry",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"insurtech",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Digital Insurance Technology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insurtech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digital insurance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insurance analytics and claims automation to IRDAI's reformed market — strategy for B2B insurtech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insurtech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insurtech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insurtech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insurtech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insurtech space?|Yes — all company types across the full insurtech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B2B insurtech consulting, IRDAI sandbox advisory, India insurance analytics GTM, India claims automation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insurance hub; Bengaluru and Hyderabad for B2B insurtech; IRDAI-regulated nationwide",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"40%",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insurance agent digital tool adoption growth",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"IRDAI's reform programme is digitising agent tools, claims, and underwriting — the B2B insurtech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"gulf-insurtech-entry",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"insurtech",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Insurtech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insurtech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InsurTech to Gulf's growing digital insurance market — strategy for InsurTech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insurtech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insurtech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insurtech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insurtech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insurtech space?|Yes — all company types across the full insurtech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InsurTech market entry, UAE CBUAE insurance advisory, Saudi SAMA InsurTech GTM, Gulf digital insurance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DHA-mandated health insurance; Saudi Arabia — CCHI-regulated insurance market; DIFC financial centre insurance",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"$25B",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insurance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10% annually — mandatory health insurance expansion and digital distribution driving InsurTech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"Insurtech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"india-media-entertainment-entry",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"media-entertainment",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Media Entertainment Technology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media entertainment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media entertainment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media tech to India's 600 million OTT viewer market — strategy for media technology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media entertainment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media entertainment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media entertainment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media entertainment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media entertainment space?|Yes — all company types across the full media entertainment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media tech consulting, OTT platform advisory, India content technology GTM, India streaming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Bollywood and streaming hub; Delhi NCR news technology; Bengaluru and Hyderabad media 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"600M",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OTT viewers by 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largest OTT viewer market by count — Hindi and regional language content driving extraordinary media technology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"Media Entertainment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"gulf-media-entertainment-entry",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"media-entertainment",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Media Entertainment Technology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media entertainment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media entertainment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media technology to Gulf's premium content and entertainment market — strategy for media 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media entertainment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media entertainment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media entertainment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media entertainment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media entertainment space?|Yes — all company types across the full media entertainment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media tech consulting, Saudi GCAM advisory, UAE streaming technology GTM, Gulf entertainment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Riyadh Season entertainment programme; UAE — Dubai content and media free zone",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"$15B",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media entertainment market by 2028",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"Vision 2030 entertainment investment and premium content demand driving Gulf media technology adoption.",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"Media Entertainment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"india-hospitality-tech-entry",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"hospitality-tourism",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Hospitality Technology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hospitality tourism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hospitality technology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hospitality technology to India's 14,000 hotel market — strategy for hospitality tech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hospitality tourism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hospitality tourism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hospitality tourism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hospitality tourism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hospitality tourism space?|Yes — all company types across the full hospitality tourism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hospitality tech consulting, OTA distribution advisory, India hotel technology GTM, India hospitality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Delhi NCR, Bengaluru, Goa, Rajasthan hospitality concentration; leisure and MICE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"14,000+",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hotel inventory (branded and unbranded)",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"World's fastest-growing hospitality market — OYO, Marriott India, and Taj creating enterprise hospitality technology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"Hospitality Tourism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"gulf-hospitality-tech-entry",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"hospitality-tourism",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Hospitality Technology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hospitality tourism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hospitality technology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hospitality technology to Gulf's premium hotel market — strategy for hospitality 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hospitality tourism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hospitality tourism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hospitality tourism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hospitality tourism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hospitality tourism space?|Yes — all company types across the full hospitality tourism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hospitality tech consulting, Saudi NEOM hotel advisory, UAE luxury hotel technology GTM, Gulf hospitality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Red Sea, Diriyah mega project hotel inventory; UAE — Dubai and Abu Dhabi luxury hospitality",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"500K",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hotel rooms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"Saudi Arabia, UAE, and Qatar all building the largest hotel inventory expansions in their histories for Vision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"Hospitality Tourism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"india-africa-market-gateway",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"geographies",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"India-Africa Market Gateway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geographies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"India-Africa market gateway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India base to Africa market access — strategy for India-based companies expanding into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geographies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"India-Africa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geographies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geographies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geographies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geographies space?|Yes — all company types across the full geographies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Africa market entry consulting, India-Africa trade advisory, Indian company Africa expansion GTM, India Africa business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Delhi NCR India-Africa trade hubs; Africa — Nigeria, Kenya, South Africa, Ethiopia, Tanzania primary corridors",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countries with growing India trade corridors",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"India-Africa trade: $100B+ annually — the fastest-growing South-South trade corridor.",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"Geographies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"gulf-africa-market-gateway",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"geographies",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"Gulf-Africa Market Gateway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geographies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"Gulf-Africa market gateway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Gulf capital to Africa market access — strategy for Gulf companies and investors expanding into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geographies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"Gulf-Africa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geographies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geographies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geographies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geographies space?|Yes — all company types across the full geographies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Africa market entry consulting, UAE-Africa trade advisory, Gulf company Africa expansion GTM, Gulf Africa investment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Dubai as Africa investment hub; Saudi Arabia — SPA Africa investment programme; Africa — East and West Africa corridors",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"$100B",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"Gulf-Africa trade and investment annually",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"UAE is Africa's largest single-country investor — Dubai as the world's most active Africa investment and trade hub.",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"Geographies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"india-ai-platform-enterprise",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"ai-ml-platforms",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Enterprise Ai Platform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ai ml platforms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enterprise AI platform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AI platform to India's enterprise AI adoption — strategy for AI platform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ai ml platforms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ai ml platforms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ai ml platforms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ai ml platforms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ai ml platforms space?|Yes — all company types across the full ai ml platforms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enterprise AI platform consulting, IndiaAI Mission advisory, India AI GTM strategy, India machine learning platform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Bengaluru, Hyderabad, Delhi NCR AI research and enterprise adoption concentration",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enterprise AI adoption growth annually",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"IndiaAI Mission and enterprise digital transformation creating the fastest-growing enterprise AI market in the emerging world.",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"Ai Ml Platforms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"gulf-ai-platform-enterprise",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"ai-ml-platforms",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Enterprise Ai Platform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ai ml platforms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enterprise AI platform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AI platform to Gulf's government and enterprise AI adoption — strategy for AI platform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ai ml platforms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ai ml platforms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ai ml platforms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ai ml platforms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ai ml platforms space?|Yes — all company types across the full ai ml platforms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enterprise AI consulting, HUMAIN advisory, NEOM AI platform GTM, Gulf AI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SDAIA, HUMAIN, NEOM AI infrastructure; UAE — Abu Dhabi AI Hub, G42 ecosystem",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"$100B+",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"Saudi Arabia AI infrastructure commitment",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"HUMAIN MoU, NEOM AI city, and SDAIA national AI programme creating the world's most active government AI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"Ai Ml Platforms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"india-diagnostics-pathology-entry",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"diagnostics",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Diagnostics And Pathology Technology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diagnostics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diagnostics and pathology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diagnostics technology to India's rapidly growing pathology market — strategy for diagnostics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diagnostics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diagnostics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diagnostics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diagnostics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diagnostics space?|Yes — all company types across the full diagnostics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diagnostics consulting, CDSCO IVD advisory, India pathology AI GTM, India diagnostic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Dr Lal PathLabs, Metropolis, SRL, Thyrocare chain diagnostics; hospital-based diagnostics nationwide",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"5,000+",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diagnostic labs (large chain and standalone)",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 diagnostics market growing at 15% annually — AI pathology, molecular diagnostics, and point-of-care driving technology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"Diagnostics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"india-drones-technology-entry",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"drones",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Drone Technology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drones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drone technology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drone technology to India's liberalised drone ecosystem — strategy for drone technology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drones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drones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drones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drones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drones space?|Yes — all company types across the full drones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drone market entry consulting, DGCA drone advisory, India PLI drone GTM, India UAV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Bengaluru and Hyderabad drone manufacturing; agriculture drone market UP, Maharashtra; smart city applications nationwide",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"INR 900 crore",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drone PLI scheme commitment",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"India's drone PLI and liberalised airspace policy creating the world's fastest-growing civilian drone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"Drones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"india-satellite-connectivity-entry",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"satellite-connectivity",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Satellite Connectivity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satellite connectivity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satellite connectivity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satellite technology to India's emerging satellite broadband market — strategy for satellite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satellite connectivity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satellite connectivity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satellite connectivity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satellite connectivity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satellite connectivity space?|Yes — all company types across the full satellite connectivity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satellite connectivity consulting, DOT Starlink advisory, India SATCOM GTM, India satellite broadband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remote and rural broadband; maritime and aviation connectivity; enterprise VSAT corporate networks",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"850M",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internet users projected by 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"Starlink approval pending, OneWeb operational — India's satellite broadband market is at the policy inflection.",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"Satellite Connectivity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"india-green-hydrogen-entry",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"green-hydrogen",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Green Hydrogen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green hydrogen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green hydrogen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green hydrogen technology to India's National Green Hydrogen Mission — strategy for green hydrogen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green hydrogen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green hydrogen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green hydrogen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green hydrogen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green hydrogen space?|Yes — all company types across the full green hydrogen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green hydrogen consulting, NGHM advisory, India electrolyser GTM, India hydrogen economy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Gujarat green hydrogen zones; Andhra Pradesh coastal hydrogen export; HPCL, IOCL, BPCL off-take agreements",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 MMTPA",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green hydrogen production target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"India's National Green Hydrogen Mission with $100B investment — the world's most ambitious national green hydrogen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"Green Hydrogen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"india-health-supplements-entry",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"health-supplements",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Health Supplements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health supplements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health supplements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health supplement brand to India's functional nutrition boom — strategy for health supplement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health supplements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health supplements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health supplements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health supplements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health supplements space?|Yes — all company types across the full health supplements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health supplements consulting, FSSAI nutraceutical advisory, India functional nutrition GTM, India supplements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metro modern trade and premium e-commerce first; Nykaa, Amazon, Flipkart health category; then general trade",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"$8B",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health supplements market by 2027",</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"Growing at 20% annually — post-COVID health awareness, e-commerce distribution, and Ayurveda-modern science convergence driving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"Health Supplements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"india-energy-storage-entry",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"energy-storage",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Energy Storage Market Entry Strategy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energy storage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energy storage market entry strategy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energy storage technology to India's grid-scale and C&amp;I storage opportunity — strategy for energy storage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energy storage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energy storage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energy storage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energy storage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energy storage space?|Yes — all company types across the full energy storage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energy storage consulting, SECI BESS advisory, India battery storage GTM, India grid storage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Rajasthan and Gujarat solar-plus-storage; SECI nationwide BESS tender pipeline; C&amp;I embedded power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"47 GWh",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energy storage target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"SECI BESS tenders and MNRE storage mandates creating India's first large-scale energy storage procurement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"Energy Storage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"india-reit-real-estate-funds",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"reit-consulting",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Reit And Real Estate Fund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reit consulting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REIT and real estate fund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real estate fund to India's institutionalising REIT market — strategy for real estate fund managers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reit consulting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reit consulting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reit consulting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reit consulting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reit consulting space?|Yes — all company types across the full reit consulting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REIT consulting, SEBI REIT advisory, India real estate fund GTM, India institutional property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and Delhi NCR commercial REIT; Bengaluru and Hyderabad tech office REIT; retail and industrial REIT nationwide",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"INR 1.5L crore",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REIT market capitalisation",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"Embassy, Nexus, and Brookfield REITs creating India's institutional real estate investment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"Reit Consulting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"india-islamic-finance-entry",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"islamic-finance",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Islamic Finance And Halal Economy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islamic finance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Islamic finance and halal economy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Islamic finance expertise to India's emerging halal economy — strategy for Islamic finance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islamic finance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islamic finance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islamic finance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islamic finance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islamic finance space?|Yes — all company types across the full islamic finance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Islamic finance consulting, halal economy advisory, India halal GTM strategy, India Islamic economy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Kerala, UP, Maharashtra, West Bengal Islamic finance and halal consumer concentration",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"200M",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Muslim population — largest halal consumer market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 has the world's second-largest Muslim population and the fastest-growing halal consumer market in Asia.",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"Islamic Finance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"india-bfsi-digital-transformation",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"bfsi",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"India Bfsi Digital Transformation Technology Market Entry | Greyradius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companies with bfsi market entry — strategy, regulatory mapping, partner identification, and GTM execution.",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"India BFSI digital transformation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fintech or regtech to India's BFSI digital transformation — strategy for BFSI technology companies entering India.",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"GreyRadius has run bfsi market entry mandates with primary research, regulatory depth, and commercial clarity. This page covers the specific strategy for companies entering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"The current 2024-2027 period is a critical window for market entry — regulatory frameworks are maturing, infrastructure is being built, and first-mover advantages are available that late entrants cannot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"India market is projected to grow significantly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frameworks are maturing creating clearer market entry pathways.",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programmes are creating co-investment and partnership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companies establishing market positions in 2024-2027 will benefit from structural advantages.",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"Primary research confirms buyer willingness and commercial viability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requirements are specific and time-consuming to navigate without specialist knowledge.",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partnerships are required for market access and distribution.",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and unit economics differ significantly from Western benchmarks.",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local players with regulatory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validation and regulatory mapping|You need to validate demand and understand the specific regulatory requirements for your business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"Partner identification|You need to identify the right local partners — commercial, distribution, or regulatory — for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"GTM strategy and execution plan|You need a go-to-market plan with realistic timelines and commercial milestones.",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"Financial feasibility|You need a market-specific financial model that captures local unit economics correctly.",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"Capital raising support|You need an investor-ready pitch book grounded in validated market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"Localisation roadmap|You need a product and commercial localisation plan for this specific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"Technology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validate market opportunity and navigate regulatory requirements before committing market entry capital.",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"Primary research with 30+ buyers and regulators. Regulatory pathway mapping. Partner identification and commercial structure design.",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"Market entry decision made with validated data. First local partner signed within 8 months. Commercial revenue in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"Product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had product-market fit in home market but needed India/Gulf/Africa-specific validation, pricing, and distribution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"Buyer willingness research at local price points. Distribution channel identification. Regulatory compliance gap assessment.",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"India/Gulf/Africa pricing validated. First distribution partner signed. Product localisation roadmap delivered."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"Services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"Client needed to establish local entity, regulatory licence, and first client relationships in target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"Regulatory licence pathway mapping. Entity structure recommendation. Prospect identification and C-suite introduction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"Entity established. Licence filed or partnership route confirmed. First 3 client relationships initiated within engagement period."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"Primary regulatory licence",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"Relevant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"Medium-High — varies by business model and specific licence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"Entity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"Companies registry / MCA equivalent",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 — standard company registration process"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"Product or service compliance certification",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"Standards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product-specific testing and documentation"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"Tax and GST/VAT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"Tax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"2-4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immediate compliance requirement from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"Local incumbents",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"Regulatory relationships, local brand, and distribution built over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identifies specific segments or capabilities where international companies have advantages that local incumbents cannot replicate."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majors already present",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"Brand, capital, and existing client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clients on segments that global majors underserve — middle market, specific verticals, or technology niches."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"Other international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"International product quality and global client 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market entry strategies that create first-mover position before international competitors have established local presence."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regulatory deadline or policy change creates a specific compliance or commercial opportunity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local partner has approached you about commercial collaboration",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board has approved this market and requested a 90-day entry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competitor has announced market entry and you need a response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existing global client has requested capability in this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"Market validation and regulatory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"Regulatory pathway, demand validation, competitive landscape",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"The regulatory decision determines market entry timeline and capital requirement"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"Partner and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"Partner shortlist, buyer target list, commercial structure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local relationships — the right partners determine commercial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"Financial model and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4-6",</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"Market-specific financial model, 12-month GTM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"Local unit economics differ from home market — this phase prevents the most common market entry financial error"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"Execution plan and capital raising",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6-8",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"Board presentation, investor pitch book, first milestone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"Market entry requires board commitment and often capital — the commercial case and regulatory clarity must be built together"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strategic market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market entry capital and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or Emerging Markets — execution accountability",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licence and compliance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Business Development — partner and customer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Product Officer — localisation and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market without validating local unit economics — international pricing assumptions consistently do not translate",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"Skipping local partner identification — markets with strong incumbent ecosystems require partnership for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regulatory timeline — most market entry timelines extend 50-100% beyond initial estimates",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GTM on headquarters assumptions — local buyer behaviour, decision cycles, and channel preferences all differ from home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 size: significant and growing — primary research confirms commercial opportunity for international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 framework: maturing and creating clearer pathways for compliant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"Local partner ecosystem: active and seeking international technology and product partnerships.",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investment: active incentive programmes creating co-investment and procurement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"First-mover advantage: companies entering in 2024-2027 will benefit from structural market positions unavailable to late entrants."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"The regulatory framework is being finalised — companies that engage with regulators during framework development shape the compliance environment",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"Infrastructure and partner ecosystems are being built — first-mover positions that create long-term advantages are available now",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"Government procurement and incentive windows are open — investment and incentive programmes have application windows that close"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bfsi market demand with primary buyer and regulatory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local unit economics and market-specific cost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bfsi market entry from regulatory pathway to first commercial milestone.",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bfsi GTM team covering partner and customer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validated market data and commercial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"AI use-case identification for this specific market and sector combination."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specific company types in the bfsi space?|Yes — all company types across the full bfsi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market entry engagement take?|Typically 8-12 weeks for demand validation, regulatory mapping,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specific local partners?|Yes — partner identification is core to every market entry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makes GreyRadius different from a general strategy consultancy for this market?|Primary research in every engagement with 30+ local buyer, regulatory, and partner interviews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"India BFSI technology consulting, RBI regtech advisory, India banking technology GTM, India financial services technology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"India — Mumbai BFSI technology hub; Pune and Bengaluru BFSI technology development; IFSC GIFT City financial centre",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"India BFSI technology spending by 2027",</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"India's banks, insurers, and capital markets firms are the world's most active emerging market BFSI technology buyers.",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"Primary interviews per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"Every GreyRadius mandate includes 30+ primary research interviews with buyers, regulators, and partners — no secondary research only.",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"Bfsi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"Regulatory pathway, partner identification, and validated commercial case delivered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"gulf-carbon-markets-entry",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"carbon-markets",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Carbon Markets &amp; Climate Finance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carbon market and climate finance companies enter Gulf markets with CBUAE green finance advisory, Saudi Net Zero programme access, and climate tech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carbon markets and climate finance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carbon market expertise to Gulf's emerging climate finance ecosystem — strategy for climate finance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"The Gulf's climate finance market is emerging as one of the world's most significant — with Saudi Arabia's commitment to net-zero by 2060, UAE's COP28 climate investment leadership, and Gulf sovereign wealth funds deploying $50B+ in green finance annually. International carbon market companies, climate tech investors, and ESG advisory firms are all evaluating Gulf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"Saudi Arabia's Net Zero 2060 commitment and UAE's Net Zero 2050 strategy are both in the implementation planning phase — the climate finance companies establishing Gulf government sustainability relationships in 2024-2026 will be positioned for the procurement cycles that follow as implementation budgets are released.",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sovereign climate investment: $50B+ annually — PIF, Mubadala, and ADIA all active green finance deployers.",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Arabia Net Zero 2060: requiring $1T+ in clean energy investment over 40 years — the largest national climate investment commitment in the Arab world.",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COP28 legacy: $30B+ in climate finance commitments catalysed at COP28 — creating Gulf climate finance momentum that carries through 2024-2030.",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voluntary carbon market: growing demand from airlines, oil companies, and government entities with net-zero commitments.",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"GCC sustainability reporting: MSCI ESG ratings and ADNOC, ARAMCO voluntary climate disclosure — creating corporate ESG advisory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carbon credit verification standards are nascent — Gulf voluntary carbon projects are limited and quality verification infrastructure is under development.",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climate finance regulation is developing — CBUAE and SAMA both issued green finance frameworks but implementation guidance is still evolving.",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corporate ESG disclosure is voluntary — without mandatory IFRS S1/S2 adoption, Gulf corporate ESG advisory demand depends on investor pressure.",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global climate finance advisors (McKinsey sustainability, BCG Green, PwC ESG) with existing Gulf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climate finance regulatory mapping|You need to understand CBUAE green finance framework, SAMA sustainable finance principles, and ADGM climate finance regulation.",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carbon credit buyer and project identification|You need Gulf airline, oil company, and sovereign entity voluntary carbon credit buyers and Gulf nature-based project origination opportunities.",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ESG advisory GTM strategy|You need a go-to-market plan targeting Gulf sovereign wealth funds, family offices, and listed companies with ESG reporting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climate tech investment access|You need PIF, Mubadala, and ADIA climate tech investment team contacts for green finance co-investment.",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Gulf climate finance investment|You need a pitch book grounded in Gulf sovereign climate commitment analysis and climate finance market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sustainability reporting advisory|You need a Gulf corporate ESG disclosure service covering MSCI ESG rating improvement and IFRS S1/S2 readiness."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"Carbon Credit Broker",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 carbon credit broker wanted to access Gulf airline and oil company voluntary carbon credit demand but found that Gulf buyers required specific co-benefit certification and geographic origin preferences.",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"Identified 5 Gulf airline and oil company sustainability procurement heads. Mapped Gulf buyer preference for Africa nature-based versus renewable energy VERs. Built credit quality specifications aligned with Gulf buyer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"First Gulf corporate carbon credit buyer signed: Gulf airline 200,000 tCO2e annual off-take commitment. Premium of $2/tCO2e above standard VER achieved for Africa co-benefit credits."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"ESG Advisory",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European ESG advisory firm wanted to serve Gulf family offices and sovereign wealth funds with ESG integration services but found that Gulf institutional investors prioritised Shariah compliance alongside ESG.",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Shariah-ESG intersection requirements for Gulf institutional investors. Built Gulf-specific ESG integration methodology combining AAOIFI standards with MSCI ESG framework. Identified 5 Gulf family offices with international portfolio ESG reporting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"First Gulf family office ESG advisory mandate signed: $500K engagement for international portfolio ESG integration. MSCI ESG rating improvement from B to BBB achieved for client's flagship Gulf fund."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"Climate Tech Investor",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climate tech VC wanted to access Gulf sovereign climate fund co-investment but found that PIF, Mubadala, and ADIA climate tech investment teams required established Gulf relationships and specific ESG reporting structures.",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PIF Sustainability Fund, Mubadala Infrastructure and Energy investment team contacts. Built Gulf climate tech co-investment proposal with Shariah-compliant fund structure. Identified 3 Gulf climate tech portfolio companies seeking international co-investors.",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"Mubadala co-investment in climate tech fund: $50M commitment. PIF introductions for second co-investment in green hydrogen portfolio company."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"CBUAE Green Finance Framework",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"Central Bank of UAE",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"Compliance: ongoing",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green loan and green bond issuance standards; disclosure requirements for UAE financial institutions"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"ADGM Climate Finance Regulation",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"ADGM Financial Services Regulatory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"Registration: 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ADGM has dedicated sustainable finance regulatory team; progressive framework"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"Saudi SAMA Sustainable Finance",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"Saudi Central Bank",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"Ongoing — principles-based",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SAMA sustainable finance framework is principles-based with bank-specific implementation"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"UAE Federal ESG Disclosure",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"Securities and Commodities Authority",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"Voluntary currently; mandatory expected 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IFRS S1/S2 adoption expected to be mandated for UAE listed companies; ESG advisory demand growing"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ESG and climate advisors (McKinsey, BCG, PwC, Deloitte sustainability)",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brand, Gulf relationships, and large ESG and climate advisory teams",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focuses on mid-market Gulf institutions and family offices that global advisors underserve due to minimum engagement sizes."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ESG rating agencies (MSCI Gulf, Sustainalytics)",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"Data access, rating methodology, and established Gulf institutional investor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build Gulf ESG improvement strategies rather than assessment ratings — actionable ESG integration that improves MSCI ratings, not just measures them."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"International climate tech investors in Gulf (Breakthrough Energy, Energize Ventures)",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"Global climate tech network and co-investment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provide Gulf-specific climate tech deal origination and PIF/Mubadala co-investment access that international climate tech investors cannot achieve through their own networks."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"COP28 follow-through creates specific Gulf climate finance procurement window",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Gulf airline, oil company, or sovereign entity has inquired about voluntary carbon credit purchase",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global ESG advisory practice has Gulf clients requesting Gulf-specific ESG advisory",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"PIF or Mubadala has announced a climate tech fund that aligns with your investment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mandatory ESG disclosure regulation has been announced creating corporate ESG advisory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climate finance regulatory and market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"CBUAE green finance framework, SAMA sustainability principles, Gulf corporate ESG disclosure status",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climate finance regulation is evolving — knowing what is mandatory versus voluntary determines the commercial opportunity timing"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climate buyer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voluntary carbon credit buyer contacts, PIF/Mubadala climate investment team map, Gulf ESG advisory client targets",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climate finance is relationship-driven — the quality of Gulf sovereign and corporate relationships determines commercial outcomes"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climate finance GTM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"Gulf-specific climate service positioning, Shariah-ESG integration framework, Gulf pricing model",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climate finance requires Shariah-ESG integration and Gulf-specific positioning that Western climate advisors consistently get wrong"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climate finance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"Gulf client acquisition plan, carbon credit buyer pipeline, PIF co-investment proposal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climate finance GTM requires simultaneous sovereign, corporate, and regulatory relationship tracks — the sequencing determines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climate finance strategic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Carbon Markets — Gulf carbon credit buyer and project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ESG Advisory — Gulf corporate sustainability service GTM",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Sustainable Finance — Gulf institutional investor ESG integration",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Climate Tech Investment — Gulf sovereign co-investment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International Business Development — Gulf climate finance partner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"Applying Western ESG frameworks to Gulf institutional investors without Shariah-ESG integration — Gulf institutional investors require AAOIFI-compatible ESG standards that global ESG frameworks do not address",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"Assuming Gulf voluntary carbon credit demand exists without buyer research — Gulf corporate net-zero commitments vary dramatically in seriousness and few have active credit purchasing programmes",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Gulf climate finance advisory without Gulf-specific carbon credit price benchmarks — Gulf buyers have specific co-benefit preferences and geographic origin requirements that affect pricing differently from European or US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"Entering Gulf climate finance without PIF or Mubadala relationship pathway — cold approaches to Gulf sovereign climate funds have near-zero conversion rate; relationship intermediaries are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sovereign climate investment: $50B+ annually from PIF, Mubadala, ADIA, and QIA",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Arabia Net Zero 2060: $1T+ in clean energy investment required over 40 years",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"UAE COP28 legacy: $30B+ in climate finance commitments catalysed at COP28",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airlines and oil companies: among the most active voluntary carbon credit buyers globally with net-zero commitment",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ESG disclosure: IFRS S1/S2 expected mandatory for UAE listed companies by 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"COP28 climate finance commitments are in active implementation phase — Gulf government climate procurement is translating to commercial contracts in 2024-2025",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mandatory ESG disclosure is coming — UAE listed companies face mandatory IFRS S1/S2 by 2025, creating urgent corporate ESG advisory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"PIF Sustainability Fund is in active deployment — the 2024-2026 period is peak deployment for PIF's climate investment programme, with co-investment windows available for qualified climate tech and green finance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climate finance demand with Gulf corporate ESG buyer and sovereign climate investor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carbon credit pricing, ESG advisory positioning, and sovereign co-investment 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climate finance market entry from regulatory mapping to first Gulf client mandate.",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climate finance GTM team covering sovereign investors, corporate buyers, and ESG advisory clients.",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Gulf sovereign climate commitment and COP28 legacy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"Shariah-ESG integration framework — combining AAOIFI standards with MSCI ESG methodology for Gulf institutional investors."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voluntary carbon credit brokers or also with ESG advisory, climate tech investors, and green finance companies entering the Gulf?|All carbon market and climate finance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climate finance engagement take?|Typically 8-10 weeks for buyer research, regulatory mapping, and GTM structuring.",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PIF and Mubadala climate tech co-investment contacts?|Yes — Gulf sovereign climate investment relationships are part of our Gulf climate finance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should Gulf climate advisory differ from European ESG advisory?|Gulf climate advisory must integrate Shariah compliance, Arabic language reporting, and Gulf sovereign investor ESG priorities — we build Gulf-specific ESG frameworks in every engagement."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carbon markets climate finance market entry, CBUAE green finance consulting, Saudi Net Zero advisory, UAE ESG GTM strategy, Gulf climate tech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"UAE — ADGM Abu Dhabi climate finance hub; Saudi Arabia — PIF Sustainability Fund and Vision 2030 green economy; Qatar — QIA green investment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sovereign climate investment annually",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"PIF, Mubadala, ADIA, and QIA all active green finance deployers — the most capital-rich climate investor class in the emerging world.",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"$30B+",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"COP28 climate finance commitments catalysed",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"UAE's COP28 presidency catalysed the largest single-event climate finance commitment in history — creating Gulf climate investment momentum through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climate finance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"Gulf climate buyer research, sovereign investor relationship mapping, and Shariah-ESG integration framework with primary research depth."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"africa-carbon-markets-entry",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"carbon-markets",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"Africa Carbon Markets &amp; Climate Finance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carbon market companies enter Africa with voluntary project origination strategy, article 6 bilateral agreement advisory, AfDB climate finance access, and GTM planning.",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"Africa carbon markets and climate finance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carbon market expertise to Africa's extraordinary carbon credit origination opportunity — strategy for carbon market companies entering Africa.",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"Africa holds the world's most significant voluntary carbon credit origination potential — with vast forest cover eligible for REDD+ credits, enormous cookstove and clean cooking opportunity across 600M people without clean energy access, renewable energy project origination across 55 countries, and Article 6 bilateral agreements creating new government-sanctioned carbon market channels. International carbon market companies, climate tech investors, and climate finance advisory firms are all evaluating Africa as a priority carbon market.",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"Article 6 bilateral agreements between African countries and purchasing governments (Switzerland, Japan, Korea) are creating government-sanctioned carbon market channels that were not available before 2023. The carbon market companies establishing bilateral agreement access and in-country origination capacity in 2024-2026 will access the highest-quality Africa carbon supply before Article 6 demand from corporate buyers scales.",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voluntary carbon credits: 50M+ issued annually — REDD+, clean cooking, and renewable energy the three largest Africa VCM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"Article 6 bilateral agreements: Kenya, Ghana, Rwanda, and Morocco all have active bilateral agreements with OECD government buyers.",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REDD+ potential: 600M+ hectares of forest eligible — the world's largest unexploited REDD+ origination potential.",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clean cooking credits: 400M households without clean cooking — the largest single Sustainable Development Goal carbon credit opportunity globally.",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"AfDB green climate fund: $30B+ in Africa climate finance by 2030 — creating co-investment demand for international climate finance companies."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"REDD+ forest carbon project development in Africa is complex — national forest inventory, community consent, additionality, and permanence verification all require in-country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"Article 6 bilateral agreements are country-specific and politically sensitive — accessing government bilateral agreement carbon channels requires host country government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voluntary carbon credit quality scrutiny is high — international buyers are applying heightened due diligence following quality concerns in other markets.",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"AfDB and DFI climate finance access requires specific project structure — concessional climate finance for Africa projects requires DFI-compatible project structure and reporting."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carbon project origination strategy|You need to identify the highest-quality Africa carbon project opportunities across REDD+, clean cooking, and renewable energy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"Article 6 bilateral agreement access|You need to understand which African countries have active Article 6 bilateral agreements and how to access host country authorisation.",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"AfDB and DFI climate co-finance access|You need AfDB, IFC, and other DFI contacts for concessional climate finance that makes Africa carbon projects commercially viable.",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carbon project developer partnerships|You need in-country Africa carbon project developers, community engagement specialists, and forest monitoring companies as origination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Africa carbon market investment|You need a pitch book grounded in Africa VCM data, Article 6 bilateral market analysis, and project origination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carbon credit quality assurance strategy|You need a credit quality framework that satisfies enhanced buyer due diligence for Africa-originating carbon credits."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"REDD+ Carbon Project Developer",</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 carbon project developer wanted to originate REDD+ credits in East Africa but found that Tanzania and Uganda had both introduced national carbon market policies requiring government authorisation for carbon export.",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Tanzania and Uganda national carbon market policy requirements. Identified Ministry of Natural Resources authorisation pathway. Built community consent and benefit sharing framework compliant with local law.",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"Government authorisation obtained in Tanzania within 6 months. First REDD+ project in Kigoma region under development. Projected 750,000 tCO2e annual issuance."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"Clean Cooking Carbon Credits",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Dutch clean cooking company wanted to originate Gold Standard clean cooking credits across Nigeria and Ghana but found that cookstove distribution and monitoring required in-country distribution networks they did not have.",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"Identified Nigerian and Ghanaian clean cooking NGO distribution partners. Built Gold Standard monitoring protocol for distributed stove tracking. Identified European utility and airline corporate buyers for Nigeria and Ghana clean cooking credits.",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"Clean cooking credit origination partnership signed with 2 Nigerian NGOs. First 100,000 stoves distributed. Gold Standard validation underway. First buyer term sheet: 500,000 tCO2e annual at $15/tCO2e."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"Article 6 Carbon Market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Swiss carbon finance company wanted to access Ghana's Article 6 bilateral agreement with Switzerland for carbon credit import but found that Ghana EPA required specific project approval for Ghana-Switzerland bilateral carbon channel.",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Ghana EPA Article 6 project approval requirements. Identified qualified Article 6 projects in Ghana renewable energy and clean cooking pipeline. Built Ghana EPA engagement plan for bilateral project approval.",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"First Ghana EPA Article 6 project approval obtained for 50MW solar project. Switzerland bilateral agreement carbon credit channel accessed. 250,000 tCO2e purchased under bilateral agreement at premium to standard VCM."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"National Carbon Market Policy (Tanzania, Uganda, Kenya, Ghana)",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"Environment Ministry per country",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"Host country authorisation: 3-9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each African country has different carbon export policy; government authorisation increasingly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"Article 6 Bilateral Agreement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"Host country + purchasing government",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"Per agreement timeline",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requires host country government relationship and project-specific authorisation"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"VCS/Gold Standard Project Registration",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"Verra / Gold Standard Foundation",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"Validation: 6-18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additionality, baseline, monitoring plan, and third-party validation all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"Community Consent and Benefit Sharing",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"Local community / National law",</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"3-12 months per project",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"High — legal requirement in most African markets; community benefit sharing affects project economics and permanence"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"Established Africa carbon developers (South Pole, EKI Energy, BeZero Carbon)",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"Africa project portfolio, country government relationships, and origination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structures international carbon company entry as co-developer or project buyer to established Africa developers — accessing Africa origination without starting from zero."</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"African governments entering VCM directly (Kenya Carbon Exchange, Zimbabwe carbon policy)",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"Direct sovereignty over national carbon resources and potential mandatory government revenue share",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partnership structures with government carbon market programmes rather than competing against national carbon policies."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"International corporate buyers originating their own Africa credits (Shell, TotalEnergies, BP)",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"Vertical integration from project development to credit retirement",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provide origination advisory to international carbon buyers who want Africa project access without building in-country origination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African government has announced a national carbon market policy that affects your existing project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"Article 6 COP29 rules have clarified bilateral agreement credit transfer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corporate buyer has requested Africa-specific carbon credits with specific co-benefit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"An African DFI or AfDB has announced a climate finance programme in your carbon project geography",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existing Africa project developer partner has approached you about co-development or scale-up financing"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carbon market regulatory and country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"Country-by-country national carbon policy map, Article 6 bilateral agreement access analysis",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carbon market regulation is changing rapidly country by country — knowing which countries have open versus closed carbon export policy determines the project geography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carbon project origination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"In-country project developer partners, community engagement specialists, government relationship contacts",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carbon project origination requires in-country partners — the quality of these relationships determines project quality and authorisation speed"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carbon credit buyer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"Corporate buyer pipeline, Article 6 government buyer contacts, DFI co-finance options",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carbon credit buyer development must happen simultaneously with project origination — unsold credits from high-quality Africa projects represent wasted origination investment"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"Africa carbon finance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"Project origination roadmap, buyer pipeline, DFI co-finance application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"Africa carbon market entry requires government, community, project, and buyer relationships simultaneously — the sequencing determines project viability"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Africa carbon market strategic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Project Development — Africa voluntary carbon project origination",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Regulatory Affairs — national carbon policy and Article 6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Commercial — Africa corporate carbon credit buyer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Climate Finance — DFI co-finance and AfDB programme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Community Relations — Africa community consent and benefit sharing"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"Developing Africa REDD+ projects without understanding host country carbon export policy — projects developed before government authorisation requirements are clear face retroactive policy risk",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"Assuming Africa cookstove carbon credits do not require in-country distribution infrastructure — Gold Standard monitoring requires stove tracking that remote monitoring alone cannot satisfy",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community consent timelines — gram sabha equivalent processes in African countries can take 6-18 months and rushing community consent creates project permanence risk",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"Building Africa carbon market business on standard VCM pricing assumptions — Africa co-benefit credits command 30-50% premium over standard VERs; not recognising this premium in project economics undervalues the business case"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voluntary carbon credits: 50M+ issued annually — REDD+, clean cooking, and renewable energy the three largest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Article 6 bilateral agreements: Kenya, Ghana, Rwanda, and Morocco all active",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REDD+ potential: 600M+ hectares of eligible forest — world's largest unexploited origination potential",</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clean cooking credits: 400M households without clean cooking — largest single SDG carbon credit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"AfDB green climate finance: $30B+ targeted for Africa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"African governments are implementing national carbon market policies now — projects developed before government authorisation requirements are finalised may need to be restructured; projects developed with government engagement from the start will be compliant",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"Article 6 demand from OECD governments is accelerating — Switzerland, Japan, and Korea bilateral agreement demand is growing and Africa supply that meets Article 6 quality requirements is limited",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"Corporate buyer due diligence for Africa carbon credits is tightening — companies that establish Africa origination quality programmes now will be preferred suppliers to corporate buyers who cannot accept credit quality risk"</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Africa carbon market opportunity with country regulatory mapping and project partner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Africa carbon project economics, DFI co-finance structure, and corporate buyer pricing.",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Africa carbon market entry from country selection to first credit issuance or buyer term sheet.",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Africa carbon market GTM team covering government, community, and corporate buyer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Africa Article 6 opportunity and voluntary credit quality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"Africa carbon credit quality framework — from additionality methodology to enhanced buyer due diligence compliance."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REDD+ developers or also with clean cooking, renewable energy, and Article 6 carbon market companies in Africa?|All Africa carbon market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an Africa carbon market engagement take?|Typically 10-14 weeks for country regulatory mapping, project partner identification, and buyer pipeline development.",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African government Article 6 bilateral agreement access contacts?|Yes — host country government carbon market engagement is part of our Africa carbon market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is the most important carbon project quality factor for Africa credits in 2024-2025?|Additionality demonstrability and community benefit verification — buyers are applying heightened scrutiny specifically on these two factors following 2023 market quality concerns."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"Africa carbon markets market entry, Africa REDD+ consulting, Article 6 bilateral agreement advisory, Africa clean cooking credits GTM, Africa voluntary carbon market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"East Africa — Kenya, Tanzania, Uganda REDD+ and clean cooking; West Africa — Ghana and Nigeria cookstove and renewable energy; Southern Africa — South Africa and Zambia carbon project origination",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"50M+",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"Africa voluntary carbon credits issued annually",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"REDD+, clean cooking, and renewable energy — Africa is among the world's top 3 voluntary carbon credit origination geographies.",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"600M+",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"Hectares of Africa forest eligible for REDD+",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"World's largest unexploited REDD+ origination potential — the opportunity that Africa carbon market companies are competing to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"10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"Africa carbon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"Country regulatory mapping, project partner identification, and corporate buyer pipeline with primary research from government and buyer conversations."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"slug": "gulf-proptech-real-estate",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"parent": "proptech",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"title": "Gulf PropTech &amp; Real Estate Technology Market Entry | GreyRadius",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"meta": "GreyRadius helps international PropTech companies enter Gulf markets with RERA Dubai compliance mapping, NHC Saudi partnership access, smart building demand research, and enterprise developer GTM.",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"h1": "Gulf PropTech and real estate technology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"tagline": "From international PropTech to Gulf's $200B real estate market — strategy for PropTech companies entering the GCC.",</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"hero": "The Gulf's real estate technology market is growing at extraordinary speed — with Dubai delivering 70,000+ residential units annually, Saudi Arabia's NHC (National Housing Company) running the world's most active government residential development programme, NEOM requiring advanced construction and smart city technology at unprecedented scale, and Gulf commercial real estate REITs investing in institutional property management technology. International PropTech companies across construction technology, property management, smart building, real estate analytics, and transaction platforms are all evaluating Gulf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"market_timing": "Saudi Arabia's Vision 2030 mega-project construction wave is in its most active phase — NEOM, Red Sea Project, Diriyah, and Qiddiya are all in simultaneous construction requiring advanced construction technology at a scale that Gulf construction companies cannot service alone. The construction technology companies establishing Saudi mega-project relationships in 2024-2026 will participate in the most significant single-country construction programme in history.",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"insights":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real estate market: $200B by 2030 — Dubai residential, Saudi NHC affordable housing, and NEOM mega-project construction creating extraordinary PropTech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NHC: 1.5M unit housing delivery programme — world's most active government residential development programme and PropTech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"NEOM construction: $500B committed — requiring advanced BIM, construction management, smart city, and digital twin technology at unprecedented scale.",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"Dubai RERA registered developers: 200+ — creating structured real estate data and compliance infrastructure for PropTech.",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Grade A commercial real estate: 50M+ sq ft — Emaar, Majid Al Futtaim, and Aldar all investing in institutional property management technology."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"challenges_market":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"RERA Dubai compliance is mandatory for all real estate developers — PropTech serving Dubai developers must integrate with RERA developer portal and project registration system.",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construction mega-project procurement is centralised and relationship-dependent — NEOM, Red Sea Project, and NHC all have centralised technology procurement that requires senior programme office relationships.",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construction technology requires Arabic interface — Saudi Aramco, NEOM, and NHC construction management teams require Arabic language construction software.",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"Competition from established global construction technology companies (Autodesk, Oracle Construction, Procore) with existing Gulf mega-project relationships is intense."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"challenges_we_solve":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PropTech enterprise buyer mapping|You need to identify which Gulf developer groups, NEOM programme offices, and REIT managers have your PropTech problem.",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"RERA Dubai and Saudi REGA compliance mapping|You need to understand RERA Dubai developer portal integration, Saudi REGA smart home standards, and NHC technology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PropTech and construction tech distribution|You need Gulf construction consulting firms, SI partners, and development group technology procurement heads as distribution channels.",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PropTech GTM strategy|You need a go-to-market plan covering NEOM and NHC construction technology, Dubai developer RERA compliance tools, and Gulf REIT management technology.",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"Raising capital for Gulf PropTech investment|You need a pitch book grounded in Gulf real estate market data, NEOM construction programme analysis, and enterprise developer technology budget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"Arabic localisation and Gulf construction standard compliance|You need an Arabic language interface, Saudi Aramco SAES standard compliance, and Gulf construction regulation integration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"mandate_examples":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"Construction Management Software",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US construction project management software company wanted to access NEOM construction programme but found that NEOM required ISO 19650 BIM compliance, Arabic interface, and on-premise deployment within NEOM network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NEOM technology requirements including ISO 19650 BIM, Arabic interface, and NEOM network deployment. Identified Saudi SI as implementation partner with NEOM programme office relationship. Built Arabic interface roadmap and ISO 19650 compliance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"Saudi SI partnership signed. NEOM programme office meeting facilitated. First NEOM construction technology pilot: $2.5M contract for 3 NEOM village construction clusters."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"Smart Building Platform",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Singapore smart building IoT platform wanted to enter Gulf commercial real estate with Emaar and Majid Al Futtaim as target accounts but found Gulf building automation used proprietary protocols not in their integration library.",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Gulf Grade A commercial real estate BMS protocol landscape. Built integration roadmap for Honeywell, Johnson Controls, and Siemens Gulf BMS systems. Identified Emaar Properties CDO as primary buyer contact.",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"Emaar Properties smart building pilot signed: 10 Dubai commercial buildings. Gulf BMS integration completed in 4 months. Gulf smart building ARR: $1.8M Year 1."</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"sector": "Real Estate Analytics",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"problem": "A UK real estate analytics platform wanted to provide Gulf institutional investors with Dubai and Riyadh sub-market price data but found that Gulf property transaction data was not publicly available at the granularity they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"what_we_did": "Mapped Dubai Land Department DLD data access options. Identified alternative Gulf property data sources through Reidin, Asteco, and Bayut. Built Gulf-specific price index methodology using DLD transaction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"outcome": "Dubai sub-market price index launched using DLD transaction data. First 3 Gulf institutional investor analytics subscriptions: Emaar REIT, Aldar REIT, and Gulf PE fund."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"regulatory_table":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"RERA Dubai Developer Portal Integration",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"Real Estate Regulatory Agency (RERA Dubai)",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"Integration: 2-3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RERA API access requires developer registration; escrow and project status reporting integration required"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"Saudi REGA Smart Home Standards",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"Real Estate General Authority (Saudi Arabia)",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"Compliance review: 2-3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REGA smart home technology standards for Saudi residential development; NHC projects have specific requirements"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"ADNEC and Khalifa Industrial Zone Permits (Abu Dhabi)",</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"Department of Municipalities and Transport",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"3-6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"Medium — Abu Dhabi construction technology permits for smart building and construction automation"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"item": "Dubai DLD Property Data Access",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"body": "Dubai Land Department",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"timeline": "1-2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"complexity": "Low-Medium — DLD data access requires formal application; commercial data partnerships available"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"competitive_intel":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"Global construction technology companies (Autodesk, Procore, Oracle Construction)",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"NEOM and major Gulf developer relationships, ISO 19650 BIM compliance, and large Gulf sales teams",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"GreyRadius positions clients on specific technology capabilities — digital twin, AI-powered quality inspection, or predictive construction analytics — that global platforms have not built for Gulf mega-project specifics."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property platforms (Bayut, Property Finder, Dubizzle)",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"UAE and Saudi consumer property search dominance, developer marketing relationships, and property transaction data",</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focus international PropTech on B2B segments — construction technology, property management, and institutional analytics — where consumer property platforms have not built enterprise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"type": "Gulf developer in-house PropTech (Emaar Technology, NEOM Digital Twin team)",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"strength": "Access to proprietary developer data and internal construction programme integration",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"how_gr_differs": "We identify partnership structures where international PropTech companies provide technology that Gulf developer in-house teams cannot build — AI quality inspection, IoT energy optimisation, or cross-portfolio analytics."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"decision_triggers":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"NEOM or NHC has issued an RFP in your PropTech category",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 major Gulf developer has approached you about a pilot or technology partnership",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REGA has published a new smart home or digital construction standard that creates compliance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"Your global construction client has NEOM or NHC contract and has requested your PropTech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"Dubai Land Department has published a PropTech partnership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"engagement_phases":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PropTech enterprise buyer and compliance mapping",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1-2",</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"NEOM and NHC procurement contact map, RERA Dubai integration requirements, Gulf commercial real estate technology budget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PropTech buyer is either government mega-project (NEOM, NHC) or private developer (Emaar, Aldar) — the buyer determines the entire GTM approach"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PropTech distribution and partner identification",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2-4",</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"Saudi SI partner candidates, Gulf construction consulting firm contacts, RERA-compliant developer software partners",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construction technology sales require SI partnership for mega-project access and implementation capability"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PropTech localisation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3-5",</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"Arabic interface requirements, ISO 19650 BIM compliance plan, Gulf BMS protocol integration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mega-project procurement requires Arabic language and ISO 19650 compliance before the first RFP can be completed"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"phase": "Gulf PropTech GTM execution plan",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"week": "Weeks 5-8",</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"deliverable": "Named mega-project target list, Dubai developer pilot structure, Gulf REIT management technology GTM",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"why_it_matters": "Gulf PropTech GTM requires simultaneous mega-project, private developer, and REIT management tracks — sequencing determines first revenue"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"target_titles":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Executive Officer — Gulf PropTech strategic entry decision",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Technology Officer — Gulf PropTech localisation and BIM compliance roadmap",</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International Business Development — NEOM and NHC programme office pipeline",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"Head of Construction Technology — Gulf mega-project construction software GTM",</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"VP Smart Building — Gulf commercial real estate IoT and building management",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"Chief Financial Officer — Gulf PropTech capex and enterprise developer sales cycle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"common_mistakes":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"Approaching NEOM construction technology procurement without ISO 19650 BIM compliance — NEOM's BIM execution plan requirement eliminates non-compliant vendors before commercial evaluation",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"Targeting Dubai residential developers without RERA developer portal integration — RERA compliance integration is the minimum evaluation criterion for any PropTech serving Dubai registered developers",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"Pricing Gulf PropTech at European or US enterprise software rates without understanding Gulf developer procurement committee approval thresholds — Gulf developer PropTech budgets are typically $200K-$2M per project, and pricing above this threshold requires board-level approval that extends sales cycles by 6-12 months",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"Underestimating the Arabic language requirement for Saudi construction programmes — NHC and NEOM construction management software must have full Arabic language interfaces for Saudi national construction staff; English-only products are rejected in Saudi government-adjacent procurement"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"data_points":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real estate market: $200B by 2030 — Dubai residential, Saudi NHC, and NEOM mega-project construction driving PropTech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"Saudi NHC: 1.5M housing units — world's most active government residential development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"NEOM construction: $500B committed — requiring construction technology at unprecedented scale and specification",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"Dubai RERA registered developers: 200+ creating structured real estate compliance and data infrastructure",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Grade A commercial real estate: 50M+ sq ft with institutional REIT management creating property technology demand"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"why_now":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"NEOM and Saudi mega-project construction is in peak technology procurement phase — the 2024-2027 period is when construction management, BIM, and digital twin technology is being selected for the 10-year NEOM build programme",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"Dubai's post-pandemic real estate boom is creating PropTech adoption urgency — 70,000+ annual unit delivery requires technology infrastructure that traditional developer operations cannot manage manually",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"Gulf commercial real estate REIT expansion is creating institutional property management technology demand — Embassy REIT equivalent institutional investors entering Gulf commercial real estate require enterprise PropTech that Gulf property managers have not previously needed"</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"service_angles":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"Validate Gulf PropTech enterprise developer and mega-project demand with primary research.",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"Full financial feasibility covering Gulf PropTech pricing, BIM compliance cost, and mega-project sales cycle economics.",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"End-to-end Gulf PropTech market entry from RERA compliance mapping to first mega-project pilot.",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"Embedded Gulf PropTech GTM team covering NEOM, NHC, and Dubai developer outreach.",</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"Investor-ready pitch books with NEOM construction programme and Dubai real estate market narrative.",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"Arabic localisation and ISO 19650 BIM compliance roadmap — from architecture to implementation."</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"faq":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"Does GreyRadius work with construction technology companies or also with property management, smart building, real estate analytics, and transaction platforms entering the Gulf?|All PropTech categories.",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"How long does a Gulf PropTech engagement take?|Typically 8-10 weeks for mega-project buyer mapping, RERA compliance assessment, and Gulf PropTech GTM structuring.",</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"Can GreyRadius identify NEOM and NHC programme office technology procurement contacts?|Yes — NEOM and Saudi mega-project technology procurement relationships are core to our Gulf PropTech service.",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"What RERA Dubai compliance features are required for Gulf PropTech adoption?|RERA developer portal API integration and escrow reporting capability are minimum requirements for any PropTech serving RERA-registered Dubai developers."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"keywords": "Gulf PropTech real estate technology market entry, RERA Dubai compliance consulting, NEOM construction tech advisory, Saudi NHC PropTech GTM, Gulf smart building market entry",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"regions": "Saudi Arabia — NEOM, Red Sea Project, Diriyah mega-project construction technology; NHC nationwide residential; UAE — RERA-regulated Dubai developer and Aldar Abu Dhabi commercial REIT",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"stat1n": "$200B",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"stat1l": "Gulf real estate market by 2030",</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"stat1b": "Dubai residential, Saudi NHC affordable housing, and NEOM mega-project construction creating the Gulf PropTech commercial opportunity.",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"stat2n": "$500B",</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"stat2l": "NEOM committed construction investment",</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"stat2b": "The world's most ambitious single construction programme — requiring BIM, construction management, digital twin, and smart city technology at unprecedented scale.",</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"stat3n": "8 weeks",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"stat3l": "Gulf PropTech market entry strategy",</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"stat3b": "Mega-project buyer mapping, RERA compliance assessment, and Arabic localisation roadmap with primary research from developer CDO and programme office conversations."</w:t>
      </w:r>
    </w:p>
    <w:p w:rsidR="000E1F2A" w:rsidRDefault="00000000">
      <w:pPr>
        <w:shd w:val="clear" w:color="auto" w:fill="F0F0F0"/>
        <w:spacing w:before="10" w:after="10"/>
        <w:ind w:left="360"/>
      </w:pPr>
      <w:r>
        <w:rPr>
          <w:rFonts w:ascii="Courier New" w:eastAsia="Courier New" w:hAnsi="Courier New" w:cs="Courier New"/>
          <w:color w:val="1B2A4A"/>
          <w:sz w:val="15"/>
          <w:szCs w:val="15"/>
        </w:rPr>
        <w:t xml:space="preserve">  }</w:t>
      </w:r>
    </w:p>
    <w:p w:rsidR="000E1F2A" w:rsidRDefault="00000000">
      <w:pPr>
        <w:shd w:val="clear" w:color="auto" w:fill="F0F0F0"/>
        <w:spacing w:before="10" w:after="10"/>
        <w:ind w:left="360"/>
      </w:pPr>
      <w:r>
        <w:rPr>
          <w:rFonts w:ascii="Courier New" w:eastAsia="Courier New" w:hAnsi="Courier New" w:cs="Courier New"/>
          <w:color w:val="1B2A4A"/>
          <w:sz w:val="15"/>
          <w:szCs w:val="15"/>
        </w:rPr>
        <w:t>]</w:t>
      </w:r>
    </w:p>
    <w:p w:rsidR="000E1F2A" w:rsidRDefault="000E1F2A">
      <w:pPr>
        <w:pBdr>
          <w:bottom w:val="single" w:sz="8" w:space="1" w:color="1B2A4A"/>
        </w:pBdr>
        <w:spacing w:before="200" w:after="200"/>
      </w:pPr>
    </w:p>
    <w:p w:rsidR="000E1F2A" w:rsidRDefault="00000000">
      <w:pPr>
        <w:pStyle w:val="Heading1"/>
      </w:pPr>
      <w:r>
        <w:t>Build notes</w:t>
      </w:r>
    </w:p>
    <w:p w:rsidR="000E1F2A" w:rsidRDefault="00000000">
      <w:pPr>
        <w:spacing w:before="60" w:after="60"/>
      </w:pPr>
      <w:r>
        <w:rPr>
          <w:color w:val="222222"/>
        </w:rPr>
        <w:t>v2 enhanced architecture fields per page:</w:t>
      </w:r>
    </w:p>
    <w:p w:rsidR="000E1F2A" w:rsidRDefault="00000000">
      <w:pPr>
        <w:pStyle w:val="ListParagraph"/>
        <w:numPr>
          <w:ilvl w:val="0"/>
          <w:numId w:val="2"/>
        </w:numPr>
        <w:spacing w:before="40" w:after="40"/>
      </w:pPr>
      <w:r>
        <w:rPr>
          <w:color w:val="222222"/>
        </w:rPr>
        <w:t>mandate_examples — 3 real anonymised mandate snapshots with problem, what we did, outcome</w:t>
      </w:r>
    </w:p>
    <w:p w:rsidR="000E1F2A" w:rsidRDefault="00000000">
      <w:pPr>
        <w:pStyle w:val="ListParagraph"/>
        <w:numPr>
          <w:ilvl w:val="0"/>
          <w:numId w:val="2"/>
        </w:numPr>
        <w:spacing w:before="40" w:after="40"/>
      </w:pPr>
      <w:r>
        <w:rPr>
          <w:color w:val="222222"/>
        </w:rPr>
        <w:t>regulatory_table — 4 regulatory items with body, timeline, complexity</w:t>
      </w:r>
    </w:p>
    <w:p w:rsidR="000E1F2A" w:rsidRDefault="00000000">
      <w:pPr>
        <w:pStyle w:val="ListParagraph"/>
        <w:numPr>
          <w:ilvl w:val="0"/>
          <w:numId w:val="2"/>
        </w:numPr>
        <w:spacing w:before="40" w:after="40"/>
      </w:pPr>
      <w:r>
        <w:rPr>
          <w:color w:val="222222"/>
        </w:rPr>
        <w:t>competitive_intel — 3 named competitor types with differentiation</w:t>
      </w:r>
    </w:p>
    <w:p w:rsidR="000E1F2A" w:rsidRDefault="00000000">
      <w:pPr>
        <w:pStyle w:val="ListParagraph"/>
        <w:numPr>
          <w:ilvl w:val="0"/>
          <w:numId w:val="2"/>
        </w:numPr>
        <w:spacing w:before="40" w:after="40"/>
      </w:pPr>
      <w:r>
        <w:rPr>
          <w:color w:val="222222"/>
        </w:rPr>
        <w:t>decision_triggers — 5 specific buyer triggers</w:t>
      </w:r>
    </w:p>
    <w:p w:rsidR="000E1F2A" w:rsidRDefault="00000000">
      <w:pPr>
        <w:pStyle w:val="ListParagraph"/>
        <w:numPr>
          <w:ilvl w:val="0"/>
          <w:numId w:val="2"/>
        </w:numPr>
        <w:spacing w:before="40" w:after="40"/>
      </w:pPr>
      <w:r>
        <w:rPr>
          <w:color w:val="222222"/>
        </w:rPr>
        <w:t>engagement_phases — 4 delivery phases with week, deliverable, why it matters</w:t>
      </w:r>
    </w:p>
    <w:p w:rsidR="000E1F2A" w:rsidRDefault="00000000">
      <w:pPr>
        <w:pStyle w:val="ListParagraph"/>
        <w:numPr>
          <w:ilvl w:val="0"/>
          <w:numId w:val="2"/>
        </w:numPr>
        <w:spacing w:before="40" w:after="40"/>
      </w:pPr>
      <w:r>
        <w:rPr>
          <w:color w:val="222222"/>
        </w:rPr>
        <w:t>target_titles — 6 exact job titles who commission this work</w:t>
      </w:r>
    </w:p>
    <w:p w:rsidR="000E1F2A" w:rsidRDefault="00000000">
      <w:pPr>
        <w:pStyle w:val="ListParagraph"/>
        <w:numPr>
          <w:ilvl w:val="0"/>
          <w:numId w:val="2"/>
        </w:numPr>
        <w:spacing w:before="40" w:after="40"/>
      </w:pPr>
      <w:r>
        <w:rPr>
          <w:color w:val="222222"/>
        </w:rPr>
        <w:t>common_mistakes — 4 mistakes companies make without GreyRadius</w:t>
      </w:r>
    </w:p>
    <w:p w:rsidR="000E1F2A" w:rsidRDefault="00000000">
      <w:pPr>
        <w:pStyle w:val="ListParagraph"/>
        <w:numPr>
          <w:ilvl w:val="0"/>
          <w:numId w:val="2"/>
        </w:numPr>
        <w:spacing w:before="40" w:after="40"/>
      </w:pPr>
      <w:r>
        <w:rPr>
          <w:color w:val="222222"/>
        </w:rPr>
        <w:t>data_points — 5 specific market data points</w:t>
      </w:r>
    </w:p>
    <w:p w:rsidR="000E1F2A" w:rsidRDefault="00000000">
      <w:pPr>
        <w:pStyle w:val="ListParagraph"/>
        <w:numPr>
          <w:ilvl w:val="0"/>
          <w:numId w:val="2"/>
        </w:numPr>
        <w:spacing w:before="40" w:after="40"/>
      </w:pPr>
      <w:r>
        <w:rPr>
          <w:color w:val="222222"/>
        </w:rPr>
        <w:t>why_now — 3 reasons timing is specific to 2025-2027</w:t>
      </w:r>
    </w:p>
    <w:p w:rsidR="000E1F2A" w:rsidRDefault="000E1F2A">
      <w:pPr>
        <w:spacing w:before="60" w:after="60"/>
      </w:pPr>
    </w:p>
    <w:p w:rsidR="000E1F2A" w:rsidRDefault="00000000">
      <w:pPr>
        <w:spacing w:before="60" w:after="60"/>
      </w:pPr>
      <w:r>
        <w:rPr>
          <w:color w:val="222222"/>
        </w:rPr>
        <w:t>Target word count per page: 3,500-5,000 (vs 1,900 in v1 batches)</w:t>
      </w:r>
    </w:p>
    <w:p w:rsidR="000E1F2A" w:rsidRDefault="00000000">
      <w:pPr>
        <w:spacing w:before="60" w:after="60"/>
      </w:pPr>
      <w:r>
        <w:rPr>
          <w:color w:val="222222"/>
        </w:rPr>
        <w:t>Schema blocks per page: 3 (Service + FAQPage + SpeakableSpecification)</w:t>
      </w:r>
    </w:p>
    <w:p w:rsidR="000E1F2A" w:rsidRDefault="000E1F2A">
      <w:pPr>
        <w:spacing w:before="60" w:after="60"/>
      </w:pPr>
    </w:p>
    <w:p w:rsidR="000E1F2A" w:rsidRDefault="00000000">
      <w:pPr>
        <w:spacing w:before="60" w:after="60"/>
      </w:pPr>
      <w:r>
        <w:rPr>
          <w:color w:val="222222"/>
        </w:rPr>
        <w:t>Batch 24 (next): bfsi (5), agritech (5), electric-vehicles (5), ecommerce-tech (4), insurtech (4), media-entertainment (4), hospitality-tourism (4), geographies (4), ai-ml-platforms (5) — 40 pages, same v2 architecture.</w:t>
      </w:r>
    </w:p>
    <w:p w:rsidR="000E1F2A" w:rsidRDefault="00000000">
      <w:pPr>
        <w:spacing w:before="400"/>
      </w:pPr>
      <w:r>
        <w:rPr>
          <w:i/>
          <w:iCs/>
          <w:color w:val="666666"/>
          <w:sz w:val="16"/>
          <w:szCs w:val="16"/>
        </w:rPr>
        <w:t>GreyRadius Consulting | SEO Build Pack Batch 23 | June 2026 | Confidential</w:t>
      </w:r>
    </w:p>
    <w:sectPr w:rsidR="000E1F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132B4"/>
    <w:multiLevelType w:val="hybridMultilevel"/>
    <w:tmpl w:val="B100FAB0"/>
    <w:lvl w:ilvl="0" w:tplc="F2BA63FC">
      <w:start w:val="1"/>
      <w:numFmt w:val="bullet"/>
      <w:lvlText w:val="●"/>
      <w:lvlJc w:val="left"/>
      <w:pPr>
        <w:ind w:left="720" w:hanging="360"/>
      </w:pPr>
    </w:lvl>
    <w:lvl w:ilvl="1" w:tplc="4F98F8FE">
      <w:start w:val="1"/>
      <w:numFmt w:val="bullet"/>
      <w:lvlText w:val="○"/>
      <w:lvlJc w:val="left"/>
      <w:pPr>
        <w:ind w:left="1440" w:hanging="360"/>
      </w:pPr>
    </w:lvl>
    <w:lvl w:ilvl="2" w:tplc="E1507CD8">
      <w:start w:val="1"/>
      <w:numFmt w:val="bullet"/>
      <w:lvlText w:val="■"/>
      <w:lvlJc w:val="left"/>
      <w:pPr>
        <w:ind w:left="2160" w:hanging="360"/>
      </w:pPr>
    </w:lvl>
    <w:lvl w:ilvl="3" w:tplc="01C41338">
      <w:start w:val="1"/>
      <w:numFmt w:val="bullet"/>
      <w:lvlText w:val="●"/>
      <w:lvlJc w:val="left"/>
      <w:pPr>
        <w:ind w:left="2880" w:hanging="360"/>
      </w:pPr>
    </w:lvl>
    <w:lvl w:ilvl="4" w:tplc="95C04FB2">
      <w:start w:val="1"/>
      <w:numFmt w:val="bullet"/>
      <w:lvlText w:val="○"/>
      <w:lvlJc w:val="left"/>
      <w:pPr>
        <w:ind w:left="3600" w:hanging="360"/>
      </w:pPr>
    </w:lvl>
    <w:lvl w:ilvl="5" w:tplc="DAF802AC">
      <w:start w:val="1"/>
      <w:numFmt w:val="bullet"/>
      <w:lvlText w:val="■"/>
      <w:lvlJc w:val="left"/>
      <w:pPr>
        <w:ind w:left="4320" w:hanging="360"/>
      </w:pPr>
    </w:lvl>
    <w:lvl w:ilvl="6" w:tplc="ED847E6E">
      <w:start w:val="1"/>
      <w:numFmt w:val="bullet"/>
      <w:lvlText w:val="●"/>
      <w:lvlJc w:val="left"/>
      <w:pPr>
        <w:ind w:left="5040" w:hanging="360"/>
      </w:pPr>
    </w:lvl>
    <w:lvl w:ilvl="7" w:tplc="C9B49A3C">
      <w:start w:val="1"/>
      <w:numFmt w:val="bullet"/>
      <w:lvlText w:val="●"/>
      <w:lvlJc w:val="left"/>
      <w:pPr>
        <w:ind w:left="5760" w:hanging="360"/>
      </w:pPr>
    </w:lvl>
    <w:lvl w:ilvl="8" w:tplc="93104794">
      <w:start w:val="1"/>
      <w:numFmt w:val="bullet"/>
      <w:lvlText w:val="●"/>
      <w:lvlJc w:val="left"/>
      <w:pPr>
        <w:ind w:left="6480" w:hanging="360"/>
      </w:pPr>
    </w:lvl>
  </w:abstractNum>
  <w:abstractNum w:abstractNumId="1" w15:restartNumberingAfterBreak="0">
    <w:nsid w:val="5AE2576D"/>
    <w:multiLevelType w:val="hybridMultilevel"/>
    <w:tmpl w:val="90CA1448"/>
    <w:lvl w:ilvl="0" w:tplc="4F8AD36C">
      <w:start w:val="1"/>
      <w:numFmt w:val="bullet"/>
      <w:lvlText w:val="•"/>
      <w:lvlJc w:val="left"/>
      <w:pPr>
        <w:ind w:left="720" w:hanging="360"/>
      </w:pPr>
    </w:lvl>
    <w:lvl w:ilvl="1" w:tplc="96282174">
      <w:numFmt w:val="decimal"/>
      <w:lvlText w:val=""/>
      <w:lvlJc w:val="left"/>
    </w:lvl>
    <w:lvl w:ilvl="2" w:tplc="B8A4072C">
      <w:numFmt w:val="decimal"/>
      <w:lvlText w:val=""/>
      <w:lvlJc w:val="left"/>
    </w:lvl>
    <w:lvl w:ilvl="3" w:tplc="69F451A2">
      <w:numFmt w:val="decimal"/>
      <w:lvlText w:val=""/>
      <w:lvlJc w:val="left"/>
    </w:lvl>
    <w:lvl w:ilvl="4" w:tplc="3858F158">
      <w:numFmt w:val="decimal"/>
      <w:lvlText w:val=""/>
      <w:lvlJc w:val="left"/>
    </w:lvl>
    <w:lvl w:ilvl="5" w:tplc="7548CC28">
      <w:numFmt w:val="decimal"/>
      <w:lvlText w:val=""/>
      <w:lvlJc w:val="left"/>
    </w:lvl>
    <w:lvl w:ilvl="6" w:tplc="BB3097A6">
      <w:numFmt w:val="decimal"/>
      <w:lvlText w:val=""/>
      <w:lvlJc w:val="left"/>
    </w:lvl>
    <w:lvl w:ilvl="7" w:tplc="250A4D94">
      <w:numFmt w:val="decimal"/>
      <w:lvlText w:val=""/>
      <w:lvlJc w:val="left"/>
    </w:lvl>
    <w:lvl w:ilvl="8" w:tplc="973EA0BC">
      <w:numFmt w:val="decimal"/>
      <w:lvlText w:val=""/>
      <w:lvlJc w:val="left"/>
    </w:lvl>
  </w:abstractNum>
  <w:num w:numId="1" w16cid:durableId="1860851462">
    <w:abstractNumId w:val="0"/>
    <w:lvlOverride w:ilvl="0">
      <w:startOverride w:val="1"/>
    </w:lvlOverride>
  </w:num>
  <w:num w:numId="2" w16cid:durableId="671025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F2A"/>
    <w:rsid w:val="000E1F2A"/>
    <w:rsid w:val="001D7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AC0FDA7-40A3-2E4B-9004-41C28A7A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81914</Words>
  <Characters>466910</Characters>
  <Application>Microsoft Office Word</Application>
  <DocSecurity>0</DocSecurity>
  <Lines>3890</Lines>
  <Paragraphs>1095</Paragraphs>
  <ScaleCrop>false</ScaleCrop>
  <Company/>
  <LinksUpToDate>false</LinksUpToDate>
  <CharactersWithSpaces>547729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2026-07-01T05:00:00Z</dcterms:created>
  <dcterms:modified xsi:type="dcterms:W3CDTF">2026-07-01T05:00:00Z</dcterms:modified>
</cp:coreProperties>
</file>