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D1E1E" w:rsidRDefault="00000000">
      <w:pPr>
        <w:spacing w:before="1440" w:after="80"/>
      </w:pPr>
      <w:r>
        <w:rPr>
          <w:b/>
          <w:bCs/>
          <w:color w:val="1B2A4A"/>
          <w:sz w:val="52"/>
          <w:szCs w:val="52"/>
        </w:rPr>
        <w:t>GREYRADIUS CONSULTING</w:t>
      </w:r>
    </w:p>
    <w:p w:rsidR="005D1E1E" w:rsidRDefault="00000000">
      <w:pPr>
        <w:spacing w:after="80"/>
      </w:pPr>
      <w:r>
        <w:rPr>
          <w:color w:val="E8612C"/>
          <w:sz w:val="30"/>
          <w:szCs w:val="30"/>
        </w:rPr>
        <w:t>SEO Build Pack — Batch 13</w:t>
      </w:r>
    </w:p>
    <w:p w:rsidR="005D1E1E" w:rsidRDefault="00000000">
      <w:pPr>
        <w:spacing w:after="80"/>
      </w:pPr>
      <w:r>
        <w:rPr>
          <w:b/>
          <w:bCs/>
          <w:color w:val="2E7D32"/>
          <w:sz w:val="22"/>
          <w:szCs w:val="22"/>
        </w:rPr>
        <w:t>VERIFIED: 20 pages | 20 unique slugs | No duplicates | Match confirmed</w:t>
      </w:r>
    </w:p>
    <w:p w:rsidR="005D1E1E" w:rsidRDefault="00000000">
      <w:pPr>
        <w:spacing w:after="200"/>
      </w:pPr>
      <w:r>
        <w:rPr>
          <w:b/>
          <w:bCs/>
          <w:color w:val="E8612C"/>
        </w:rPr>
        <w:t>Save JSON as: data/industry-pages-batch13.json</w:t>
      </w:r>
    </w:p>
    <w:p w:rsidR="005D1E1E" w:rsidRDefault="00000000">
      <w:pPr>
        <w:spacing w:after="600"/>
      </w:pPr>
      <w:r>
        <w:rPr>
          <w:i/>
          <w:iCs/>
          <w:color w:val="666666"/>
          <w:sz w:val="18"/>
          <w:szCs w:val="18"/>
        </w:rPr>
        <w:t>May 2026 | Confidential</w:t>
      </w:r>
    </w:p>
    <w:p w:rsidR="005D1E1E" w:rsidRDefault="005D1E1E">
      <w:pPr>
        <w:pBdr>
          <w:bottom w:val="single" w:sz="8" w:space="1" w:color="1B2A4A"/>
        </w:pBdr>
        <w:spacing w:before="200" w:after="200"/>
      </w:pPr>
    </w:p>
    <w:p w:rsidR="005D1E1E" w:rsidRDefault="00000000">
      <w:pPr>
        <w:pStyle w:val="Heading1"/>
      </w:pPr>
      <w:r>
        <w:t>How to use this document</w:t>
      </w:r>
    </w:p>
    <w:p w:rsidR="005D1E1E" w:rsidRDefault="00000000">
      <w:pPr>
        <w:spacing w:before="60" w:after="60"/>
      </w:pPr>
      <w:r>
        <w:rPr>
          <w:color w:val="222222"/>
        </w:rPr>
        <w:t>Three sections. Use in order.</w:t>
      </w:r>
    </w:p>
    <w:p w:rsidR="005D1E1E" w:rsidRDefault="00000000">
      <w:pPr>
        <w:pStyle w:val="ListParagraph"/>
        <w:numPr>
          <w:ilvl w:val="0"/>
          <w:numId w:val="2"/>
        </w:numPr>
        <w:spacing w:before="40" w:after="40"/>
      </w:pPr>
      <w:r>
        <w:rPr>
          <w:color w:val="222222"/>
        </w:rPr>
        <w:t>Section 1 — Page index: all 20 pages with output paths</w:t>
      </w:r>
    </w:p>
    <w:p w:rsidR="005D1E1E" w:rsidRDefault="00000000">
      <w:pPr>
        <w:pStyle w:val="ListParagraph"/>
        <w:numPr>
          <w:ilvl w:val="0"/>
          <w:numId w:val="2"/>
        </w:numPr>
        <w:spacing w:before="40" w:after="40"/>
      </w:pPr>
      <w:r>
        <w:rPr>
          <w:color w:val="222222"/>
        </w:rPr>
        <w:t>Section 2 — Replit prompt: copy and paste directly into Replit AI without modification</w:t>
      </w:r>
    </w:p>
    <w:p w:rsidR="005D1E1E" w:rsidRDefault="00000000">
      <w:pPr>
        <w:pStyle w:val="ListParagraph"/>
        <w:numPr>
          <w:ilvl w:val="0"/>
          <w:numId w:val="2"/>
        </w:numPr>
        <w:spacing w:before="40" w:after="40"/>
      </w:pPr>
      <w:r>
        <w:rPr>
          <w:color w:val="222222"/>
        </w:rPr>
        <w:t>Section 3 — JSON appendix: save as data/industry-pages-batch13.json</w:t>
      </w:r>
    </w:p>
    <w:p w:rsidR="005D1E1E" w:rsidRDefault="00000000">
      <w:pPr>
        <w:spacing w:before="60" w:after="60"/>
      </w:pPr>
      <w:r>
        <w:rPr>
          <w:color w:val="222222"/>
        </w:rPr>
        <w:t>Sequence: save JSON first, paste Replit prompt second, confirm 20 pages created.</w:t>
      </w:r>
    </w:p>
    <w:p w:rsidR="005D1E1E" w:rsidRDefault="00000000">
      <w:pPr>
        <w:spacing w:before="60" w:after="60"/>
      </w:pPr>
      <w:r>
        <w:rPr>
          <w:i/>
          <w:iCs/>
          <w:color w:val="666666"/>
          <w:sz w:val="18"/>
          <w:szCs w:val="18"/>
        </w:rPr>
        <w:t>All previous batches are already built. This batch adds 20 new pages only.</w:t>
      </w:r>
    </w:p>
    <w:p w:rsidR="005D1E1E" w:rsidRDefault="005D1E1E">
      <w:pPr>
        <w:pBdr>
          <w:bottom w:val="single" w:sz="8" w:space="1" w:color="1B2A4A"/>
        </w:pBdr>
        <w:spacing w:before="200" w:after="200"/>
      </w:pPr>
    </w:p>
    <w:p w:rsidR="005D1E1E" w:rsidRDefault="00000000">
      <w:pPr>
        <w:pStyle w:val="Heading1"/>
      </w:pPr>
      <w:r>
        <w:t>Section 1: Page index — all 20 pages</w:t>
      </w:r>
    </w:p>
    <w:p w:rsidR="005D1E1E" w:rsidRDefault="00000000">
      <w:pPr>
        <w:spacing w:before="60" w:after="60"/>
      </w:pPr>
      <w:r>
        <w:rPr>
          <w:i/>
          <w:iCs/>
          <w:color w:val="666666"/>
          <w:sz w:val="18"/>
          <w:szCs w:val="18"/>
        </w:rPr>
        <w:t>20 unique slugs confirmed. No duplicates.</w:t>
      </w:r>
    </w:p>
    <w:p w:rsidR="005D1E1E" w:rsidRDefault="00000000">
      <w:pPr>
        <w:pStyle w:val="Heading2"/>
      </w:pPr>
      <w:r>
        <w:t>Sector-specific regional strategies (pages 1–10)</w:t>
      </w:r>
    </w:p>
    <w:p w:rsidR="005D1E1E" w:rsidRDefault="00000000">
      <w:pPr>
        <w:pStyle w:val="ListParagraph"/>
        <w:numPr>
          <w:ilvl w:val="0"/>
          <w:numId w:val="2"/>
        </w:numPr>
        <w:spacing w:before="40" w:after="40"/>
      </w:pPr>
      <w:r>
        <w:rPr>
          <w:color w:val="222222"/>
        </w:rPr>
        <w:t>1. [T3] India SaaS market entry strategy    → industries/enterprise-saas/india-saas-market-entry.html</w:t>
      </w:r>
    </w:p>
    <w:p w:rsidR="005D1E1E" w:rsidRDefault="00000000">
      <w:pPr>
        <w:pStyle w:val="ListParagraph"/>
        <w:numPr>
          <w:ilvl w:val="0"/>
          <w:numId w:val="2"/>
        </w:numPr>
        <w:spacing w:before="40" w:after="40"/>
      </w:pPr>
      <w:r>
        <w:rPr>
          <w:color w:val="222222"/>
        </w:rPr>
        <w:t>2. [T3] Gulf fintech market entry strategy    → industries/fintech-payments/gulf-fintech-market-entry.html</w:t>
      </w:r>
    </w:p>
    <w:p w:rsidR="005D1E1E" w:rsidRDefault="00000000">
      <w:pPr>
        <w:pStyle w:val="ListParagraph"/>
        <w:numPr>
          <w:ilvl w:val="0"/>
          <w:numId w:val="2"/>
        </w:numPr>
        <w:spacing w:before="40" w:after="40"/>
      </w:pPr>
      <w:r>
        <w:rPr>
          <w:color w:val="222222"/>
        </w:rPr>
        <w:t>3. [T3] Africa FMCG market entry strategy    → industries/cpg-fmcg-retail/africa-fmcg-market-entry.html</w:t>
      </w:r>
    </w:p>
    <w:p w:rsidR="005D1E1E" w:rsidRDefault="00000000">
      <w:pPr>
        <w:pStyle w:val="ListParagraph"/>
        <w:numPr>
          <w:ilvl w:val="0"/>
          <w:numId w:val="2"/>
        </w:numPr>
        <w:spacing w:before="40" w:after="40"/>
      </w:pPr>
      <w:r>
        <w:rPr>
          <w:color w:val="222222"/>
        </w:rPr>
        <w:t>4. [T3] India D2C brand market entry strategy    → industries/cpg-fmcg-retail/india-d2c-market-entry.html</w:t>
      </w:r>
    </w:p>
    <w:p w:rsidR="005D1E1E" w:rsidRDefault="00000000">
      <w:pPr>
        <w:pStyle w:val="ListParagraph"/>
        <w:numPr>
          <w:ilvl w:val="0"/>
          <w:numId w:val="2"/>
        </w:numPr>
        <w:spacing w:before="40" w:after="40"/>
      </w:pPr>
      <w:r>
        <w:rPr>
          <w:color w:val="222222"/>
        </w:rPr>
        <w:t>5. [T3] Gulf education market entry strategy    → industries/education-edtech/gulf-education-market-entry.html</w:t>
      </w:r>
    </w:p>
    <w:p w:rsidR="005D1E1E" w:rsidRDefault="00000000">
      <w:pPr>
        <w:pStyle w:val="ListParagraph"/>
        <w:numPr>
          <w:ilvl w:val="0"/>
          <w:numId w:val="2"/>
        </w:numPr>
        <w:spacing w:before="40" w:after="40"/>
      </w:pPr>
      <w:r>
        <w:rPr>
          <w:color w:val="222222"/>
        </w:rPr>
        <w:t>6. [T3] India healthcare infrastructure market entry strategy    → industries/healthcare-life-sciences/india-healthcare-infrastructure.html</w:t>
      </w:r>
    </w:p>
    <w:p w:rsidR="005D1E1E" w:rsidRDefault="00000000">
      <w:pPr>
        <w:pStyle w:val="ListParagraph"/>
        <w:numPr>
          <w:ilvl w:val="0"/>
          <w:numId w:val="2"/>
        </w:numPr>
        <w:spacing w:before="40" w:after="40"/>
      </w:pPr>
      <w:r>
        <w:rPr>
          <w:color w:val="222222"/>
        </w:rPr>
        <w:t>7. [T3] Gulf real estate market entry strategy    → industries/proptech/gulf-real-estate-market-entry.html</w:t>
      </w:r>
    </w:p>
    <w:p w:rsidR="005D1E1E" w:rsidRDefault="00000000">
      <w:pPr>
        <w:pStyle w:val="ListParagraph"/>
        <w:numPr>
          <w:ilvl w:val="0"/>
          <w:numId w:val="2"/>
        </w:numPr>
        <w:spacing w:before="40" w:after="40"/>
      </w:pPr>
      <w:r>
        <w:rPr>
          <w:color w:val="222222"/>
        </w:rPr>
        <w:t>8. [T3] Southeast Asia fintech market entry strategy    → industries/fintech-payments/southeast-asia-fintech-entry.html</w:t>
      </w:r>
    </w:p>
    <w:p w:rsidR="005D1E1E" w:rsidRDefault="00000000">
      <w:pPr>
        <w:pStyle w:val="ListParagraph"/>
        <w:numPr>
          <w:ilvl w:val="0"/>
          <w:numId w:val="2"/>
        </w:numPr>
        <w:spacing w:before="40" w:after="40"/>
      </w:pPr>
      <w:r>
        <w:rPr>
          <w:color w:val="222222"/>
        </w:rPr>
        <w:t>9. [T3] India logistics market entry strategy    → industries/logistics-supply-chain/india-logistics-market-entry.html</w:t>
      </w:r>
    </w:p>
    <w:p w:rsidR="005D1E1E" w:rsidRDefault="00000000">
      <w:pPr>
        <w:pStyle w:val="ListParagraph"/>
        <w:numPr>
          <w:ilvl w:val="0"/>
          <w:numId w:val="2"/>
        </w:numPr>
        <w:spacing w:before="40" w:after="40"/>
      </w:pPr>
      <w:r>
        <w:rPr>
          <w:color w:val="222222"/>
        </w:rPr>
        <w:t>10. [T3] Gulf logistics market entry strategy    → industries/logistics-supply-chain/gulf-logistics-market-entry.html</w:t>
      </w:r>
    </w:p>
    <w:p w:rsidR="005D1E1E" w:rsidRDefault="00000000">
      <w:pPr>
        <w:pStyle w:val="Heading2"/>
      </w:pPr>
      <w:r>
        <w:t>Additional sector strategies (pages 11–20)</w:t>
      </w:r>
    </w:p>
    <w:p w:rsidR="005D1E1E" w:rsidRDefault="00000000">
      <w:pPr>
        <w:pStyle w:val="ListParagraph"/>
        <w:numPr>
          <w:ilvl w:val="0"/>
          <w:numId w:val="2"/>
        </w:numPr>
        <w:spacing w:before="40" w:after="40"/>
      </w:pPr>
      <w:r>
        <w:rPr>
          <w:color w:val="222222"/>
        </w:rPr>
        <w:lastRenderedPageBreak/>
        <w:t>11. [T3] India energy and cleantech market entry strategy    → industries/renewable-energy/india-energy-market-entry.html</w:t>
      </w:r>
    </w:p>
    <w:p w:rsidR="005D1E1E" w:rsidRDefault="00000000">
      <w:pPr>
        <w:pStyle w:val="ListParagraph"/>
        <w:numPr>
          <w:ilvl w:val="0"/>
          <w:numId w:val="2"/>
        </w:numPr>
        <w:spacing w:before="40" w:after="40"/>
      </w:pPr>
      <w:r>
        <w:rPr>
          <w:color w:val="222222"/>
        </w:rPr>
        <w:t>12. [T3] Africa technology market entry strategy    → industries/technology/africa-technology-market-entry.html</w:t>
      </w:r>
    </w:p>
    <w:p w:rsidR="005D1E1E" w:rsidRDefault="00000000">
      <w:pPr>
        <w:pStyle w:val="ListParagraph"/>
        <w:numPr>
          <w:ilvl w:val="0"/>
          <w:numId w:val="2"/>
        </w:numPr>
        <w:spacing w:before="40" w:after="40"/>
      </w:pPr>
      <w:r>
        <w:rPr>
          <w:color w:val="222222"/>
        </w:rPr>
        <w:t>13. [T3] India real estate market entry strategy    → industries/proptech/india-real-estate-market-entry.html</w:t>
      </w:r>
    </w:p>
    <w:p w:rsidR="005D1E1E" w:rsidRDefault="00000000">
      <w:pPr>
        <w:pStyle w:val="ListParagraph"/>
        <w:numPr>
          <w:ilvl w:val="0"/>
          <w:numId w:val="2"/>
        </w:numPr>
        <w:spacing w:before="40" w:after="40"/>
      </w:pPr>
      <w:r>
        <w:rPr>
          <w:color w:val="222222"/>
        </w:rPr>
        <w:t>14. [T3] Gulf energy transition market entry strategy    → industries/renewable-energy/gulf-energy-transition.html</w:t>
      </w:r>
    </w:p>
    <w:p w:rsidR="005D1E1E" w:rsidRDefault="00000000">
      <w:pPr>
        <w:pStyle w:val="ListParagraph"/>
        <w:numPr>
          <w:ilvl w:val="0"/>
          <w:numId w:val="2"/>
        </w:numPr>
        <w:spacing w:before="40" w:after="40"/>
      </w:pPr>
      <w:r>
        <w:rPr>
          <w:color w:val="222222"/>
        </w:rPr>
        <w:t>15. [T3] India cybersecurity market entry strategy    → industries/cybersecurity/india-cybersecurity-market-entry.html</w:t>
      </w:r>
    </w:p>
    <w:p w:rsidR="005D1E1E" w:rsidRDefault="00000000">
      <w:pPr>
        <w:pStyle w:val="ListParagraph"/>
        <w:numPr>
          <w:ilvl w:val="0"/>
          <w:numId w:val="2"/>
        </w:numPr>
        <w:spacing w:before="40" w:after="40"/>
      </w:pPr>
      <w:r>
        <w:rPr>
          <w:color w:val="222222"/>
        </w:rPr>
        <w:t>16. [T3] Gulf retail market entry strategy    → industries/cpg-fmcg-retail/gulf-retail-market-entry.html</w:t>
      </w:r>
    </w:p>
    <w:p w:rsidR="005D1E1E" w:rsidRDefault="00000000">
      <w:pPr>
        <w:pStyle w:val="ListParagraph"/>
        <w:numPr>
          <w:ilvl w:val="0"/>
          <w:numId w:val="2"/>
        </w:numPr>
        <w:spacing w:before="40" w:after="40"/>
      </w:pPr>
      <w:r>
        <w:rPr>
          <w:color w:val="222222"/>
        </w:rPr>
        <w:t>17. [T3] India e-commerce market entry strategy    → industries/ecommerce-tech/india-ecommerce-market-entry.html</w:t>
      </w:r>
    </w:p>
    <w:p w:rsidR="005D1E1E" w:rsidRDefault="00000000">
      <w:pPr>
        <w:pStyle w:val="ListParagraph"/>
        <w:numPr>
          <w:ilvl w:val="0"/>
          <w:numId w:val="2"/>
        </w:numPr>
        <w:spacing w:before="40" w:after="40"/>
      </w:pPr>
      <w:r>
        <w:rPr>
          <w:color w:val="222222"/>
        </w:rPr>
        <w:t>18. [T3] Gulf AI market entry strategy    → industries/technology/gulf-ai-market-entry.html</w:t>
      </w:r>
    </w:p>
    <w:p w:rsidR="005D1E1E" w:rsidRDefault="00000000">
      <w:pPr>
        <w:pStyle w:val="ListParagraph"/>
        <w:numPr>
          <w:ilvl w:val="0"/>
          <w:numId w:val="2"/>
        </w:numPr>
        <w:spacing w:before="40" w:after="40"/>
      </w:pPr>
      <w:r>
        <w:rPr>
          <w:color w:val="222222"/>
        </w:rPr>
        <w:t>19. [T3] Southeast Asia enterprise SaaS market entry strategy    → industries/enterprise-saas/southeast-asia-enterprise-saas.html</w:t>
      </w:r>
    </w:p>
    <w:p w:rsidR="005D1E1E" w:rsidRDefault="00000000">
      <w:pPr>
        <w:pStyle w:val="ListParagraph"/>
        <w:numPr>
          <w:ilvl w:val="0"/>
          <w:numId w:val="2"/>
        </w:numPr>
        <w:spacing w:before="40" w:after="40"/>
      </w:pPr>
      <w:r>
        <w:rPr>
          <w:color w:val="222222"/>
        </w:rPr>
        <w:t>20. [T3] India and Gulf technology combined market entry strategy    → industries/technology/india-gulf-technology-entry.html</w:t>
      </w:r>
    </w:p>
    <w:p w:rsidR="005D1E1E" w:rsidRDefault="005D1E1E">
      <w:pPr>
        <w:pBdr>
          <w:bottom w:val="single" w:sz="8" w:space="1" w:color="1B2A4A"/>
        </w:pBdr>
        <w:spacing w:before="200" w:after="200"/>
      </w:pPr>
    </w:p>
    <w:p w:rsidR="005D1E1E" w:rsidRDefault="00000000">
      <w:pPr>
        <w:pStyle w:val="Heading1"/>
      </w:pPr>
      <w:r>
        <w:t>Section 2: Replit prompt</w:t>
      </w:r>
    </w:p>
    <w:p w:rsidR="005D1E1E" w:rsidRDefault="00000000">
      <w:pPr>
        <w:spacing w:before="60" w:after="60"/>
      </w:pPr>
      <w:r>
        <w:rPr>
          <w:i/>
          <w:iCs/>
          <w:color w:val="666666"/>
          <w:sz w:val="18"/>
          <w:szCs w:val="18"/>
        </w:rPr>
        <w:t>Copy everything between the === lines and paste into Replit AI. Do not modify.</w:t>
      </w:r>
    </w:p>
    <w:p w:rsidR="005D1E1E" w:rsidRDefault="005D1E1E">
      <w:pPr>
        <w:spacing w:before="80" w:after="80"/>
      </w:pPr>
    </w:p>
    <w:p w:rsidR="005D1E1E" w:rsidRDefault="00000000">
      <w:pPr>
        <w:shd w:val="clear" w:color="auto" w:fill="F0F0F0"/>
        <w:spacing w:before="14" w:after="14"/>
        <w:ind w:left="360"/>
      </w:pPr>
      <w:r>
        <w:rPr>
          <w:rFonts w:ascii="Courier New" w:eastAsia="Courier New" w:hAnsi="Courier New" w:cs="Courier New"/>
          <w:color w:val="1B2A4A"/>
          <w:sz w:val="16"/>
          <w:szCs w:val="16"/>
        </w:rPr>
        <w:t>===================================================</w:t>
      </w:r>
    </w:p>
    <w:p w:rsidR="005D1E1E" w:rsidRDefault="00000000">
      <w:pPr>
        <w:shd w:val="clear" w:color="auto" w:fill="F0F0F0"/>
        <w:spacing w:before="14" w:after="14"/>
        <w:ind w:left="360"/>
      </w:pPr>
      <w:r>
        <w:rPr>
          <w:rFonts w:ascii="Courier New" w:eastAsia="Courier New" w:hAnsi="Courier New" w:cs="Courier New"/>
          <w:color w:val="1B2A4A"/>
          <w:sz w:val="16"/>
          <w:szCs w:val="16"/>
        </w:rPr>
        <w:t>GREYRADIUS INDUSTRY PAGES — BATCH 13 BUILD</w:t>
      </w:r>
    </w:p>
    <w:p w:rsidR="005D1E1E" w:rsidRDefault="00000000">
      <w:pPr>
        <w:shd w:val="clear" w:color="auto" w:fill="F0F0F0"/>
        <w:spacing w:before="14" w:after="14"/>
        <w:ind w:left="360"/>
      </w:pPr>
      <w:r>
        <w:rPr>
          <w:rFonts w:ascii="Courier New" w:eastAsia="Courier New" w:hAnsi="Courier New" w:cs="Courier New"/>
          <w:color w:val="1B2A4A"/>
          <w:sz w:val="16"/>
          <w:szCs w:val="16"/>
        </w:rPr>
        <w:t>===================================================</w:t>
      </w:r>
    </w:p>
    <w:p w:rsidR="005D1E1E" w:rsidRDefault="00000000">
      <w:pPr>
        <w:shd w:val="clear" w:color="auto" w:fill="F0F0F0"/>
        <w:spacing w:before="14" w:after="14"/>
        <w:ind w:left="360"/>
      </w:pPr>
      <w:r>
        <w:rPr>
          <w:rFonts w:ascii="Courier New" w:eastAsia="Courier New" w:hAnsi="Courier New" w:cs="Courier New"/>
          <w:color w:val="1B2A4A"/>
          <w:sz w:val="16"/>
          <w:szCs w:val="16"/>
        </w:rPr>
        <w:t>JSON file:  data/industry-pages-batch13.json</w:t>
      </w:r>
    </w:p>
    <w:p w:rsidR="005D1E1E" w:rsidRDefault="00000000">
      <w:pPr>
        <w:shd w:val="clear" w:color="auto" w:fill="F0F0F0"/>
        <w:spacing w:before="14" w:after="14"/>
        <w:ind w:left="360"/>
      </w:pPr>
      <w:r>
        <w:rPr>
          <w:rFonts w:ascii="Courier New" w:eastAsia="Courier New" w:hAnsi="Courier New" w:cs="Courier New"/>
          <w:color w:val="1B2A4A"/>
          <w:sz w:val="16"/>
          <w:szCs w:val="16"/>
        </w:rPr>
        <w:t>Template:   templates/industry-page-template.html</w:t>
      </w:r>
    </w:p>
    <w:p w:rsidR="005D1E1E" w:rsidRDefault="00000000">
      <w:pPr>
        <w:shd w:val="clear" w:color="auto" w:fill="F0F0F0"/>
        <w:spacing w:before="14" w:after="14"/>
        <w:ind w:left="360"/>
      </w:pPr>
      <w:r>
        <w:rPr>
          <w:rFonts w:ascii="Courier New" w:eastAsia="Courier New" w:hAnsi="Courier New" w:cs="Courier New"/>
          <w:color w:val="1B2A4A"/>
          <w:sz w:val="16"/>
          <w:szCs w:val="16"/>
        </w:rPr>
        <w:t>Pages:      20 (verified — no duplicates)</w:t>
      </w:r>
    </w:p>
    <w:p w:rsidR="005D1E1E" w:rsidRDefault="005D1E1E">
      <w:pPr>
        <w:shd w:val="clear" w:color="auto" w:fill="F0F0F0"/>
        <w:spacing w:before="14" w:after="14"/>
        <w:ind w:left="360"/>
      </w:pPr>
    </w:p>
    <w:p w:rsidR="005D1E1E" w:rsidRDefault="00000000">
      <w:pPr>
        <w:shd w:val="clear" w:color="auto" w:fill="F0F0F0"/>
        <w:spacing w:before="14" w:after="14"/>
        <w:ind w:left="360"/>
      </w:pPr>
      <w:r>
        <w:rPr>
          <w:rFonts w:ascii="Courier New" w:eastAsia="Courier New" w:hAnsi="Courier New" w:cs="Courier New"/>
          <w:color w:val="1B2A4A"/>
          <w:sz w:val="16"/>
          <w:szCs w:val="16"/>
        </w:rPr>
        <w:t>PAGES TO BUILD:</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1. india-saas-market-entry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2. gulf-fintech-market-entry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3. africa-fmcg-market-entry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4. india-d2c-market-entry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5. gulf-education-market-entry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6. india-healthcare-infrastructure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7. gulf-real-estate-market-entry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8. southeast-asia-fintech-entry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9. india-logistics-market-entry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10. gulf-logistics-market-entry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11. india-energy-market-entry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12. africa-technology-market-entry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13. india-real-estate-market-entry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14. gulf-energy-transition</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15. india-cybersecurity-market-entry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16. gulf-retail-market-entry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17. india-ecommerce-market-entry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18. gulf-ai-market-entry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19. southeast-asia-enterprise-saas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20. india-gulf-technology-entry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 industries/[parent]/[slug].html</w:t>
      </w:r>
    </w:p>
    <w:p w:rsidR="005D1E1E" w:rsidRDefault="005D1E1E">
      <w:pPr>
        <w:shd w:val="clear" w:color="auto" w:fill="F0F0F0"/>
        <w:spacing w:before="14" w:after="14"/>
        <w:ind w:left="360"/>
      </w:pPr>
    </w:p>
    <w:p w:rsidR="005D1E1E" w:rsidRDefault="00000000">
      <w:pPr>
        <w:shd w:val="clear" w:color="auto" w:fill="F0F0F0"/>
        <w:spacing w:before="14" w:after="14"/>
        <w:ind w:left="360"/>
      </w:pPr>
      <w:r>
        <w:rPr>
          <w:rFonts w:ascii="Courier New" w:eastAsia="Courier New" w:hAnsi="Courier New" w:cs="Courier New"/>
          <w:color w:val="1B2A4A"/>
          <w:sz w:val="16"/>
          <w:szCs w:val="16"/>
        </w:rPr>
        <w:t>---------------------------------------------------</w:t>
      </w:r>
    </w:p>
    <w:p w:rsidR="005D1E1E" w:rsidRDefault="00000000">
      <w:pPr>
        <w:shd w:val="clear" w:color="auto" w:fill="F0F0F0"/>
        <w:spacing w:before="14" w:after="14"/>
        <w:ind w:left="360"/>
      </w:pPr>
      <w:r>
        <w:rPr>
          <w:rFonts w:ascii="Courier New" w:eastAsia="Courier New" w:hAnsi="Courier New" w:cs="Courier New"/>
          <w:color w:val="1B2A4A"/>
          <w:sz w:val="16"/>
          <w:szCs w:val="16"/>
        </w:rPr>
        <w:t>STEP 1 — VERIFY FILES</w:t>
      </w:r>
    </w:p>
    <w:p w:rsidR="005D1E1E" w:rsidRDefault="00000000">
      <w:pPr>
        <w:shd w:val="clear" w:color="auto" w:fill="F0F0F0"/>
        <w:spacing w:before="14" w:after="14"/>
        <w:ind w:left="360"/>
      </w:pPr>
      <w:r>
        <w:rPr>
          <w:rFonts w:ascii="Courier New" w:eastAsia="Courier New" w:hAnsi="Courier New" w:cs="Courier New"/>
          <w:color w:val="1B2A4A"/>
          <w:sz w:val="16"/>
          <w:szCs w:val="16"/>
        </w:rPr>
        <w:t>---------------------------------------------------</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ls data/industry-pages-batch13.json</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ls templates/industry-page-template.html</w:t>
      </w:r>
    </w:p>
    <w:p w:rsidR="005D1E1E" w:rsidRDefault="00000000">
      <w:pPr>
        <w:shd w:val="clear" w:color="auto" w:fill="F0F0F0"/>
        <w:spacing w:before="14" w:after="14"/>
        <w:ind w:left="360"/>
      </w:pPr>
      <w:r>
        <w:rPr>
          <w:rFonts w:ascii="Courier New" w:eastAsia="Courier New" w:hAnsi="Courier New" w:cs="Courier New"/>
          <w:color w:val="1B2A4A"/>
          <w:sz w:val="16"/>
          <w:szCs w:val="16"/>
        </w:rPr>
        <w:t>If JSON missing: stop and tell me.</w:t>
      </w:r>
    </w:p>
    <w:p w:rsidR="005D1E1E" w:rsidRDefault="00000000">
      <w:pPr>
        <w:shd w:val="clear" w:color="auto" w:fill="F0F0F0"/>
        <w:spacing w:before="14" w:after="14"/>
        <w:ind w:left="360"/>
      </w:pPr>
      <w:r>
        <w:rPr>
          <w:rFonts w:ascii="Courier New" w:eastAsia="Courier New" w:hAnsi="Courier New" w:cs="Courier New"/>
          <w:color w:val="1B2A4A"/>
          <w:sz w:val="16"/>
          <w:szCs w:val="16"/>
        </w:rPr>
        <w:lastRenderedPageBreak/>
        <w:t>If template missing: copy an existing industry page,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tokenise it, then continue.</w:t>
      </w:r>
    </w:p>
    <w:p w:rsidR="005D1E1E" w:rsidRDefault="005D1E1E">
      <w:pPr>
        <w:shd w:val="clear" w:color="auto" w:fill="F0F0F0"/>
        <w:spacing w:before="14" w:after="14"/>
        <w:ind w:left="360"/>
      </w:pPr>
    </w:p>
    <w:p w:rsidR="005D1E1E" w:rsidRDefault="00000000">
      <w:pPr>
        <w:shd w:val="clear" w:color="auto" w:fill="F0F0F0"/>
        <w:spacing w:before="14" w:after="14"/>
        <w:ind w:left="360"/>
      </w:pPr>
      <w:r>
        <w:rPr>
          <w:rFonts w:ascii="Courier New" w:eastAsia="Courier New" w:hAnsi="Courier New" w:cs="Courier New"/>
          <w:color w:val="1B2A4A"/>
          <w:sz w:val="16"/>
          <w:szCs w:val="16"/>
        </w:rPr>
        <w:t>---------------------------------------------------</w:t>
      </w:r>
    </w:p>
    <w:p w:rsidR="005D1E1E" w:rsidRDefault="00000000">
      <w:pPr>
        <w:shd w:val="clear" w:color="auto" w:fill="F0F0F0"/>
        <w:spacing w:before="14" w:after="14"/>
        <w:ind w:left="360"/>
      </w:pPr>
      <w:r>
        <w:rPr>
          <w:rFonts w:ascii="Courier New" w:eastAsia="Courier New" w:hAnsi="Courier New" w:cs="Courier New"/>
          <w:color w:val="1B2A4A"/>
          <w:sz w:val="16"/>
          <w:szCs w:val="16"/>
        </w:rPr>
        <w:t>STEP 2 — BUILD ALL 20 PAGES</w:t>
      </w:r>
    </w:p>
    <w:p w:rsidR="005D1E1E" w:rsidRDefault="00000000">
      <w:pPr>
        <w:shd w:val="clear" w:color="auto" w:fill="F0F0F0"/>
        <w:spacing w:before="14" w:after="14"/>
        <w:ind w:left="360"/>
      </w:pPr>
      <w:r>
        <w:rPr>
          <w:rFonts w:ascii="Courier New" w:eastAsia="Courier New" w:hAnsi="Courier New" w:cs="Courier New"/>
          <w:color w:val="1B2A4A"/>
          <w:sz w:val="16"/>
          <w:szCs w:val="16"/>
        </w:rPr>
        <w:t>---------------------------------------------------</w:t>
      </w:r>
    </w:p>
    <w:p w:rsidR="005D1E1E" w:rsidRDefault="00000000">
      <w:pPr>
        <w:shd w:val="clear" w:color="auto" w:fill="F0F0F0"/>
        <w:spacing w:before="14" w:after="14"/>
        <w:ind w:left="360"/>
      </w:pPr>
      <w:r>
        <w:rPr>
          <w:rFonts w:ascii="Courier New" w:eastAsia="Courier New" w:hAnsi="Courier New" w:cs="Courier New"/>
          <w:color w:val="1B2A4A"/>
          <w:sz w:val="16"/>
          <w:szCs w:val="16"/>
        </w:rPr>
        <w:t>Read data/industry-pages-batch13.json.</w:t>
      </w:r>
    </w:p>
    <w:p w:rsidR="005D1E1E" w:rsidRDefault="00000000">
      <w:pPr>
        <w:shd w:val="clear" w:color="auto" w:fill="F0F0F0"/>
        <w:spacing w:before="14" w:after="14"/>
        <w:ind w:left="360"/>
      </w:pPr>
      <w:r>
        <w:rPr>
          <w:rFonts w:ascii="Courier New" w:eastAsia="Courier New" w:hAnsi="Courier New" w:cs="Courier New"/>
          <w:color w:val="1B2A4A"/>
          <w:sz w:val="16"/>
          <w:szCs w:val="16"/>
        </w:rPr>
        <w:t>For EACH page object:</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A. mkdir -p industries/[parent]</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B. Read template fresh as string</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 Replace ALL tokens: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{{PAGE_TITLE}} {{META_DESC}} {{KEYWORDS}} {{SLUG}}</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{{H1}} {{TAGLINE}} {{HERO_BODY}} {{MARKET_TIMING}}</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{{REGIONS}}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{{STAT1N}} {{STAT1L}} {{STAT1B}}</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{{STAT2N}} {{STAT2L}} {{STAT2B}}</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{{STAT3N}} {{STAT3L}} {{STAT3B}}</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{{INSIGHT_1}} {{INSIGHT_2}} {{INSIGHT_3}} {{INSIGHT_4}}</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{{CHALLENGE_M_1}} {{CHALLENGE_M_2}}</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{{CHALLENGE_M_3}} {{CHALLENGE_M_4}}</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challenges_we_solve[i].split('|') for i=0..5:</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{{CHALLENGE_1_H/B}} through {{CHALLENGE_6_H/B}}</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service_angles[i] for i=0..5:</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{{SERVICE_1_BODY}} through {{SERVICE_6_BODY}}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faq[i].split('|') for i=0..3:</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{{FAQ_1_Q/A}} through {{FAQ_4_Q/A}}</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{{SCHEMA_SERVICE}} and {{SCHEMA_FAQ}}</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D. Scan remaining {{ }}: replace empty, log warning</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E. Write file. Log: Created: [path]</w:t>
      </w:r>
    </w:p>
    <w:p w:rsidR="005D1E1E" w:rsidRDefault="005D1E1E">
      <w:pPr>
        <w:shd w:val="clear" w:color="auto" w:fill="F0F0F0"/>
        <w:spacing w:before="14" w:after="14"/>
        <w:ind w:left="360"/>
      </w:pPr>
    </w:p>
    <w:p w:rsidR="005D1E1E" w:rsidRDefault="00000000">
      <w:pPr>
        <w:shd w:val="clear" w:color="auto" w:fill="F0F0F0"/>
        <w:spacing w:before="14" w:after="14"/>
        <w:ind w:left="360"/>
      </w:pPr>
      <w:r>
        <w:rPr>
          <w:rFonts w:ascii="Courier New" w:eastAsia="Courier New" w:hAnsi="Courier New" w:cs="Courier New"/>
          <w:color w:val="1B2A4A"/>
          <w:sz w:val="16"/>
          <w:szCs w:val="16"/>
        </w:rPr>
        <w:t>---------------------------------------------------</w:t>
      </w:r>
    </w:p>
    <w:p w:rsidR="005D1E1E" w:rsidRDefault="00000000">
      <w:pPr>
        <w:shd w:val="clear" w:color="auto" w:fill="F0F0F0"/>
        <w:spacing w:before="14" w:after="14"/>
        <w:ind w:left="360"/>
      </w:pPr>
      <w:r>
        <w:rPr>
          <w:rFonts w:ascii="Courier New" w:eastAsia="Courier New" w:hAnsi="Courier New" w:cs="Courier New"/>
          <w:color w:val="1B2A4A"/>
          <w:sz w:val="16"/>
          <w:szCs w:val="16"/>
        </w:rPr>
        <w:t>STEP 3 — SITEMAP + NAV</w:t>
      </w:r>
    </w:p>
    <w:p w:rsidR="005D1E1E" w:rsidRDefault="00000000">
      <w:pPr>
        <w:shd w:val="clear" w:color="auto" w:fill="F0F0F0"/>
        <w:spacing w:before="14" w:after="14"/>
        <w:ind w:left="360"/>
      </w:pPr>
      <w:r>
        <w:rPr>
          <w:rFonts w:ascii="Courier New" w:eastAsia="Courier New" w:hAnsi="Courier New" w:cs="Courier New"/>
          <w:color w:val="1B2A4A"/>
          <w:sz w:val="16"/>
          <w:szCs w:val="16"/>
        </w:rPr>
        <w:t>---------------------------------------------------</w:t>
      </w:r>
    </w:p>
    <w:p w:rsidR="005D1E1E" w:rsidRDefault="00000000">
      <w:pPr>
        <w:shd w:val="clear" w:color="auto" w:fill="F0F0F0"/>
        <w:spacing w:before="14" w:after="14"/>
        <w:ind w:left="360"/>
      </w:pPr>
      <w:r>
        <w:rPr>
          <w:rFonts w:ascii="Courier New" w:eastAsia="Courier New" w:hAnsi="Courier New" w:cs="Courier New"/>
          <w:color w:val="1B2A4A"/>
          <w:sz w:val="16"/>
          <w:szCs w:val="16"/>
        </w:rPr>
        <w:t>Add all 20 page URLs to sitemap.xml (priority 0.7).</w:t>
      </w:r>
    </w:p>
    <w:p w:rsidR="005D1E1E" w:rsidRDefault="00000000">
      <w:pPr>
        <w:shd w:val="clear" w:color="auto" w:fill="F0F0F0"/>
        <w:spacing w:before="14" w:after="14"/>
        <w:ind w:left="360"/>
      </w:pPr>
      <w:r>
        <w:rPr>
          <w:rFonts w:ascii="Courier New" w:eastAsia="Courier New" w:hAnsi="Courier New" w:cs="Courier New"/>
          <w:color w:val="1B2A4A"/>
          <w:sz w:val="16"/>
          <w:szCs w:val="16"/>
        </w:rPr>
        <w:t>Update industries nav dropdown — do not remove existing.</w:t>
      </w:r>
    </w:p>
    <w:p w:rsidR="005D1E1E" w:rsidRDefault="005D1E1E">
      <w:pPr>
        <w:shd w:val="clear" w:color="auto" w:fill="F0F0F0"/>
        <w:spacing w:before="14" w:after="14"/>
        <w:ind w:left="360"/>
      </w:pPr>
    </w:p>
    <w:p w:rsidR="005D1E1E" w:rsidRDefault="00000000">
      <w:pPr>
        <w:shd w:val="clear" w:color="auto" w:fill="F0F0F0"/>
        <w:spacing w:before="14" w:after="14"/>
        <w:ind w:left="360"/>
      </w:pPr>
      <w:r>
        <w:rPr>
          <w:rFonts w:ascii="Courier New" w:eastAsia="Courier New" w:hAnsi="Courier New" w:cs="Courier New"/>
          <w:color w:val="1B2A4A"/>
          <w:sz w:val="16"/>
          <w:szCs w:val="16"/>
        </w:rPr>
        <w:t>---------------------------------------------------</w:t>
      </w:r>
    </w:p>
    <w:p w:rsidR="005D1E1E" w:rsidRDefault="00000000">
      <w:pPr>
        <w:shd w:val="clear" w:color="auto" w:fill="F0F0F0"/>
        <w:spacing w:before="14" w:after="14"/>
        <w:ind w:left="360"/>
      </w:pPr>
      <w:r>
        <w:rPr>
          <w:rFonts w:ascii="Courier New" w:eastAsia="Courier New" w:hAnsi="Courier New" w:cs="Courier New"/>
          <w:color w:val="1B2A4A"/>
          <w:sz w:val="16"/>
          <w:szCs w:val="16"/>
        </w:rPr>
        <w:t>STEP 4 — CONFIRM</w:t>
      </w:r>
    </w:p>
    <w:p w:rsidR="005D1E1E" w:rsidRDefault="00000000">
      <w:pPr>
        <w:shd w:val="clear" w:color="auto" w:fill="F0F0F0"/>
        <w:spacing w:before="14" w:after="14"/>
        <w:ind w:left="360"/>
      </w:pPr>
      <w:r>
        <w:rPr>
          <w:rFonts w:ascii="Courier New" w:eastAsia="Courier New" w:hAnsi="Courier New" w:cs="Courier New"/>
          <w:color w:val="1B2A4A"/>
          <w:sz w:val="16"/>
          <w:szCs w:val="16"/>
        </w:rPr>
        <w:t>---------------------------------------------------</w:t>
      </w:r>
    </w:p>
    <w:p w:rsidR="005D1E1E" w:rsidRDefault="00000000">
      <w:pPr>
        <w:shd w:val="clear" w:color="auto" w:fill="F0F0F0"/>
        <w:spacing w:before="14" w:after="14"/>
        <w:ind w:left="360"/>
      </w:pPr>
      <w:r>
        <w:rPr>
          <w:rFonts w:ascii="Courier New" w:eastAsia="Courier New" w:hAnsi="Courier New" w:cs="Courier New"/>
          <w:color w:val="1B2A4A"/>
          <w:sz w:val="16"/>
          <w:szCs w:val="16"/>
        </w:rPr>
        <w:t>Pages created: [N] — must equal 20</w:t>
      </w:r>
    </w:p>
    <w:p w:rsidR="005D1E1E" w:rsidRDefault="00000000">
      <w:pPr>
        <w:shd w:val="clear" w:color="auto" w:fill="F0F0F0"/>
        <w:spacing w:before="14" w:after="14"/>
        <w:ind w:left="360"/>
      </w:pPr>
      <w:r>
        <w:rPr>
          <w:rFonts w:ascii="Courier New" w:eastAsia="Courier New" w:hAnsi="Courier New" w:cs="Courier New"/>
          <w:color w:val="1B2A4A"/>
          <w:sz w:val="16"/>
          <w:szCs w:val="16"/>
        </w:rPr>
        <w:t>Full list of all file paths</w:t>
      </w:r>
    </w:p>
    <w:p w:rsidR="005D1E1E" w:rsidRDefault="00000000">
      <w:pPr>
        <w:shd w:val="clear" w:color="auto" w:fill="F0F0F0"/>
        <w:spacing w:before="14" w:after="14"/>
        <w:ind w:left="360"/>
      </w:pPr>
      <w:r>
        <w:rPr>
          <w:rFonts w:ascii="Courier New" w:eastAsia="Courier New" w:hAnsi="Courier New" w:cs="Courier New"/>
          <w:color w:val="1B2A4A"/>
          <w:sz w:val="16"/>
          <w:szCs w:val="16"/>
        </w:rPr>
        <w:t>Token warnings count</w:t>
      </w:r>
    </w:p>
    <w:p w:rsidR="005D1E1E" w:rsidRDefault="00000000">
      <w:pPr>
        <w:shd w:val="clear" w:color="auto" w:fill="F0F0F0"/>
        <w:spacing w:before="14" w:after="14"/>
        <w:ind w:left="360"/>
      </w:pPr>
      <w:r>
        <w:rPr>
          <w:rFonts w:ascii="Courier New" w:eastAsia="Courier New" w:hAnsi="Courier New" w:cs="Courier New"/>
          <w:color w:val="1B2A4A"/>
          <w:sz w:val="16"/>
          <w:szCs w:val="16"/>
        </w:rPr>
        <w:t>Sitemap: updated yes/no</w:t>
      </w:r>
    </w:p>
    <w:p w:rsidR="005D1E1E" w:rsidRDefault="00000000">
      <w:pPr>
        <w:shd w:val="clear" w:color="auto" w:fill="F0F0F0"/>
        <w:spacing w:before="14" w:after="14"/>
        <w:ind w:left="360"/>
      </w:pPr>
      <w:r>
        <w:rPr>
          <w:rFonts w:ascii="Courier New" w:eastAsia="Courier New" w:hAnsi="Courier New" w:cs="Courier New"/>
          <w:color w:val="1B2A4A"/>
          <w:sz w:val="16"/>
          <w:szCs w:val="16"/>
        </w:rPr>
        <w:t>Navigation: updated yes/no</w:t>
      </w:r>
    </w:p>
    <w:p w:rsidR="005D1E1E" w:rsidRDefault="00000000">
      <w:pPr>
        <w:shd w:val="clear" w:color="auto" w:fill="F0F0F0"/>
        <w:spacing w:before="14" w:after="14"/>
        <w:ind w:left="360"/>
      </w:pPr>
      <w:r>
        <w:rPr>
          <w:rFonts w:ascii="Courier New" w:eastAsia="Courier New" w:hAnsi="Courier New" w:cs="Courier New"/>
          <w:color w:val="1B2A4A"/>
          <w:sz w:val="16"/>
          <w:szCs w:val="16"/>
        </w:rPr>
        <w:t>Any failures with exact reason</w:t>
      </w:r>
    </w:p>
    <w:p w:rsidR="005D1E1E" w:rsidRDefault="005D1E1E">
      <w:pPr>
        <w:shd w:val="clear" w:color="auto" w:fill="F0F0F0"/>
        <w:spacing w:before="14" w:after="14"/>
        <w:ind w:left="360"/>
      </w:pPr>
    </w:p>
    <w:p w:rsidR="005D1E1E" w:rsidRDefault="00000000">
      <w:pPr>
        <w:shd w:val="clear" w:color="auto" w:fill="F0F0F0"/>
        <w:spacing w:before="14" w:after="14"/>
        <w:ind w:left="360"/>
      </w:pPr>
      <w:r>
        <w:rPr>
          <w:rFonts w:ascii="Courier New" w:eastAsia="Courier New" w:hAnsi="Courier New" w:cs="Courier New"/>
          <w:color w:val="1B2A4A"/>
          <w:sz w:val="16"/>
          <w:szCs w:val="16"/>
        </w:rPr>
        <w:t>===================================================</w:t>
      </w:r>
    </w:p>
    <w:p w:rsidR="005D1E1E" w:rsidRDefault="00000000">
      <w:pPr>
        <w:shd w:val="clear" w:color="auto" w:fill="F0F0F0"/>
        <w:spacing w:before="14" w:after="14"/>
        <w:ind w:left="360"/>
      </w:pPr>
      <w:r>
        <w:rPr>
          <w:rFonts w:ascii="Courier New" w:eastAsia="Courier New" w:hAnsi="Courier New" w:cs="Courier New"/>
          <w:color w:val="1B2A4A"/>
          <w:sz w:val="16"/>
          <w:szCs w:val="16"/>
        </w:rPr>
        <w:t>DO NOT write scripts. DO NOT rebuild existing pages.</w:t>
      </w:r>
    </w:p>
    <w:p w:rsidR="005D1E1E" w:rsidRDefault="00000000">
      <w:pPr>
        <w:shd w:val="clear" w:color="auto" w:fill="F0F0F0"/>
        <w:spacing w:before="14" w:after="14"/>
        <w:ind w:left="360"/>
      </w:pPr>
      <w:r>
        <w:rPr>
          <w:rFonts w:ascii="Courier New" w:eastAsia="Courier New" w:hAnsi="Courier New" w:cs="Courier New"/>
          <w:color w:val="1B2A4A"/>
          <w:sz w:val="16"/>
          <w:szCs w:val="16"/>
        </w:rPr>
        <w:t>Read JSON. Loop. Replace tokens. Write files.</w:t>
      </w:r>
    </w:p>
    <w:p w:rsidR="005D1E1E" w:rsidRDefault="00000000">
      <w:pPr>
        <w:shd w:val="clear" w:color="auto" w:fill="F0F0F0"/>
        <w:spacing w:before="14" w:after="14"/>
        <w:ind w:left="360"/>
      </w:pPr>
      <w:r>
        <w:rPr>
          <w:rFonts w:ascii="Courier New" w:eastAsia="Courier New" w:hAnsi="Courier New" w:cs="Courier New"/>
          <w:color w:val="1B2A4A"/>
          <w:sz w:val="16"/>
          <w:szCs w:val="16"/>
        </w:rPr>
        <w:t>===================================================</w:t>
      </w:r>
    </w:p>
    <w:p w:rsidR="005D1E1E" w:rsidRDefault="005D1E1E">
      <w:pPr>
        <w:pBdr>
          <w:bottom w:val="single" w:sz="8" w:space="1" w:color="1B2A4A"/>
        </w:pBdr>
        <w:spacing w:before="200" w:after="200"/>
      </w:pPr>
    </w:p>
    <w:p w:rsidR="005D1E1E" w:rsidRDefault="00000000">
      <w:pPr>
        <w:pStyle w:val="Heading1"/>
      </w:pPr>
      <w:r>
        <w:t>Section 3: JSON appendix — save as data/industry-pages-batch13.json</w:t>
      </w:r>
    </w:p>
    <w:p w:rsidR="005D1E1E" w:rsidRDefault="00000000">
      <w:pPr>
        <w:spacing w:before="60" w:after="60"/>
      </w:pPr>
      <w:r>
        <w:rPr>
          <w:i/>
          <w:iCs/>
          <w:color w:val="666666"/>
          <w:sz w:val="18"/>
          <w:szCs w:val="18"/>
        </w:rPr>
        <w:t>20 page objects. Copy and save as data/industry-pages-batch13.json in Replit.</w:t>
      </w:r>
    </w:p>
    <w:p w:rsidR="005D1E1E" w:rsidRDefault="005D1E1E">
      <w:pPr>
        <w:spacing w:before="80" w:after="40"/>
      </w:pPr>
    </w:p>
    <w:p w:rsidR="005D1E1E" w:rsidRDefault="00000000">
      <w:pPr>
        <w:shd w:val="clear" w:color="auto" w:fill="F0F0F0"/>
        <w:spacing w:before="14" w:after="14"/>
        <w:ind w:left="360"/>
      </w:pPr>
      <w:r>
        <w:rPr>
          <w:rFonts w:ascii="Courier New" w:eastAsia="Courier New" w:hAnsi="Courier New" w:cs="Courier New"/>
          <w:color w:val="1B2A4A"/>
          <w:sz w:val="16"/>
          <w:szCs w:val="16"/>
        </w:rPr>
        <w:t>[</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"slug": "india-saas-market-entry",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"parent": "enterprise-saas",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"title": "India SaaS Market Entry Strategy | GreyRadius Consulting",</w:t>
      </w:r>
    </w:p>
    <w:p w:rsidR="005D1E1E"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"meta": "GreyRadius helps SaaS companies enter India with market entry strategy, pricing adaptation, enterprise buyer research, channel partner identification, and fundraising support.",</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"h1": "India SaaS market entry strategy",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global product to Indian ARR — strategy for SaaS companies entering India.",</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"hero": "India is the world's second-largest developer talent pool and a rapidly growing enterprise SaaS market — with over 1,500 funded SaaS companies and a growing B2B buyer base across IT, BFSI, healthcare, retail, and manufacturing. International SaaS companies are entering India for two reasons simultaneously: to acquire Indian enterprise customers and to tap India's engineering talent for product development. GreyRadius helps SaaS companies validate Indian enterprise demand, adapt pricing for India's value-driven buyer, identify the right channel partners, and execute GTM with a clear path to first ARR.",</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"India's SaaS market is growing at 30% annually, projected to reach $50B by 2030. Post-pandemic digital transformation has accelerated enterprise cloud adoption across sectors that were previously resistant. The companies securing India enterprise relationships in 2024–2027 will build the multi-year ARR base that compounds over a decade.",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"India's enterprise SaaS market will reach $50B by 2030 — growing at 30% annually as cloud adoption accelerates across BFSI, healthcare, retail, and manufacturing enterprise buyers.",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"Indian enterprises pay 30–50% of US equivalent SaaS pricing — companies that land-and-expand with India-specific pricing tiers achieve faster adoption and strong NRR as accounts grow.",</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"Channel partners and system integrators are the fastest GTM path in India — VARs, IT consultancies, and implementation partners with existing enterprise relationships accelerate sales cycles significantly.",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"India's PLI-driven manufacturing expansion is creating new SaaS demand — factory floor digitalisation, ERP upgrades, and supply chain software are all seeing growing procurement from India's industrial sector."</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"India's price sensitivity requires a separate India pricing tier — international list prices create immediate objections from Indian procurement teams even at enterprises with large technology budgets.",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"Enterprise sales cycles in India are longer and involve more stakeholders — decisions involve IT, finance, business unit, and often the founder or CEO at mid-market companies.",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"Integration with India-specific systems is frequently required — TallyPrime, Zoho, local payroll systems, and Indian GST compliance modules are all common integration requirements.",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"Customer success and support expectations are high — Indian enterprise buyers expect significant post-sales hand-holding during implementation and ongoing account management."</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"India enterprise demand validation|You need to validate which Indian enterprise segments want your SaaS and what features, integrations, and price points they require.",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"India pricing strategy|You need an India-specific pricing model — per-seat, usage-based, or flat-rate — that drives adoption without destroying unit economics.",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"Channel and SI partner identification|You need VARs, system integrators, and IT consultancies as GTM partners for your India SaaS.",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"India GTM execution|You need a structured first-100-customers plan covering outbound, inbound, channel, and event-based acquisition.",</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India expansion|You need a pitch book grounded in India SaaS market data and your India traction story.",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intelligence|You need to understand how competing SaaS companies are priced and positioned in India."</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"Validate Indian enterprise demand for your SaaS with primary research covering buyer interviews, integration requirements, and India-specific pricing research and a Go/Defer/Kill recommendation.",</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India SaaS expansion covering India pricing model, channel economics, and India ARR projections at Indian price points.",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"End-to-end India SaaS market entry covering pricing strategy, SI partner identification, and first-10-enterprise-contract milestone planning.",</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"Embedded India GTM team covering enterprise outbound, channel partner pipeline management, and first-ARR milestone tracking across sectors.",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India SaaS expansion with India-traction-validated market sizing and competitive landscape.",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for India SaaS — from Indian language support automation to India-specific GST compliance module development."</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horizontal SaaS or also with vertical industry SaaS entering India?|Both — we work with HR, finance, ERP, and CRM SaaS as well as vertical SaaS in healthcare, logistics, agriculture, and manufacturing.",</w:t>
      </w:r>
    </w:p>
    <w:p w:rsidR="005D1E1E"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"How long does an India SaaS market entry engagement take?|Typically 6–10 weeks for enterprise demand research, pricing strategy, and SI partner identification.",</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"What pricing model works best for India SaaS?|Usage-based and India-specific tier pricing consistently outperform direct translation of USD pricing — we develop the India pricing strategy as part of every engagement.",</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system integrator partners for SaaS companies in India?|Yes — SI and VAR partner identification are core parts of our India SaaS market entry service."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"keywords": "India SaaS market entry, India enterprise software GTM, SaaS India pricing strategy, India B2B software consulting, India SaaS advisory, India software market entry",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"regions": "Bengaluru, Mumbai, Delhi NCR, Hyderabad, Pune, Chennai",</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"stat1n": "$50B",</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"stat1l": "India SaaS market by 2030",</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30% annually as cloud adoption accelerates across BFSI, healthcare, retail, and manufacturing enterprise buyers.",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India SaaS mandate",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"stat2b": "Indian enterprise CIOs, IT directors, and procurement heads — every engagement grounded in direct primary research.",</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"stat3l": "India SaaS market entry strategy",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enterprise buyer research and India pricing analysis delivers India SaaS market entry strategies efficiently."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"slug": "gulf-fintech-market-entry",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"parent": "fintech-payments",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"title": "Gulf Fintech Market Entry Strategy | GreyRadius Consulting",</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fintech companies enter Gulf markets with market entry strategy, CBUAE and SAMA regulatory mapping, GTM execution, and partner identification across payments, lending, and wealthtech.",</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"h1": "Gulf fintech market entry strategy",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fintech product to Gulf financial consumer — strategy for fintech companies entering the GCC.",</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"hero": "The Gulf fintech market is one of the most commercially significant and fastest-developing in the world — combining high smartphone penetration, young digitally-native populations, governments actively building fintech regulatory frameworks, and significant unmet demand for digital financial services. CBUAE's regulatory sandbox, SAMA's fintech licensing framework, DIFC's fintech hub, and Bahrain's FinTech Bay are all creating structured pathways for international fintech companies to enter Gulf markets. GreyRadius helps fintech companies validate Gulf consumer and enterprise demand, navigate complex regulatory frameworks, identify the right partners, and execute Gulf market entry.",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"Gulf fintech regulation has matured significantly — the CBUAE retail payments regulation, Saudi Arabia's BNPL framework, and DIFC's digital assets regime are all now established, replacing regulatory uncertainty that previously slowed fintech investment. Companies entering Gulf fintech in 2024–2027 are entering into defined regulatory lanes rather than uncharted territory.",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"Gulf fintech market is projected to reach $5B in revenue by 2030 — growing at 25% annually as digital payments, lending, and wealthtech all scale across Saudi Arabia, UAE, and wider GCC.",</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"Saudi Arabia's fintech sector has grown from 10 companies in 2018 to 200+ licensed fintechs in 2024 — driven by SAMA's accelerated licensing and Vision 2030's financial inclusion targets.",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"Buy-now-pay-later has achieved rapid adoption across Gulf retail — Tamara, Tabby, and Postpay have collectively reached 10M+ users demonstrating Gulf consumer appetite for digital credit products.",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"Open banking regulation in UAE and Saudi Arabia is creating data infrastructure for next-generation fintech — account aggregation, PFM, and embedded finance are all becoming technically viable."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"Regulatory licensing varies across Gulf markets — CBUAE, SAMA, CBQ, and CBK all have different fintech licensing frameworks requiring market-by-market regulatory strategy.",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"Gulf consumers have high trust expectations — fintech companies entering the Gulf need credible local regulatory standing, not just a foreign licence, to win consumer confidence.",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"Local partner requirements persist in some categories — certain Gulf fintech licences require a local Emirati or Saudi shareholder, complicating entry structure.",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"Competition from well-funded Gulf fintechs and regional arms of global banks is intense across payments and lending categories."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"Gulf fintech demand validation|You need to validate Gulf consumer or enterprise demand for your fintech product including regulatory compliance posture and pricing requirements.",</w:t>
      </w:r>
    </w:p>
    <w:p w:rsidR="005D1E1E"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"CBUAE and SAMA regulatory pathway|You need to understand fintech licensing requirements, sandbox eligibility, and approval timelines in UAE and Saudi Arabia.",</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"Gulf fintech partner identification|You need local bank partners, payment infrastructure providers, and licensed distribution partners.",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"Gulf fintech GTM strategy|You need a UAE-first go-to-market plan with Saudi Arabia expansion sequencing adapted for Gulf financial consumer behaviour.",</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Gulf fintech|You need a pitch book grounded in Gulf market demand data and regulatory clarity narrative.",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"Open banking integration strategy|You need to understand how to integrate with CBUAE and SAMA open banking APIs to access financial data infrastructure."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"Validate Gulf consumer or enterprise demand for your fintech with consumer surveys, bank partnership mapping, regulatory analysis, and a Go/Defer/Kill recommendation.",</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Gulf fintech investment covering regulatory cost, partner economics, and investor-ready projections.",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"End-to-end Gulf fintech market entry covering regulatory pathway, bank partner identification, consumer GTM, and first-licensed-operation milestone.",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"Embedded Gulf fintech GTM team covering consumer acquisition, bank partnership pipeline, and first-revenue milestone tracking.",</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Gulf fintech with regulatory approval narrative, consumer demand data, and market sizing.",</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for Gulf fintech — from Arabic language financial advisory to Gulf-specific credit scoring models."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payments fintechs or also with lending, wealthtech, and insurtech companies entering the Gulf?|All categories across payments, lending, wealthtech, insurtech, and B2B fintech infrastructure.",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"Which Gulf fintech market should companies enter first?|UAE typically first — DIFC and ADGM provide accessible licensing and serve as proof points for Saudi Arabia entry.",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Gulf fintech market entry engagement take?|Typically 8–12 weeks for regulatory mapping, consumer demand research, and bank partner identification.",</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support CBUAE and SAMA regulatory sandbox applications?|We map eligibility requirements and prepare market analysis — formal applications are submitted by the company with Gulf regulatory counsel."</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"keywords": "Gulf fintech market entry, UAE fintech GTM strategy, Saudi Arabia fintech consulting, CBUAE regulatory pathway, Gulf financial services advisory, GCC fintech market entry",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"regions": "UAE — Dubai and Abu Dhabi, Saudi Arabia — Riyadh and Jeddah, Bahrain, Qatar",</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"stat1n": "$5B",</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"stat1l": "Gulf fintech revenue by 2030",</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25% annually as digital payments, lending, and wealthtech all scale across Saudi Arabia, UAE, and GCC.",</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Gulf fintech mandate",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"stat2b": "Gulf consumers, bank partnership heads, and CBUAE and SAMA regulatory specialists — every engagement grounded in direct primary research.",</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"stat3l": "Gulf fintech market entry strategy",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Gulf regulatory mapping and consumer demand research delivers Gulf fintech market entry strategies efficiently."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"slug": "africa-fmcg-market-entry",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"parent": "cpg-fmcg-retail",</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"title": "Africa FMCG Market Entry Strategy | GreyRadius Consulting",</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international FMCG brands enter Africa with market entry strategy, consumer research, distributor identification, and regulatory mapping across Nigeria, Kenya, Ghana, and South Africa.",</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"h1": "Africa FMCG market entry strategy",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brand to African shelf — strategy for consumer goods companies entering Africa.",</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"hero": "Africa's FMCG market is one of the world's most significant long-term consumer goods opportunities — with 1.4 billion people, the fastest-growing middle class globally, rapidly urbanising populations creating demand for packaged and branded goods, and a retail landscape transitioning from informal markets to modern trade. International food brands, personal care companies, household goods manufacturers, and consumer health businesses are all evaluating Africa market entry as the continent's consumer economy accelerates. GreyRadius helps FMCG companies validate African consumer demand, identify the right distributors, navigate regulatory requirements, and execute market launch across priority African markets.",</w:t>
      </w:r>
    </w:p>
    <w:p w:rsidR="005D1E1E"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"market_timing": "Africa's middle-class consumer goods adoption is at an inflection point — per-capita packaged food consumption, branded personal care, and consumer health product spending are all growing at 10–15% annually as incomes rise and urban populations expand. The FMCG brands establishing African distribution infrastructure in 2024–2027 will hold shelf position advantages that persist for decades.",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"Africa FMCG market is projected to reach $1T by 2030 — with packaged food, personal care, and household goods growing fastest as urbanisation and income growth drive branded product adoption.",</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"Nigeria and South Africa combined represent 45% of Sub-Saharan Africa's formal FMCG spending — making them the essential anchor markets for any serious Africa consumer goods strategy.",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"Africa's informal trade still accounts for 70%+ of FMCG volume in most markets — companies that build informal trade distribution capability alongside modern trade achieve national coverage faster.",</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"E-commerce FMCG is growing at 40%+ across urban Africa — Jumia, Kilimall, and WhatsApp commerce are creating digital distribution channels that supplement traditional trade."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"Distributor quality varies dramatically across African markets — the difference between a strong and weak African FMCG distributor is the single biggest determinant of market entry success or failure.",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"Regulatory requirements vary by country and product category — NAFDAC in Nigeria, KEBS in Kenya, SAHPRA in South Africa, and FDA Ghana all have different registration requirements and timelines.",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"Cold chain for temperature-sensitive products is underdeveloped in most markets — limiting the range of products that can be distributed effectively beyond major cities.",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"Currency risk across multiple African markets — Naira, Cedi, and other currency devaluations require financial structuring in each market."</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"Africa FMCG market prioritisation|You need to identify which African markets to enter first based on consumer demand, regulatory access, and distributor quality available.",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"Country-specific consumer demand validation|You need primary consumer research in each target market to validate product acceptance, price sensitivity, and channel preference.",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"Distributor identification and qualification|You need to identify and rigorously evaluate FMCG distributors with the right coverage, cold chain capability, and financial capacity.",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"Africa FMCG regulatory pathway|You need to understand product registration requirements across your target African markets for your specific product category.",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"Africa FMCG GTM strategy|You need a market-by-market launch plan covering distributor onboarding, retail listing, and consumer activation tailored to each market.",</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Africa FMCG|You need a pitch book grounded in Africa consumer demand data across multiple markets."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"Validate African consumer demand across priority markets with primary research and market-by-market Go/Defer/Kill recommendations.",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Africa FMCG investment covering distributor economics, regulatory cost, and multi-market projections.",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"End-to-end Africa FMCG market entry including distributor identification across target markets and first-distribution milestones per market.",</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"Embedded Africa GTM team covering distributor and retailer outreach and first-revenue milestone tracking across markets.",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Africa FMCG with consumer demand data from multiple markets and distribution economics.",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demand forecasting across diverse African markets to traditional trade distribution route optimisation."</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food and beverage FMCG or also with personal care and household goods companies?|All FMCG categories across food, beverage, personal care, household, and consumer health.",</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"Which African markets does GreyRadius prioritise for FMCG entry?|Nigeria, Kenya, South Africa, and Ghana as primary markets — with Ethiopia and Tanzania as secondary.",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Africa FMCG market entry engagement take?|Typically 8–12 weeks for multi-market consumer research and distributor identification.",</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introduce FMCG companies to qualified African distributors?|Yes — distributor identification and commercial introductions are core parts of our Africa FMCG service."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"keywords": "Africa FMCG market entry, Nigeria consumer goods GTM, Kenya FMCG consulting, Africa consumer products advisory, Africa retail market entry, Sub-Saharan FMCG strategy",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"regions": "Nigeria, Kenya, South Africa, Ghana, Ethiopia, Tanzania, Egypt",</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"stat1n": "$1T",</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"stat1l": "Africa FMCG market by 2030",</w:t>
      </w:r>
    </w:p>
    <w:p w:rsidR="005D1E1E"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"stat1b": "Packaged food, personal care, and household goods growing fastest as urbanisation and income growth drive branded product adoption.",</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Africa FMCG mandate",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"stat2b": "African consumers across markets, retail buyers, and FMCG distributors — every engagement grounded in direct primary research.",</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"stat3l": "Africa FMCG market entry strategy",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multi-market consumer demand mapping and distributor identification delivers Africa FMCG market entry strategies efficiently."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"slug": "india-d2c-market-entry",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"parent": "cpg-fmcg-retail",</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"title": "India D2C Brand Market Entry Strategy | GreyRadius",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international D2C brands enter India with market entry strategy, social commerce GTM, regulatory mapping, and fundraising support.",</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"h1": "India D2C brand market entry strategy",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D2C brand to Indian consumer — strategy for direct-to-consumer companies entering India.",</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"hero": "India's D2C ecosystem has produced dozens of unicorns — Mamaearth, boAt, Sugar Cosmetics, Licious, and dozens more — demonstrating that Indian consumers are willing to buy directly from brands online at premium prices when the product and digital experience are compelling. International D2C brands across beauty, health supplements, food and beverage, fashion, and home products are evaluating India as a high-growth D2C opportunity. GreyRadius helps international D2C brands validate Indian consumer demand, identify the right entry approach across Shopify, Amazon India, Meesho, and social commerce, execute GTM plans, and raise capital for India operations.",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"India's D2C market is growing at 35% annually — with Meesho, Myntra, Nykaa, and social commerce channels all creating distribution infrastructure that international D2C brands can access. India's digital payment infrastructure through UPI and the ONDC open commerce network are both making D2C economics progressively better for new entrants.",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"India's D2C market is projected to reach $60B by 2027 — growing at 35% annually as Tier 2 and Tier 3 city digital buyers join metro consumers in purchasing directly from brands.",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"Beauty and personal care is the largest Indian D2C category — Nykaa, Purplle, and Sugar Cosmetics have demonstrated extraordinary consumer willingness to pay premium for quality beauty products.",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"Meesho's reseller network of 15 million reaches Tier 2–4 city consumers that traditional e-commerce cannot access — creating a uniquely Indian D2C distribution channel for mass-market products.",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"Social commerce through Instagram, YouTube, and WhatsApp is driving D2C discovery and purchase in India — micro-influencer marketing with authentic product stories consistently outperforms performance marketing."</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"India D2C market is extremely competitive — thousands of funded Indian D2C brands compete in every category with deep cultural understanding and established local supply chains.",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"Returns rates in Indian e-commerce are high — COD payment preference drives 20–30% return rates in fashion and lifestyle that significantly affect unit economics for new entrants.",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"Consumer trust building takes time — Indian consumers research extensively before first purchase and rely heavily on reviews, influencer endorsement, and social proof before buying.",</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"Regulatory requirements for imported D2C products — FSSAI for food, BIS for electronics, and import duties all affect landed cost and market viability for international brands."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"India D2C consumer demand validation|You need to validate Indian consumer interest in your brand and product, price sensitivity, and preferred digital purchase channels.",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"India D2C market entry approach|You need to determine the right India entry channel mix — Amazon India, Nykaa, Myntra, own website, social commerce — for your product category.",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"Indian D2C GTM execution|You need a first-six-month India D2C plan covering influencer partnerships, platform activation, and first 1,000 orders milestone.",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"Regulatory and import pathway|You need to understand FSSAI, BIS, and import duty requirements for your product category in India.",</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India D2C|You need a pitch book grounded in India consumer demand data and D2C market sizing.",</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"India D2C platform and logistics partner identification|You need fulfilment, last-mile, and platform partners for India D2C operations."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"Validate Indian consumer demand for your D2C brand with consumer surveys, influencer landscape mapping, platform analysis, and a Go/Defer/Kill recommendation.",</w:t>
      </w:r>
    </w:p>
    <w:p w:rsidR="005D1E1E"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"Full financial feasibility for India D2C investment covering platform economics, return rates, and India-specific unit economics at Indian pricing.",</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"End-to-end India D2C market entry covering regulatory pathway, platform onboarding, influencer strategy, and first-1000-orders milestone.",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"Embedded India D2C GTM team covering consumer acquisition, influencer pipeline, and first-revenue milestone tracking.",</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India D2C investment with consumer demand data and India D2C market narrative.",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for India D2C — from Hindi language customer service to demand forecasting and personalised product recommendation."</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beauty D2C brands or also with food, health supplement, and fashion D2C companies entering India?|All D2C categories across beauty, health, food, fashion, and home.",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India D2C market entry engagement take?|Typically 6–10 weeks for consumer demand research, platform strategy, and influencer landscape mapping.",</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"What is the recommended first platform for international D2C brands entering India?|Amazon India for trust and reach, Nykaa for beauty, Myntra for fashion — depends on category. We develop the right platform mix as part of every engagement.",</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Indian influencer networks for D2C brands?|Yes — influencer network identification and initial partnership conversations are part of our India D2C market entry service."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"keywords": "India D2C market entry, India direct to consumer GTM, India D2C brand strategy, India ecommerce brand consulting, India D2C advisory, India social commerce market entry",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"regions": "India — Mumbai, Delhi, Bengaluru, Hyderabad plus Tier 2 cities via Meesho and social commerce",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"stat1n": "$60B",</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"stat1l": "India D2C market by 2027",</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35% annually — Tier 2 and 3 city digital buyers joining metro consumers in purchasing directly from brands online.",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India D2C mandate",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"stat2b": "Indian consumers, D2C platform managers, and influencer agencies — every engagement grounded in direct primary research.",</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"stat3l": "India D2C market entry strategy",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Indian consumer demand mapping and platform analysis delivers India D2C market entry strategies efficiently."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"slug": "gulf-education-market-entry",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"parent": "education-edtech",</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"title": "Gulf Education Market Entry Strategy | GreyRadius",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international education companies enter Gulf markets with market entry strategy, MoE regulatory mapping, school and university GTM, and partner identification.",</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"h1": "Gulf education market entry strategy",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education product to Gulf student — strategy for education companies entering the GCC.",</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"hero": "The Gulf education market is one of the world's most significant opportunities for international education companies — combining substantial government investment in education quality improvement, significant private school and university infrastructure, young populations driving enrolment growth, and governments actively seeking international education partnerships. International schools, university branch campuses, EdTech companies, professional training providers, and education technology businesses are all evaluating Gulf education market entry. GreyRadius helps education companies validate Gulf student and institutional demand, navigate MoE and sector regulatory requirements, identify the right partners, and execute market entry.",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"Saudi Arabia's Education Vision 2030 targets are creating unprecedented education investment — curriculum reform, private school expansion, and higher education quality improvement are all creating institutional education technology and service procurement. UAE's position as the Gulf's international education hub with 200+ curriculum nationalities continues driving premium education service demand across school and university segments.",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"Gulf education market is projected to reach $60B by 2028 — growing at 10% annually as population growth, Vision 2030 investment, and private school expansion all drive spending across the GCC.",</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"Saudi Arabia has 6 million K-12 students in private schools — and the government's Vision 2030 target of doubling private school enrolment is creating significant new school infrastructure and technology demand.",</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"UAE's knowledge economy strategy is driving higher education investment — with 70+ universities and 200+ school curricula, UAE has the most internationally diverse education market in the world.",</w:t>
      </w:r>
    </w:p>
    <w:p w:rsidR="005D1E1E"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"Gulf EdTech adoption is accelerating — smart classroom technology, AI tutoring, and school management platforms are all seeing growing procurement across private school networks in UAE and Saudi Arabia."</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"MoE curriculum approval is required for school content products — Ministry of Education approval in Saudi Arabia and UAE have different curriculum standards and approval timelines that can take 12–24 months.",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"Cultural sensitivity requirements are significant — education content must respect Islamic values and Gulf cultural norms across all materials and platform interfaces.",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"School owner and operator relationships are critical — Gulf private school ownership is concentrated among royal family members and large holding companies requiring senior-level relationship development.",</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"Gender segregation requirements affect school technology and service deployment in Saudi Arabia — single-gender school operations require product adaptation in design and delivery."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"Gulf education demand validation|You need to validate Gulf student, parent, and institutional demand for your education product including MoE compliance requirements and cultural fit.",</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"MoE regulatory and curriculum approval pathway|You need to understand Ministry of Education curriculum approval, school licensing, and EdTech platform certification requirements in UAE and Saudi Arabia.",</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"Gulf education partner identification|You need private school network owners, university operators, and education management companies as commercial partners.",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"Gulf education GTM strategy|You need a go-to-market plan covering private school networks, university procurement, and direct-to-student digital channels.",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Gulf education investment|You need a pitch book grounded in Gulf education market data and Vision 2030 education investment analysis.",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"Cultural and gender compliance strategy|You need a product adaptation strategy that meets Gulf cultural requirements across all education content and interfaces."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"Validate Gulf student and institutional demand for your education product with parent surveys, school administrator interviews, MoE mapping, and a Go/Defer/Kill recommendation.",</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Gulf education investment covering MoE compliance cost, school network economics, and investor-ready projections.",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"End-to-end Gulf education market entry covering MoE pathway, school network identification, and first-school-contract milestone.",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"Embedded Gulf education GTM team covering school network outreach and first-revenue milestone tracking.",</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Gulf education investment with Vision 2030 education narrative and school market sizing.",</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for Gulf education — from Arabic language AI tutoring to Gulf curriculum-aligned automated assessment."</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K-12 EdTech or also with higher education and professional training companies entering the Gulf?|All education categories including K-12, higher education, professional training, and EdTech platforms.",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"Which Gulf education markets does GreyRadius prioritise?|UAE and Saudi Arabia as primary markets — UAE for accessibility and Saudi Arabia for volume.",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Gulf education market entry engagement take?|Typically 8–12 weeks given MoE regulatory complexity and school network relationship mapping.",</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Gulf private school network owners and operators?|Yes — school network owner identification and initial commercial introductions are part of our Gulf education market entry service."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"keywords": "Gulf education market entry, UAE EdTech GTM strategy, Saudi Arabia education consulting, Gulf school technology advisory, GCC education market entry, Gulf university strategy",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"regions": "UAE — Dubai and Abu Dhabi, Saudi Arabia — Riyadh and Jeddah, Qatar, Kuwait",</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"stat1n": "$60B",</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"stat1l": "Gulf education market by 2028",</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10% annually as population growth, Vision 2030 investment, and private school expansion drive spending across GCC.",</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Gulf education mandate",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"stat2b": "Gulf parents, school administrators, and MoE officials — every engagement grounded in direct primary research.",</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"stat3l": "Gulf education market entry strategy",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MoE regulatory mapping and institutional demand research delivers Gulf education market entry strategies efficiently."</w:t>
      </w:r>
    </w:p>
    <w:p w:rsidR="005D1E1E"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"slug": "india-healthcare-infrastructure",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"parent": "healthcare-life-sciences",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"title": "India Healthcare Infrastructure Investment | GreyRadius",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healthcare infrastructure investors and operators enter India with market entry strategy, NMC regulatory mapping, partner identification, and fundraising for hospital and diagnostic investment.",</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"h1": "India healthcare infrastructure market entry strategy",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capital to commissioned healthcare facility — strategy for healthcare infrastructure investors entering India.",</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"hero": "India's healthcare infrastructure deficit is one of the most significant investment opportunities in global healthcare — with 1.4 billion people, less than 1 hospital bed per 1,000 population versus the WHO target of 3, and a government committed to expanding healthcare capacity through Ayushman Bharat and National Health Mission. International healthcare infrastructure investors, hospital operators, diagnostic chain developers, and healthcare real estate companies are all evaluating India as a healthcare infrastructure investment destination. GreyRadius helps businesses validate investment demand, navigate NMC and sector regulatory requirements, identify partners, and raise capital.",</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"India's government has committed $50B+ to healthcare infrastructure development under NHP 2022 — creating viability gap funding, land allocation, and regulatory fast-track programmes for private healthcare infrastructure investment. Medical tourism to India growing at 15% annually is creating additional revenue streams that improve healthcare infrastructure investment economics significantly.",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"India needs 3 million additional hospital beds by 2030 — representing a $150B+ healthcare infrastructure investment requirement that government alone cannot fund, creating significant private investment opportunity.",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"Tier 2 and 3 city healthcare infrastructure is severely underdeveloped — cities with populations of 500,000 to 2 million have negligible private hospital capacity creating first-mover opportunities for investors.",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"Diagnostic infrastructure is the fastest-growing healthcare investment category — the pathology and radiology market is growing at 15% annually driven by health insurance expansion and disease screening programmes.",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"India's Ayushman Bharat health insurance scheme covers 500 million people — creating guaranteed government payer revenue that significantly de-risks private healthcare infrastructure investment economics."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"Clinical regulatory compliance is complex — Clinical Establishment Act registration, NMC standards, and state health department licensing all require compliance before operations can commence.",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"Medical professional recruitment is challenging — specialist physicians are in short supply outside major metros and command premium compensation that affects healthcare facility economics significantly.",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"Land acquisition for healthcare facilities is complex — healthcare zone land in prime locations is expensive and competitive across major Indian cities requiring advance planning.",</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"Working capital requirements are significant — healthcare infrastructure investments have long payback periods and require substantial upfront capital before revenue generation begins."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"India healthcare infrastructure demand assessment|You need to validate patient demand, insurance payer coverage, and competitive landscape for your target healthcare facility type and location.",</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"Regulatory and licensing pathway|You need to understand Clinical Establishment Act registration, NMC compliance, and state health department requirements for healthcare facilities.",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"Healthcare real estate and location strategy|You need to identify the right Indian city, zone, and site for your healthcare infrastructure investment based on demand and competition.",</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"India healthcare partner identification|You need hospital operating partners, medical staff recruitment agencies, and healthcare management companies.",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India healthcare infrastructure|You need a pitch book grounded in India healthcare demand data and government payer revenue analysis.",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"Ayushman Bharat empanelment strategy|You need a strategy for empanelment with Ayushman Bharat to access government health insurance revenue for your facility."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"Validate patient demand and insurance payer coverage for your healthcare facility in a target Indian market with primary research and competitive analysis.",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India healthcare infrastructure investment covering demand modelling and Ayushman Bharat revenue.",</w:t>
      </w:r>
    </w:p>
    <w:p w:rsidR="005D1E1E"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"End-to-end India healthcare infrastructure market entry covering regulatory pathway, site identification, partner development, and first-patient milestone.",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"Embedded India healthcare GTM team covering patient acquisition, insurance empanelment, and revenue milestone tracking.",</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India healthcare infrastructure investment with government payer narrative.",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patient flow optimisation and clinical documentation to predictive maintenance for healthcare facility equipment."</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hospital investors or also with diagnostic chain and healthcare real estate investors entering India?|All healthcare infrastructure categories including hospitals, diagnostics, and healthcare real estate.",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India healthcare infrastructure engagement take?|Typically 10–14 weeks given regulatory complexity and site assessment requirements.",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Indian hospital operating partners?|Yes — hospital operating partner identification and initial commercial introductions are part of our India healthcare infrastructure service.",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"How does Ayushman Bharat empanelment affect healthcare infrastructure investment economics?|Ayushman Bharat creates a guaranteed government payer revenue floor — we model this impact in every India healthcare infrastructure feasibility study."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"keywords": "India healthcare infrastructure investment, India hospital market entry, India diagnostic chain consulting, India healthcare real estate advisory, India medical infrastructure strategy",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"regions": "India — Tier 2 and 3 cities including Patna, Lucknow, Bhopal, Indore, Coimbatore, Visakhapatnam",</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"stat1n": "3M",</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"stat1l": "Additional hospital beds India needs by 2030",</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"stat1b": "A $150B+ infrastructure investment requirement — Ayushman Bharat health insurance creating guaranteed government payer revenue that de-risks private investment.",</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India healthcare infrastructure mandate",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"stat2b": "Patients, hospital operators, and government health officials — every engagement grounded in direct primary research.",</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"stat3n": "10 weeks",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"stat3l": "India healthcare infrastructure strategy",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patient demand mapping and Ayushman Bharat empanelment analysis delivers India healthcare infrastructure strategies efficiently."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"slug": "gulf-real-estate-market-entry",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"parent": "proptech",</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"title": "Gulf Real Estate Market Entry Strategy | GreyRadius",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real estate developers, PropTech companies, and real estate service businesses enter Gulf markets with market entry strategy, RERA regulatory mapping, and partner identification.",</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"h1": "Gulf real estate market entry strategy",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real estate product to Gulf property transaction — strategy for real estate businesses entering the GCC.",</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"hero": "The Gulf real estate market is one of the world's most active — with Saudi Arabia's NEOM and Red Sea development creating $500B+ in new property investment, Dubai's continuous residential and commercial expansion, Abu Dhabi's Yas and Saadiyat island developments, and Qatar's post-World Cup asset repositioning all creating significant market entry opportunities for international real estate developers, PropTech companies, property service businesses, and real estate technology providers. GreyRadius helps real estate businesses validate Gulf property market demand, navigate RERA and sector regulatory requirements, identify partners, and execute entry.",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"Gulf real estate investment is at a multi-decade high — Riyadh, Dubai, and Abu Dhabi all hit record property transaction values in 2023. Saudi Arabia's housing programme targeting 70% home ownership by 2030 is creating demand for 1.5 million new housing units. The real estate companies establishing Gulf market positions in 2024–2027 will capture this sustained investment wave.",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"Gulf real estate transaction value exceeded $100B in 2023 — with Dubai, Riyadh, and Abu Dhabi all recording record volumes driven by international investor interest and strong domestic demand.",</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"Saudi Arabia's housing programme targets 1.5 million new units by 2030 — creating the world's largest single real estate development programme and significant opportunity for developers, PropTech, and contractors.",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"Dubai's golden visa programme has created sustained international demand for UAE real estate — high-net-worth investors from India, Russia, UK, and China continue driving premium residential demand.",</w:t>
      </w:r>
    </w:p>
    <w:p w:rsidR="005D1E1E"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"PropTech adoption in the Gulf is accelerating — digital property listings, virtual tours, AI property valuation, and digital mortgage platforms are all seeing rapid adoption from Gulf property buyers."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"Real estate regulatory frameworks vary across Gulf markets — RERA in UAE, RERA in Saudi Arabia as a separate body, and similar authorities in Qatar and Kuwait all have different licensing requirements.",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"Escrow and payment regulations for off-plan sales are strict — Gulf property regulations require developer escrow accounts and milestone-based payment release frameworks that must be complied with precisely.",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"Cultural and design preferences in Gulf real estate are specific — prayer space requirements, gender-segregated amenity areas, and Arabic architectural elements all require market-specific adaptation.",</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"Competition from established Gulf developers and international brands already present is intense across premium residential and commercial segments."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"Gulf real estate demand validation|You need to validate buyer demand for your real estate product including nationality profiles, price sensitivity, and preferred Gulf locations.",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"RERA and regulatory licensing pathway|You need to understand developer licensing, off-plan sales regulation, and broker registration requirements in each Gulf market.",</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"Gulf real estate partner identification|You need local developer joint venture partners, real estate agents, and property management companies.",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"Gulf PropTech GTM strategy|You have a property technology product and need a go-to-market strategy covering Gulf developer and agency buyer acquisition.",</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Gulf real estate|You need a pitch book grounded in Gulf property market data and transaction volume analysis.",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"Off-plan sales and investor relations strategy|You need a strategy for selling off-plan Gulf real estate to international and domestic investors."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"Validate Gulf property buyer demand with buyer surveys, RERA mapping, competitive analysis, and a Go/Defer/Kill recommendation.",</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Gulf real estate investment covering RERA compliance cost and development economics.",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"End-to-end Gulf real estate market entry covering regulatory pathway, partner identification, and first-transaction milestone.",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"Embedded Gulf real estate GTM team covering developer, agent, and investor outreach.",</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Gulf real estate with transaction volume data and regulatory framework narrative.",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for Gulf PropTech — from AI property valuation to Arabic language property advisory platforms."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real estate developers or also with PropTech and real estate service companies entering the Gulf?|All three categories.",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"Which Gulf real estate markets does GreyRadius prioritise?|Dubai and Riyadh as primary markets, Abu Dhabi and Doha as secondary.",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Gulf real estate market entry engagement take?|Typically 8–12 weeks for buyer research, RERA mapping, and partner identification.",</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Gulf real estate joint venture partners?|Yes."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"keywords": "Gulf real estate market entry, Dubai property GTM strategy, Saudi Arabia real estate consulting, Gulf PropTech advisory, GCC real estate market entry",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"regions": "Dubai, Abu Dhabi, Riyadh, Jeddah, Doha, NEOM",</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"stat1n": "$100B+",</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"stat1l": "Gulf real estate transaction value in 2023",</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"stat1b": "Dubai, Riyadh, and Abu Dhabi all recording record volumes — driven by Vision 2030 development and sustained international investor demand.",</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Gulf real estate mandate",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"stat2b": "Property buyers, developers, and RERA officials — every engagement grounded in direct primary research.",</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"stat3l": "Gulf real estate market entry strategy",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property buyer mapping and RERA regulatory research delivers Gulf real estate market entry strategies efficiently."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"slug": "southeast-asia-fintech-entry",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5D1E1E"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"parent": "fintech-payments",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"title": "Southeast Asia Fintech Market Entry Strategy | GreyRadius",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fintech companies enter Southeast Asia with market entry strategy, central bank regulatory mapping, mobile money integration, and partner identification across Indonesia, Vietnam, Philippines, and Thailand.",</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"h1": "Southeast Asia fintech market entry strategy",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fintech product to Southeast Asian financial consumer — strategy for fintech companies entering ASEAN.",</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"hero": "Southeast Asia's fintech market is one of the world's most dynamic — combining 400 million underbanked adults, rapidly developing regulatory frameworks, sophisticated super app distribution ecosystems, and governments actively promoting financial inclusion through technology. International fintech companies across payments, lending, insurance, and B2B financial services are all evaluating Southeast Asia market entry as the region's digital financial services ecosystem matures. GreyRadius helps fintech companies navigate ASEAN's regulatory diversity, identify the right local partners, and execute GTM strategies across priority Southeast Asian markets.",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"Southeast Asia fintech regulation is maturing rapidly — OJK in Indonesia, BSP in Philippines, BOT in Thailand, and BNM in Malaysia have all established clearer fintech licensing frameworks reducing regulatory uncertainty. The fintech companies establishing relationships with Southeast Asian banks, telcos, and super apps in 2024–2027 will capture the distribution relationships that define long-term market positions.",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"Southeast Asia fintech market is projected to reach $60B by 2025 — growing at 25% annually as digital payments, embedded lending, and insurtech all scale across ASEAN's 680 million consumers.",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"Indonesia is Southeast Asia's largest fintech opportunity — 270 million people with less than 50% formally banked and OJK's active fintech sandbox creating significant financial inclusion demand.",</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"GrabPay, GoPay, and Sea Money collectively serve 200M+ Southeast Asian consumers — creating super app distribution rails that fintech companies can integrate with for rapid scale.",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"Open banking and BNPL regulation across ASEAN is creating new fintech opportunities — Philippines BSP, Thai BOT, and Indonesian OJK are all establishing frameworks enabling next-generation fintech products."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"Regulatory licensing varies across each ASEAN market — Indonesia's OJK, Philippines' BSP, Thailand's BOT, and Malaysia's BNM all have different fintech licensing requirements creating multi-market compliance complexity.",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"Super app concentration creates platform dependency risk — reliance on Grab, Gojek, or Sea for distribution creates significant commercial leverage for the platform over fintech partners.",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"Consumer trust in digital financial products varies across markets — Philippines and Indonesia consumers have higher mobile money adoption while Vietnam is earlier stage requiring more consumer education.",</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"Currency risk across multiple ASEAN currencies affects fintech unit economics — multiple currency management adds operational and financial complexity to cross-border fintech operations."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"Southeast Asia fintech market prioritisation|You need to identify which ASEAN fintech markets offer the best combination of demand, regulatory access, and distribution opportunity for your product.",</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"Country-specific regulatory pathway|You need to understand OJK, BSP, BOT, and BNM licensing requirements for your fintech product in each target Southeast Asian market.",</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"Super app and bank partner identification|You need Grab, Gojek, Sea Money, and local bank partners as primary distribution channels for your fintech product.",</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"Southeast Asia fintech GTM strategy|You need a market-by-market plan covering consumer acquisition, partner distribution, and first-transaction milestones per market.",</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Southeast Asia fintech|You need a pitch book grounded in ASEAN fintech demand data and regulatory framework analysis.",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"Cross-border fintech architecture|You need a technology and operational architecture that works across multiple ASEAN regulatory environments simultaneously."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"Validate fintech consumer demand across priority Southeast Asian markets with primary research and regulatory mapping.",</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Southeast Asia fintech investment covering country-specific regulatory cost and partner economics.",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"End-to-end Southeast Asia fintech market entry including regulatory pathway and super app and bank partner identification.",</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"Embedded Southeast Asia fintech GTM team covering consumer acquisition and partner outreach across markets.",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Southeast Asia fintech with ASEAN market narrative and regulatory clarity story.",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alternative credit scoring using Southeast Asian mobile data to regional language financial advisory chatbots."</w:t>
      </w:r>
    </w:p>
    <w:p w:rsidR="005D1E1E"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payments fintechs or also with lending, insurance, and B2B fintech companies entering Southeast Asia?|All fintech categories.",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"Which Southeast Asian fintech markets does GreyRadius prioritise?|Indonesia and Philippines for volume, Singapore for premium positioning and regional hub establishment.",</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Southeast Asia fintech market entry engagement take?|Typically 8–12 weeks for multi-market regulatory mapping and consumer demand research.",</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super app and bank fintech partners in Southeast Asia?|Yes — super app partnership identification and initial commercial conversations are core parts of our Southeast Asia fintech service."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"keywords": "Southeast Asia fintech market entry, Indonesia fintech GTM strategy, Philippines fintech consulting, ASEAN fintech advisory, Southeast Asia digital payments market entry",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"regions": "Indonesia, Philippines, Vietnam, Thailand, Malaysia, Singapore",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"stat1n": "$60B",</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"stat1l": "Southeast Asia fintech market by 2025",</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25% annually as digital payments, embedded lending, and insurtech scale across ASEAN's 680 million consumers.",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Southeast Asia fintech mandate",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"stat2b": "Consumers, bank partnership heads, and central bank officials across ASEAN — every engagement grounded in direct primary research.",</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"stat3l": "Southeast Asia fintech market entry strategy",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ASEAN regulatory mapping and consumer demand research delivers Southeast Asia fintech market entry strategies efficiently."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"slug": "india-logistics-market-entry",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"parent": "logistics-supply-chain",</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"title": "India Logistics Market Entry Strategy | GreyRadius Consulting",</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international logistics companies, 3PL providers, and supply chain technology businesses enter India with market entry strategy, regulatory mapping, and partner identification.",</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"h1": "India logistics market entry strategy",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logistics product to Indian supply chain — strategy for logistics companies entering India.",</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"hero": "India's logistics market is undergoing a once-in-a-generation transformation — with the dedicated freight corridor network reducing intercity freight time by 60%, GST implementation creating a national logistics market where state border delays no longer exist, and e-commerce growth driving demand for urban last-mile and fulfilment infrastructure. International 3PL operators, logistics technology companies, supply chain software providers, and cold chain businesses are all evaluating India as a logistics investment destination. GreyRadius helps logistics companies validate Indian market demand, navigate regulatory requirements, identify partners, and execute entry.",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"India's logistics sector is growing at 12% annually and the government's PM Gati Shakti National Logistics Policy targets reducing logistics cost from 13% of GDP to 8% by 2030 — creating significant technology and service procurement to achieve this target. The dedicated freight corridors becoming operational in 2024–2026 are transforming the economics of Indian intercity logistics permanently.",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"India's logistics market is projected to reach $380B by 2027 — growing at 12% annually as e-commerce, manufacturing PLI investment, and cold chain infrastructure development all drive demand.",</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"India's dedicated freight corridor network — 3,500 km operational by 2026 — is transforming rail freight economics and creating new multimodal logistics opportunities across the country.",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"Cold chain logistics is growing at 15% annually — pharmaceutical distribution, fresh food, and dairy all driving significant cold chain infrastructure investment demand across India.",</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"India's 3PL market is growing at 20% annually as e-commerce platforms and manufacturers outsource warehousing and fulfilment to specialist 3PL operators."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"India's logistics market is fragmented — thousands of small trucking operators, fragmented warehousing, and limited interoperability create operational complexity for international 3PL operators.",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"Land acquisition for large logistics facilities is expensive — prime logistics real estate near highways and ports in major metros commands significant premiums requiring advance site planning.",</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"GST compliance for multi-state logistics operations is complex — interstate logistics requires GST invoicing, e-way bills, and reconciliation across multiple state tax frameworks simultaneously.",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"Labour relations in logistics can be challenging — unionised port and warehouse labour in some markets requires careful advance management and stakeholder planning."</w:t>
      </w:r>
    </w:p>
    <w:p w:rsidR="005D1E1E"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"India logistics market demand validation|You need to validate demand from Indian e-commerce companies, manufacturers, and retailers for your logistics service or supply chain technology.",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"Regulatory and compliance pathway|You need to understand GST logistics compliance, vehicle fitness regulations, and warehousing licensing requirements across Indian states.",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"India logistics partner identification|You need Indian 3PL partners, first-mile transport operators, and Grade A warehouse infrastructure partners.",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"India logistics GTM strategy|You need a go-to-market plan covering enterprise shipper acquisition and supply chain technology deployment across sectors.",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India logistics investment|You need a pitch book grounded in India logistics market data and PM Gati Shakti investment analysis.",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"PM Gati Shakti programme access|You need to understand government logistics infrastructure investment programmes and how to access procurement opportunities."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"Validate Indian shipper and enterprise demand for your logistics service or technology with primary research across sectors.",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India logistics investment covering demand modelling, DFC impact, and investor-ready projections.",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"End-to-end India logistics market entry including partner identification and first-client contract milestone.",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"Embedded India logistics GTM team covering shipper outreach and first-revenue milestone tracking.",</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India logistics investment with PM Gati Shakti narrative and DFC opportunity analysis.",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route optimisation leveraging DFC infrastructure to warehouse automation and predictive demand forecasting."</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3PL operators or also with logistics technology and cold chain companies entering India?|All logistics categories including 3PL, last-mile, cold chain, and supply chain technology.",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India logistics market entry engagement take?|Typically 8–10 weeks for shipper demand research and regulatory compliance mapping.",</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Indian logistics partners and Grade A warehouse operators?|Yes — partner identification across logistics segments is part of our India logistics market entry service.",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"How does India's dedicated freight corridor affect logistics market entry strategy?|The DFC significantly improves rail freight economics creating new intermodal opportunities — we model DFC impact in every India logistics feasibility assessment."</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"keywords": "India logistics market entry, India 3PL GTM strategy, India supply chain consulting, India logistics advisory, India cold chain market entry, India freight strategy",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"regions": "India — Mumbai, Delhi NCR, Bengaluru, Chennai, Hyderabad, Pune, Kolkata, Dedicated Freight Corridors",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"stat1n": "$380B",</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"stat1l": "India logistics market by 2027",</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12% annually as e-commerce, PLI manufacturing investment, and cold chain infrastructure development all drive demand.",</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India logistics mandate",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"stat2b": "Indian shippers, 3PL operators, and government logistics officials — every engagement grounded in direct primary research.",</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"stat3l": "India logistics market entry strategy",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DFC programme mapping and shipper demand research delivers India logistics market entry strategies efficiently."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"slug": "gulf-logistics-market-entry",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"parent": "logistics-supply-chain",</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"title": "Gulf Logistics Market Entry Strategy | GreyRadius Consulting",</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international logistics companies enter Gulf markets with market entry strategy, regulatory mapping, free zone identification, and partner identification across UAE, Saudi Arabia, and Oman.",</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"h1": "Gulf logistics market entry strategy",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logistics operation to Gulf supply chain contract — strategy for logistics companies entering the GCC.",</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"hero": "The Gulf is one of the world's most significant logistics hubs — with Jebel Ali the world's ninth-busiest container port, Dubai International Airport the world's busiest for </w:t>
      </w:r>
      <w:r>
        <w:rPr>
          <w:rFonts w:ascii="Courier New" w:eastAsia="Courier New" w:hAnsi="Courier New" w:cs="Courier New"/>
          <w:color w:val="1B2A4A"/>
          <w:sz w:val="16"/>
          <w:szCs w:val="16"/>
        </w:rPr>
        <w:lastRenderedPageBreak/>
        <w:t>international freight, Saudi Arabia's NEOM logistics city and Vision 2030 infrastructure investment, and Oman's Duqm port creating new logistics infrastructure at scale. International 3PL operators, cold chain logistics companies, freight forwarding businesses, and logistics technology providers are all evaluating Gulf market entry as GCC trade volumes grow and logistics infrastructure expands. GreyRadius helps logistics companies validate Gulf demand, navigate free zone and regulatory requirements, identify partners, and execute entry.",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"Gulf logistics investment is at an all-time high — Saudi Arabia's National Transport and Logistics Strategy, UAE's National Logistics Strategy, and Oman's port development programmes are all creating procurement opportunities for logistics service and technology companies. GCC e-commerce growth at 25% annually is driving demand for last-mile and fulfilment logistics infrastructure across UAE and Saudi Arabia.",</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"Gulf logistics market is projected to reach $100B by 2028 — driven by e-commerce growth, NEOM construction logistics, and regional trade hub development across GCC.",</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"Jebel Ali free zone handles 33% of UAE's non-oil GDP and serves as the logistics hub for the entire Middle East, Africa, and South Asia region creating significant throughput demand.",</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"Saudi Arabia's NEOM logistics city will be the world's largest purpose-built logistics infrastructure — creating significant procurement for logistics technology, cold chain, and 3PL services.",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"Gulf cold chain logistics is growing at 15% annually — pharmaceutical distribution, food imports, and fresh produce logistics all driving significant cold chain infrastructure demand."</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"Free zone versus mainland logistics operation has significant implications — free zone logistics operators serve imports and exports efficiently but mainland distribution requires a separate UAE LLC structure.",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"ICV and Saudisation requirements apply to logistics operations — minimum local employment thresholds affect staffing cost structures for logistics operators in Saudi Arabia significantly.",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"Customs and trade documentation requirements are complex across GCC markets — each country has different clearance procedures and documentation standards requiring specialist expertise.",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"Competition from established global logistics operators — DHL, Agility, Aramex, and regional operators — is intense across all logistics service categories in Gulf markets."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"Gulf logistics demand validation|You need to validate Gulf shipper and enterprise demand for your logistics service or technology product.",</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"Free zone versus mainland structure decision|You need to determine the right Gulf logistics operational structure for your service model before investing in establishment.",</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"Gulf logistics partner identification|You need UAE and Saudi Arabia logistics partners, customs brokers, and last-mile distribution operators.",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"Gulf logistics GTM strategy|You need a UAE-first go-to-market plan with Saudi Arabia expansion for your specific logistics service category.",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Gulf logistics investment|You need a pitch book grounded in Gulf logistics demand data and Vision 2030 investment narrative.",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"NEOM and Vision 2030 logistics programme access|You need to understand how to access Vision 2030 logistics infrastructure procurement and NEOM supplier qualification."</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"Validate Gulf shipper demand for your logistics service or technology with primary research across sectors.",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Gulf logistics investment covering free zone structure costs and ICV compliance economics.",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"End-to-end Gulf logistics market entry including free zone structure navigation and partner identification.",</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"Embedded Gulf logistics GTM team covering shipper outreach and first-revenue milestone tracking.",</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Gulf logistics investment with Vision 2030 programme narrative.",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Gulf port route optimisation to Vision 2030 logistics compliance monitoring."</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3PL operators or also with freight technology and cold chain companies entering the Gulf?|All logistics categories including 3PL, freight forwarding, cold chain, and logistics technology.",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"Which Gulf logistics markets does GreyRadius prioritise?|UAE first — Jebel Ali and Dubai serve as the natural Gulf logistics hub — then Saudi Arabia for Vision 2030 procurement scale.",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Gulf logistics market entry engagement take?|Typically 8–10 weeks for shipper demand research and free zone structure analysis.",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Gulf logistics partners and customs brokers?|Yes — partner identification across the Gulf logistics ecosystem is core to our service."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"keywords": "Gulf logistics market entry, UAE logistics GTM strategy, Saudi Arabia supply chain consulting, Gulf 3PL advisory, GCC logistics market entry, Gulf freight strategy",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"regions": "Dubai — Jebel Ali, Abu Dhabi, Riyadh, Jeddah, Duqm, NEOM",</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"stat1n": "$100B",</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"stat1l": "Gulf logistics market by 2028",</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"stat1b": "Driven by e-commerce growth, NEOM construction logistics, and the Gulf's role as the world's most strategically located trade hub.",</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Gulf logistics mandate",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"stat2b": "Gulf shippers, logistics operators, and free zone officials — every engagement grounded in direct primary research.",</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"stat3l": "Gulf logistics market entry strategy",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Vision 2030 programme mapping and shipper demand research delivers Gulf logistics market entry strategies efficiently."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"slug": "india-energy-market-entry",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"parent": "renewable-energy",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"title": "India Energy &amp; Cleantech Market Entry Strategy | GreyRadius",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energy and cleantech companies enter India with market entry strategy, regulatory mapping, government programme identification, and partner identification across solar, wind, storage, and EV.",</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"h1": "India energy and cleantech market entry strategy",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energy technology to Indian deployment — strategy for energy companies entering India.",</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"hero": "India is the world's most significant energy transition market — with a 500 GW renewable energy target by 2030, the world's largest solar expansion programme, $50B+ in annual clean energy investment, and a government using Production Linked Incentives to build domestic clean energy manufacturing capacity. International solar manufacturers, wind turbine companies, energy storage providers, EV technology businesses, and cleantech companies are all evaluating India as both a market and a manufacturing destination. GreyRadius helps energy companies validate Indian market demand, identify the right government programmes, navigate regulatory requirements, and execute market entry.",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"India's renewable energy auction pipeline is the world's most active — 50 GW of solar and wind capacity is being tendered annually, creating procurement demand for equipment, services, and technology. The PLI scheme for solar modules and battery storage is creating manufacturing investment windows that have time-limited application deadlines in 2024–2026.",</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"India's renewable energy market is growing at 25% annually — 500 GW target by 2030 creating the world's most active clean energy procurement market for technology and service companies.",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"India's solar market installed 18 GW in 2023 — making it the world's third-largest solar market and creating significant equipment and service demand across the value chain.",</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"India's EV market is growing at 50% annually — government FAME subsidies, PLI for battery manufacturing, and rising fuel costs are all accelerating electric vehicle adoption across all segments.",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"India's green hydrogen mission targets 5 MTPA production by 2030 — creating the world's most significant electrolyser and fuel cell procurement programme for international technology companies."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"Domestic content requirements affect imported energy technology — the domestic content requirement for government solar tenders significantly restricts foreign equipment access in public sector renewable projects.",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"Payment risk from state electricity distribution companies remains a challenge — DISCOM financial health varies significantly affecting bankability of power purchase agreements across states.",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"Grid connectivity timelines are slow — transmission infrastructure development lags renewable energy installation creating curtailment risk that affects project economics.",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"Land acquisition for large renewable projects is complex — multi-stakeholder land ownership structures and state-specific acquisition processes create development risk and timeline uncertainty."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"India energy market demand validation|You need to validate procurement demand for your energy technology across government tenders, private sector, and distributed energy segments.",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"PLI scheme and government programme access|You need to understand PLI eligibility, application requirements, and sector-specific incentive programmes for your energy technology.",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"India energy partner identification|You need Indian EPC contractors, project developers, and government utilities as commercial partners.",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"India energy GTM strategy|You need a go-to-market plan covering government tender participation, private sector sales, and rooftop distribution channels.",</w:t>
      </w:r>
    </w:p>
    <w:p w:rsidR="005D1E1E"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"Raising capital for India energy investment|You need a pitch book grounded in India renewable energy market data and government commitment analysis.",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"DISCOM and grid infrastructure assessment|You need an assessment of DISCOM financial health and grid connectivity timelines in your target Indian states."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"Validate India energy technology demand across government and private sector procurement channels with primary research.",</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India energy investment including PLI incentive modelling and DISCOM risk assessment.",</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"End-to-end India energy market entry including government programme identification and EPC partner development.",</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"Embedded India energy GTM team covering tender participation and private sector enterprise outreach.",</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India energy investment with government commitment narrative.",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grid management optimisation to solar yield prediction and EV fleet management software."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solar companies or also with wind, storage, and EV technology companies entering India?|All clean energy technology categories across solar, wind, storage, hydrogen, and EV.",</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India energy market entry engagement take?|Typically 8–12 weeks for government programme mapping, private sector demand research, and partner identification.",</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Indian EPC and project developer partners?|Yes — EPC and project developer partner identification are core to our India energy market entry service.",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"How does India's domestic content requirement affect market entry strategy for foreign equipment manufacturers?|DCR restricts government tender access for foreign equipment — we develop India manufacturing or local partner strategies that comply with DCR as part of every engagement."</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"keywords": "India energy market entry, India solar GTM strategy, India cleantech consulting, India renewable energy advisory, India EV market entry, India green energy strategy",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"regions": "India — Rajasthan, Gujarat, Tamil Nadu, Andhra Pradesh, Karnataka for renewable; Mumbai and Delhi for EV",</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"stat1n": "500 GW",</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"stat1l": "India renewable energy target by 2030",</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"stat1b": "World's most active clean energy procurement market — 50 GW tendered annually creating sustained equipment and technology demand.",</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India energy mandate",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"stat2b": "Energy procurers, project developers, and government programme officials — every engagement grounded in direct primary research.",</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"stat3l": "India energy market entry strategy",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government programme mapping and procurement demand research delivers India energy market entry strategies efficiently."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"slug": "africa-technology-market-entry",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"parent": "technology",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"title": "Africa Technology Market Entry Strategy | GreyRadius",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technology companies enter Africa with market entry strategy, regulatory mapping, GTM execution, and partner identification across Nigeria, Kenya, South Africa, and Egypt.",</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"h1": "Africa technology market entry strategy",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technology product to African enterprise — strategy for tech companies entering Africa.",</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"hero": "Africa's technology market is one of the most dynamic and underserved in the world — with 1.4 billion people, rapidly growing mobile and internet infrastructure, a young technology-literate population, and enterprise technology adoption accelerating from a low base across BFSI, retail, healthcare, agriculture, and government. International technology companies across enterprise software, cloud infrastructure, cybersecurity, AI platforms, and telecommunications technology are all evaluating Africa market entry. GreyRadius helps technology companies validate African enterprise and government demand, navigate regulatory requirements, identify the right distribution partners, and execute market entry.",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"Africa's technology adoption is accelerating at its fastest pace ever — mobile penetration has reached 80%+, enterprise cloud migration is gaining momentum across large corporations, and governments are investing in digital infrastructure. The technology companies establishing African enterprise relationships in 2024–2027 will capture the multi-year contract value that compounds as African digital economies mature.",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5D1E1E"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"Africa's technology market is projected to reach $180B by 2028 — growing at 15% annually as enterprise cloud adoption, government digitalisation, and mobile technology infrastructure all scale.",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"Nigeria's fintech and technology ecosystem is Africa's most active — Lagos is home to 400+ funded technology companies and a growing enterprise technology buyer community willing to invest in solutions.",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"South Africa has Africa's most sophisticated enterprise technology market — well-funded corporates, established technology reseller networks, and mature cloud infrastructure create a ready first-market for enterprise tech.",</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"East Africa's technology ecosystem centred in Nairobi is growing rapidly — M-Pesa's infrastructure, government digitalisation, and a strong startup ecosystem are all creating enterprise technology demand."</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"Market diversity across Africa requires country-by-country strategy — technology that succeeds in South Africa may require significant adaptation for Nigeria or Kenya given different infrastructure and buyer profiles.",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"Enterprise technology budgets in Africa are smaller than comparable companies in developed markets — pricing strategy must reflect African enterprise economics to achieve adoption.",</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"Technology reseller and partner networks vary in quality across African markets — finding African technology partners with genuine enterprise relationships and technical capability requires rigorous selection.",</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"Infrastructure limitations affect cloud and SaaS deployment — connectivity reliability, power outages, and data sovereignty regulations all affect technology architecture decisions for African deployments."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"Africa technology market prioritisation|You need to identify which African markets offer the best enterprise technology demand for your specific product category.",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"Enterprise buyer demand validation|You need to validate African enterprise and government demand for your technology product with primary research.",</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"African technology partner identification|You need qualified resellers, system integrators, and technology consultants as channel partners in each target market.",</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"Africa technology GTM strategy|You need a country-by-country enterprise acquisition plan adapted for African technology buyer behaviour and procurement processes.",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Africa technology investment|You need a pitch book grounded in Africa enterprise technology demand data across target markets.",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"Government technology programme access|You need to identify African government digitalisation programmes as institutional procurement opportunities."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"Validate African enterprise demand for your technology product across priority markets with primary research.",</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Africa technology investment covering country-specific market economics.",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"End-to-end Africa technology market entry including channel partner identification and first-enterprise-contract milestone.",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"Embedded Africa technology GTM team covering enterprise and government outreach across markets.",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Africa technology investment with enterprise demand data narrative.",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AI solutions adapted for African infrastructure constraints to local language enterprise interfaces."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enterprise software companies or also with cloud, cybersecurity, and AI companies entering Africa?|All technology categories.",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"Which African markets does GreyRadius prioritise for technology?|Nigeria, South Africa, Kenya, and Egypt as primary markets covering West, Southern, East, and North Africa.",</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Africa technology market entry engagement take?|Typically 8–12 weeks for multi-market demand research and partner identification.",</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African technology resellers and system integrators?|Yes — technology reseller and SI partner identification are core to our Africa technology market entry service."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"keywords": "Africa technology market entry, Nigeria tech GTM strategy, Kenya enterprise software consulting, Africa IT advisory, Africa cloud market entry, Sub-Saharan technology strategy",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"regions": "Nigeria, South Africa, Kenya, Egypt, Ghana, Ethiopia",</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"stat1n": "$180B",</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"stat1l": "Africa technology market by 2028",</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15% annually as enterprise cloud adoption, government digitalisation, and mobile technology infrastructure all scale.",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5D1E1E"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"stat2l": "Primary interviews per Africa technology mandate",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"stat2b": "African enterprise CIOs, government technology officials, and reseller partners — every engagement grounded in direct primary research.",</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"stat3l": "Africa technology market entry strategy",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enterprise demand mapping and partner identification delivers Africa technology market entry strategies efficiently."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"slug": "india-real-estate-market-entry",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"parent": "proptech",</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"title": "India Real Estate Market Entry Strategy | GreyRadius",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international real estate developers, PropTech companies, and real estate service businesses enter India with market entry strategy, RERA regulatory mapping, and partner identification.",</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"h1": "India real estate market entry strategy",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real estate product to Indian property transaction — strategy for real estate companies entering India.",</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"hero": "India's real estate market is one of the world's largest and fastest-growing — with a housing shortage of 18 million units, rapid urbanisation creating first-time homebuyer demand, commercial real estate expansion driven by technology and manufacturing investment, and a PropTech ecosystem transforming how Indian property is discovered, transacted, and managed. International real estate developers, PropTech companies, construction technology businesses, and real estate service providers are all evaluating India market entry. GreyRadius helps real estate companies validate Indian market demand, navigate RERA and regulatory requirements, identify partners, and execute entry.",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"India's housing market is in a sustained upcycle — affordable housing demand from India's growing middle class, luxury housing demand from HNW investors, and commercial real estate demand from technology and manufacturing expansion are all simultaneously strong. The RERA framework has significantly improved real estate project transparency, increasing investor confidence in Indian real estate development.",</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"India's real estate market is projected to reach $1T by 2030 — with residential, commercial, logistics, and data centre real estate all growing significantly across major Indian cities.",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"India's housing shortage of 18 million units represents the world's largest addressable residential real estate investment opportunity for developers and investors.",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"PropTech adoption in India is accelerating — NoBroker, Housing.com, and Square Yards have demonstrated the commercial viability of technology-driven real estate services in the Indian market.",</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"India's commercial real estate is growing at 12% annually — technology company office expansion, manufacturing facility development, and warehousing growth all driving Grade A commercial demand."</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"RERA compliance requirements vary across Indian states — Real Estate Regulatory Authority registration requirements, project disclosures, and escrow obligations differ across 30+ state RERA bodies significantly.",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"Land titling and acquisition is complex — unclear land titles, multiple owner structures, and acquisition processes require specialised legal expertise in each state.",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"Construction quality standards and delivery timelines are challenges — finding reliable construction partners that maintain quality and timeline commitments is critical for successful real estate development in India.",</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"Foreign investment restrictions apply in some real estate categories — FEMA regulations restrict foreign investment in certain residential real estate structures requiring careful legal structuring in advance."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"India real estate market demand validation|You need to validate residential buyer, commercial tenant, or investor demand for your real estate product in a target Indian market.",</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"RERA and regulatory pathway|You need to understand state-specific RERA requirements, FEMA real estate regulations, and foreign investment structuring options.",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"India real estate partner identification|You need Indian developer joint venture partners, construction companies, and experienced real estate agents across target cities.",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"India PropTech GTM strategy|You have a property technology product and need a go-to-market strategy covering developer and agency buyer acquisition.",</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India real estate investment|You need a pitch book grounded in India property market data and investment thesis.",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"State selection and city strategy|You need to identify the right Indian state and city for your real estate investment based on demand, regulatory environment, and competition."</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5D1E1E"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"Validate Indian real estate demand in target cities and segments with primary research covering buyers, tenants, and investors.",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India real estate investment covering RERA compliance cost and investment returns.",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"End-to-end India real estate market entry covering RERA pathway, partner identification, and first-project milestone.",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"Embedded India real estate GTM team covering developer and agent outreach.",</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India real estate investment with market data and RERA framework narrative.",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for India PropTech — from AI property valuation to Hindi language property advisory chatbots."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real estate developers or also with PropTech and real estate service companies entering India?|All three categories.",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"Which Indian cities does GreyRadius prioritise for real estate investment?|Mumbai, Bengaluru, Delhi NCR, and Hyderabad for commercial; Mumbai and NCR for luxury residential; Tier 2 cities for affordable housing.",</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India real estate market entry engagement take?|Typically 8–12 weeks for demand validation, RERA mapping, and partner identification.",</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Indian real estate JV partners?|Yes — developer JV partner identification and initial commercial introductions are part of our India real estate market entry service."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"keywords": "India real estate market entry, India PropTech GTM strategy, India property consulting, RERA regulatory advisory, India real estate investment, India housing market entry",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"regions": "Mumbai, Delhi NCR, Bengaluru, Hyderabad, Pune, Chennai, Tier 2 cities",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"stat1n": "$1T",</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"stat1l": "India real estate market by 2030",</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"stat1b": "18 million unit housing shortage representing the world's largest residential investment opportunity — commercial real estate growing at 12% annually.",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India real estate mandate",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"stat2b": "Property buyers, developers, and RERA officials — every engagement grounded in direct primary research.",</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"stat3l": "India real estate market entry strategy",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RERA regulatory mapping and property demand research delivers India real estate market entry strategies efficiently."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"slug": "gulf-energy-transition",</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"parent": "renewable-energy",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"title": "Gulf Energy Transition Market Entry Strategy | GreyRadius",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clean energy and energy transition companies enter Gulf markets with market entry strategy, NOC partnership identification, government programme access, and fundraising.",</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"h1": "Gulf energy transition market entry strategy",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clean energy technology to Gulf deployment — strategy for energy transition companies entering the GCC.",</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"hero": "The Gulf's energy transition is one of the world's most significant commercial opportunities — with Saudi Arabia targeting 50% renewable energy by 2030, UAE's IRENA and COP28 net-zero commitments, and Qatar's LNG decarbonisation programme all creating unprecedented procurement for solar, wind, green hydrogen, carbon capture, and energy efficiency technology. International clean energy companies are entering the Gulf as NOCs and government utilities simultaneously continue oil and gas production while investing in clean energy alternatives at scale. GreyRadius helps energy transition companies validate Gulf demand, navigate NOC and government procurement, identify partners, and raise capital.",</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"Gulf clean energy auction programmes are the world's most commercially attractive — Saudi Arabia's NEOM green hydrogen project, UAE's clean energy projects with ACWA Power, and Abu Dhabi's Masdar are all creating project award opportunities. The Saudi Green Initiative and UAE Net Zero 2050 commitments have created policy mandates that guarantee long-term clean energy procurement at scale.",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"Gulf clean energy investment is projected to exceed $250B through 2030 — Saudi Arabia, UAE, and Qatar collectively committing the world's largest per-capita clean energy investment programme.",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"Saudi Arabia's NEOM green hydrogen project will produce 4 GW of green hydrogen — making it the world's largest green hydrogen installation and creating enormous technology and service procurement.",</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"UAE's clean energy capacity target of 44% by 2050 requires adding 44 GW of renewable capacity — creating sustained solar, wind, and storage technology procurement over the coming decades.",</w:t>
      </w:r>
    </w:p>
    <w:p w:rsidR="005D1E1E"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"Gulf NOCs are investing in carbon capture and hydrogen — Aramco, ADNOC, and QatarEnergy are all deploying significant capital in energy transition technology as part of lower-carbon strategies."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"Gulf clean energy procurement is dominated by large utility-scale projects — small and medium clean energy technology companies need a project developer or EPC contractor partner to access tender opportunities.",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"NOC technology procurement requires supplier qualification — suppliers to Saudi Aramco, ADNOC, and QatarEnergy must be registered and qualified in their vendor databases before commercial engagement.",</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"ICV requirements apply to Gulf clean energy projects — localisation obligations require technology companies to establish in-country manufacturing or assembly to qualify for large project awards.",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"Competition from Chinese clean energy equipment manufacturers is intense — Huawei, Longi, and CATL all compete aggressively on price for Gulf clean energy equipment procurement."</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"Gulf clean energy demand validation|You need to validate procurement demand for your clean energy technology across government utility and NOC programmes in target Gulf markets.",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"NOC vendor qualification and programme access|You need to navigate Saudi Aramco, ADNOC, and QatarEnergy vendor registration and qualification processes.",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"Gulf energy project developer and EPC partner identification|You need ACWA Power, Masdar, and local EPC contractor partners for project-based Gulf market access.",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"Gulf energy transition GTM strategy|You need a go-to-market plan covering government utility, NOC, and private sector clean energy procurement channels.",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Gulf clean energy investment|You need a pitch book grounded in Gulf clean energy market data and project pipeline analysis.",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"ICV and localisation strategy|You need an in-country value strategy that meets Gulf project award requirements for clean energy technology."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"Validate Gulf clean energy procurement demand across utility, NOC, and private sector channels with primary research.",</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Gulf clean energy investment including ICV compliance cost modelling and project economics.",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"End-to-end Gulf energy transition market entry including NOC qualification process and project developer partner identification.",</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"Embedded Gulf clean energy GTM team covering utility and NOC outreach.",</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Gulf clean energy with project pipeline narrative and NOC demand analysis.",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solar yield optimisation in Gulf climate conditions to carbon capture process monitoring and reporting."</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solar companies or also with wind, hydrogen, and carbon capture companies in the Gulf?|All clean energy categories including solar, wind, green hydrogen, carbon capture, and energy efficiency.",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Gulf energy transition market entry engagement take?|Typically 8–12 weeks for NOC programme mapping, government demand research, and project developer identification.",</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support NOC vendor qualification for clean energy companies?|We map qualification requirements and prepare commercial documentation — formal submissions are made by the company with their Gulf commercial team.",</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"How does ICV affect clean energy market entry in the Gulf?|ICV requirements typically require 30–40% local content for large projects — we develop the localisation strategy as part of every Gulf clean energy engagement."</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"keywords": "Gulf energy transition market entry, Saudi Arabia clean energy GTM strategy, UAE renewable energy consulting, Gulf green hydrogen advisory, GCC clean energy market entry, Gulf solar strategy",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"regions": "Saudi Arabia — NEOM and Riyadh, UAE — Abu Dhabi and Dubai, Qatar, Oman",</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"stat1n": "$250B+",</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"stat1l": "Gulf clean energy investment through 2030",</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"stat1b": "World's largest per-capita clean energy investment programme — Saudi Arabia, UAE, and Qatar creating unprecedented technology procurement.",</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Gulf energy transition mandate",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"stat2b": "Government utility procurement heads, NOC technology teams, and project developers — every engagement grounded in direct primary research.",</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"stat3l": "Gulf energy transition market entry strategy",</w:t>
      </w:r>
    </w:p>
    <w:p w:rsidR="005D1E1E"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"stat3b": "AI-augmented NOC qualification mapping and government programme research delivers Gulf energy transition market entry strategies efficiently."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"slug": "india-cybersecurity-market-entry",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"parent": "cybersecurity",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"title": "India Cybersecurity Market Entry Strategy | GreyRadius",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cybersecurity companies enter India with market entry strategy, CERT-In regulatory mapping, enterprise buyer research, and channel partner identification.",</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"h1": "India cybersecurity market entry strategy",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cybersecurity product to Indian enterprise deployment — strategy for cybersecurity companies entering India.",</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"hero": "India's cybersecurity market is growing at extraordinary speed — driven by CERT-In's mandatory 6-hour breach reporting requirements creating compliance-driven security investment, rapid digital transformation creating new attack surfaces, BFSI and government data localisation requirements, and India's position as the world's most targeted country for ransomware attacks. International cybersecurity companies across endpoint security, cloud security, identity management, SOC platforms, and threat intelligence are all evaluating India as a high-growth enterprise market. GreyRadius helps cybersecurity companies validate Indian enterprise demand, navigate CERT-In and sector regulatory requirements, identify channel partners, and execute GTM.",</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"CERT-In's April 2022 directives — mandatory 6-hour breach reporting, VPN logging requirements, and cybersecurity audit obligations — have created the most significant compliance-driven cybersecurity investment cycle in India's history. The enterprises that were previously deferring security investment are now procuring urgently to achieve compliance. The cybersecurity companies establishing Indian enterprise relationships in 2024–2026 are capturing this demand wave.",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"India's cybersecurity market is projected to reach $15B by 2027 — growing at 25% annually as CERT-In compliance requirements, digital transformation, and ransomware threat drive enterprise investment.",</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"India is the world's second most targeted country for cyberattacks — creating sustained demand for threat detection, endpoint protection, and SOC services across enterprise and government segments.",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"BFSI sector drives 35% of India's cybersecurity spend — RBI's cybersecurity framework for banks and NBFCs creates mandatory security investment that sophisticated cybersecurity companies can access.",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"Government cybersecurity procurement is growing significantly — NIC, defence organisations, and state government digital infrastructure are all significant and active cybersecurity buyers."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"India's price sensitivity requires India-specific pricing — enterprise cybersecurity budgets in India are 40–60% of equivalent Western enterprise budgets requiring market-specific commercial models.",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"CERT-In compliance creates urgency but also budget constraints — security teams rushing to comply with CERT-In directives may prioritise low-cost compliance over best-in-class security solutions.",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"Channel partner quality is critical — Indian cybersecurity resellers vary dramatically in technical competence and enterprise relationships, making partner selection a critical GTM decision.",</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"Competition from Israeli, US, and Indian cybersecurity companies is intense across all categories with well-established Indian channel networks and reference customer bases."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"India cybersecurity enterprise demand validation|You need to validate which Indian enterprise segments are actively investing in your security category and what their CERT-In compliance priorities are.",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"CERT-In and sector regulatory mapping|You need to understand CERT-In requirements, RBI cybersecurity framework, and government procurement compliance obligations.",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"India cybersecurity channel partner identification|You need qualified MSSPs, security resellers, and system integrators with genuine Indian enterprise relationships.",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"India cybersecurity GTM strategy|You need a go-to-market plan covering BFSI, government, and broader enterprise segment outreach and acquisition.",</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India cybersecurity investment|You need a pitch book grounded in India cyber threat data and enterprise demand analysis.",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"MSSP and SOC partner strategy|You need to identify Indian MSSPs and SOC operators as managed service delivery partners."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"Validate Indian enterprise cybersecurity demand with CERT-In compliance landscape mapping and sector prioritisation.",</w:t>
      </w:r>
    </w:p>
    <w:p w:rsidR="005D1E1E"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"Full financial feasibility for India cybersecurity investment covering India pricing model and channel economics.",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"End-to-end India cybersecurity market entry including MSSP and reseller channel partner identification.",</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"Embedded India cybersecurity GTM team covering enterprise and government outreach.",</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India cybersecurity investment with CERT-In compliance demand narrative.",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CERT-In automated compliance reporting to India-specific threat intelligence integration."</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endpoint security companies or also with cloud security, identity, and SOC platform companies entering India?|All cybersecurity categories across endpoint, cloud, identity, SOC, and threat intelligence.",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India cybersecurity market entry engagement take?|Typically 6–10 weeks for enterprise demand research, CERT-In mapping, and channel partner identification.",</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Indian MSSP and cybersecurity reseller partners?|Yes — MSSP and reseller partner identification are core to our India cybersecurity market entry service.",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"How has CERT-In transformed the India cybersecurity market?|CERT-In's mandatory reporting requirements created an immediate compliance investment cycle — we analyse CERT-In compliance posture in every India cybersecurity engagement."</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"keywords": "India cybersecurity market entry, India security GTM strategy, CERT-In compliance consulting, India enterprise security advisory, India infosec market entry, India cyber strategy",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"regions": "India — Mumbai, Delhi NCR, Bengaluru, Hyderabad, Pune, Chennai",</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"stat1n": "$15B",</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"stat1l": "India cybersecurity market by 2027",</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25% annually — CERT-In compliance, ransomware threat, and digital transformation driving unprecedented enterprise security investment.",</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India cybersecurity mandate",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"stat2b": "Indian CISOs, enterprise IT security heads, and MSSP channel partners — every engagement grounded in direct primary research.",</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"stat3l": "India cybersecurity market entry strategy",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CERT-In compliance mapping and enterprise security demand research delivers India cybersecurity market entry strategies efficiently."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"slug": "gulf-retail-market-entry",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"parent": "cpg-fmcg-retail",</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"title": "Gulf Retail Market Entry Strategy | GreyRadius Consulting",</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international retail brands and retail technology companies enter Gulf markets with market entry strategy, distributor identification, regulatory mapping, and GTM execution.",</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"h1": "Gulf retail market entry strategy",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retail brand to Gulf mall and digital shelf — strategy for retail companies entering the GCC.",</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"hero": "The Gulf retail market is one of the world's most commercially vibrant — combining some of the world's highest per-capita retail spending, world-class mall infrastructure, rapidly growing e-commerce, and a consumer base that combines local residents, 15 million expatriates, and 30 million annual tourists. International fashion brands, premium food retailers, consumer electronics companies, beauty brands, and retail technology businesses are all evaluating Gulf retail market entry. GreyRadius helps retail companies validate Gulf consumer demand, identify distributors and franchise partners, navigate regulatory requirements, and execute entry.",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"Gulf retail investment is expanding with new mall developments, tourist destination retail, and e-commerce platform growth all creating new distribution channels. Saudi Arabia's entertainment and tourism development is creating entirely new retail categories — from sports merchandise to entertainment-linked retail — that did not exist five years ago. The retail brands establishing Gulf distribution in 2024–2027 will capture growing tourist-driven spending alongside sustained resident demand.",</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"Gulf retail market is projected to reach $250B by 2028 — growing at 8% annually as population growth, tourist spending, and e-commerce all drive consumption across the GCC.",</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"UAE's retail market is the Gulf's most internationally sophisticated — 200+ nationalities of consumers create demand for global brand diversity that few other markets match.",</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"Saudi Arabia's entertainment development is creating new retail categories — sports merchandise, F&amp;B, and experience retail are all growing at 25%+ as cinemas, concerts, and entertainment venues attract new consumer spending.",</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"Gulf e-commerce retail is growing at 25% annually — Noon, Amazon.ae, and Namshi are creating digital retail channels supplementing the world-class physical mall infrastructure."</w:t>
      </w:r>
    </w:p>
    <w:p w:rsidR="005D1E1E"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"Gulf retail leasing costs are high — prime mall locations in Dubai Mall, Mall of the Emirates, and Riyadh's major malls command some of the world's highest retail rents requiring careful financial modelling.",</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"Franchise agreement negotiations with Gulf partners require experience — Gulf franchise operators are sophisticated negotiators and understanding the right commercial structures requires regional expertise.",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"Halal compliance is mandatory for food and personal care products — SFDA, ESMA, and JAKIM certification requirements must be met before retail listing in Gulf markets.",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"Competition from established international retail brands already present in Gulf is intense across most consumer categories."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"Gulf retail consumer demand validation|You need to validate Gulf consumer demand for your retail product including tourist versus resident consumer dynamics and channel preferences.",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"Gulf distributor and franchise partner identification|You need qualified Gulf retail distributors, franchise operators, and e-commerce platform sellers.",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"Regulatory compliance pathway|You need to understand product registration, halal certification, and import requirements for your specific retail category.",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"Gulf retail GTM strategy|You need a go-to-market plan covering mall entry, e-commerce channels, and tourist destination retail positioning.",</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Gulf retail investment|You need a pitch book grounded in Gulf retail market data and franchise economics.",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"Online-offline retail integration strategy|You need an omnichannel retail strategy covering physical and digital channels in the Gulf."</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"Validate Gulf consumer demand for your retail product with consumer surveys, competitive mapping, and a Go/Defer/Kill recommendation.",</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Gulf retail investment covering lease costs, franchise economics, and investor-ready projections.",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"End-to-end Gulf retail market entry covering regulatory pathway, distributor identification, and first-distribution milestone.",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"Embedded Gulf retail GTM team covering distributor and e-commerce outreach.",</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Gulf retail investment with consumer demand data and franchise narrative.",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Arabic language personalised retail to Gulf consumer behaviour prediction and demand forecasting."</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fashion brands or also with food, electronics, and beauty retail companies entering the Gulf?|All retail categories.",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"Which Gulf retail markets does GreyRadius prioritise?|UAE first as the most internationally accessible, then Saudi Arabia for the largest volume opportunity.",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Gulf retail market entry engagement take?|Typically 6–10 weeks for consumer demand research, franchise partner identification, and regulatory mapping.",</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Gulf franchise operators for retail brands?|Yes — franchise operator identification and initial commercial introductions are core to our Gulf retail market entry service."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"keywords": "Gulf retail market entry, Dubai retail GTM strategy, Saudi Arabia retail consulting, Gulf fashion advisory, GCC retail market entry, Gulf consumer brand strategy",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"regions": "Dubai, Abu Dhabi, Riyadh, Jeddah, Doha, Kuwait City",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"stat1n": "$250B",</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"stat1l": "Gulf retail market by 2028",</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8% annually as population growth, tourist spending, and e-commerce drive consumption across the GCC's world-class retail infrastructure.",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Gulf retail mandate",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"stat2b": "Gulf consumers, retail buyers, and franchise operators — every engagement grounded in direct primary research.",</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"stat3l": "Gulf retail market entry strategy",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Gulf consumer demand mapping and franchise partner identification delivers Gulf retail market entry strategies efficiently."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"slug": "india-ecommerce-market-entry",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"parent": "ecommerce-tech",</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"title": "India E-Commerce Market Entry Strategy | GreyRadius",</w:t>
      </w:r>
    </w:p>
    <w:p w:rsidR="005D1E1E"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"meta": "GreyRadius helps international e-commerce businesses enter India with market entry strategy, platform selection, regulatory mapping, logistics partner identification, and fundraising.",</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"h1": "India e-commerce market entry strategy",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e-commerce business to Indian consumer scale — strategy for e-commerce companies entering India.",</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"hero": "India's e-commerce market is the world's fastest-growing large e-commerce market — with $120B projected by 2026, ONDC open network democratising seller access, UPI enabling seamless digital payments, and a consumer base of 850 million smartphone users across metros and Tier 2-4 cities. International e-commerce operators, marketplace technology companies, e-commerce enablement businesses, and cross-border e-commerce sellers are all evaluating India as their most significant emerging market opportunity. GreyRadius helps e-commerce companies validate Indian consumer demand, navigate the Amazon-Flipkart-Meesho-ONDC marketplace landscape, identify logistics partners, and execute market entry.",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"India's ONDC open commerce network is transforming e-commerce market dynamics — enabling sellers to list once and reach buyers across multiple platforms without platform lock-in. Combined with UPI's 10 billion monthly transactions and the Jio-created cheap data revolution, India's e-commerce infrastructure is now enabling consumer digital commerce at a scale and depth that was impossible five years ago.",</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"India's e-commerce market is projected to reach $120B by 2026 — growing at 25% annually as Tier 2 and 3 city digital consumers join metros in online purchasing across categories.",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"India's social commerce market is growing at 40% annually — WhatsApp commerce, Instagram Shopping, and Meesho's reseller network are creating entirely new e-commerce distribution channels for brands.",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"ONDC has onboarded 5M+ sellers across 600+ cities — creating an open e-commerce infrastructure that international sellers can access without being exclusively dependent on Amazon or Flipkart.",</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"India's quick commerce market — Blinkit, Zepto, Swiggy Instamart — is growing at 60% annually creating new FMCG and consumer goods distribution infrastructure for fast-moving product categories."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"Amazon, Flipkart, and Meesho dominate Indian e-commerce — gaining visibility against well-funded incumbents requires significant marketing investment and platform algorithm expertise.",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"COD payment preference creates return rate challenges — 25–30% of Indian e-commerce orders involve COD with significantly higher return rates than prepaid orders affecting unit economics.",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"India's complex GST framework creates compliance challenges for e-commerce sellers — state-by-state GST compliance, e-way bills, and TCS collection requirements add operational complexity.",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"Logistics cost and reliability vary significantly — urban tier 1 e-commerce logistics is excellent while tier 2 and 3 city delivery quality and cost are more variable requiring careful partner selection."</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"India e-commerce demand validation|You need to validate Indian consumer demand for your e-commerce product and understand which platforms and channels to prioritise for your category.",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"Platform selection and ONDC strategy|You need a platform mix strategy covering Amazon, Flipkart, Meesho, ONDC, and social commerce for your specific product category.",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"India e-commerce regulatory pathway|You need to understand FDI e-commerce rules, GST compliance, and marketplace seller regulations.",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"India logistics partner identification|You need fulfilment, last-mile, and returns management partners for India e-commerce operations.",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"India e-commerce GTM strategy|You need a first-6-months plan covering platform launch, performance marketing, and first-10,000-orders milestone.",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India e-commerce|You need a pitch book grounded in India e-commerce market data and platform economics."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"Validate Indian consumer demand for your e-commerce product with consumer research and platform landscape analysis.",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India e-commerce investment covering platform economics, return rates, and India-specific unit economics.",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"End-to-end India e-commerce market entry including platform selection, logistics partner identification, and first-orders milestone.",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"Embedded India e-commerce GTM team covering platform activation and consumer acquisition.",</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India e-commerce investment with consumer demand data and ONDC opportunity narrative.",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Hindi language product recommendations to demand forecasting and inventory optimisation across Indian regions."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marketplace operators or also with e-commerce brands, logistics, and e-commerce technology companies entering India?|All e-commerce categories.",</w:t>
      </w:r>
    </w:p>
    <w:p w:rsidR="005D1E1E"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"How long does an India e-commerce market entry engagement take?|Typically 6–10 weeks for consumer demand research, platform strategy, and logistics partner identification.",</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Indian logistics and fulfilment partners?|Yes — fulfilment and last-mile partner identification are core to our India e-commerce market entry service.",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"How does ONDC change India e-commerce market entry strategy?|ONDC removes the requirement to build relationships with Amazon and Flipkart separately — we assess ONDC versus platform-specific strategy as part of every India e-commerce engagement."</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"keywords": "India e-commerce market entry, India marketplace GTM strategy, ONDC consulting, India online retail advisory, India D2C ecommerce strategy, India marketplace entry",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"regions": "India — Mumbai, Delhi NCR, Bengaluru and Tier 2 cities via Meesho and ONDC",</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"stat1n": "$120B",</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"stat1l": "India e-commerce market by 2026",</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25% annually — ONDC, UPI, and cheap data creating universal digital commerce access across Tier 1, 2, and 3 cities.",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India e-commerce mandate",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"stat2b": "Indian consumers, platform managers, and logistics operators — every engagement grounded in direct primary research.",</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"stat3l": "India e-commerce market entry strategy",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platform analysis and consumer demand research delivers India e-commerce market entry strategies efficiently."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"slug": "gulf-ai-market-entry",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"parent": "technology",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"title": "Gulf AI &amp; Artificial Intelligence Market Entry | GreyRadius",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AI companies enter Gulf markets with market entry strategy, government programme identification, enterprise buyer research, and partner identification across UAE and Saudi Arabia.",</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"h1": "Gulf AI market entry strategy",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AI product to Gulf enterprise deployment — strategy for AI companies entering the GCC.",</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"hero": "The Gulf is the world's most ambitious artificial intelligence investment region relative to GDP — with Saudi Arabia's National AI Strategy targeting 50% of government services using AI by 2030, UAE's AI Minister and National AI Strategy, and ADNOC, Saudi Aramco, and Gulf banks all running major AI deployment programmes. International AI platform companies, enterprise AI application developers, AI consulting businesses, and AI infrastructure providers are all evaluating Gulf AI market entry as government mandates create unprecedented institutional AI demand. GreyRadius helps AI companies validate Gulf enterprise and government demand, identify the right local partners, navigate procurement processes, and raise capital for Gulf AI operations.",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"Gulf AI investment is at an all-time high — Saudi Arabia's Public Investment Fund has committed billions to AI infrastructure, UAE's G42 is the Gulf's most active AI company, and ADNOC's AI programme is the world's largest oil and gas AI deployment. The AI companies establishing Gulf relationships in 2024–2027 are getting in on the ground floor of 10-year government transformation programmes.",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"Gulf AI market investment is projected to exceed $20B by 2030 — Saudi Arabia, UAE, and Qatar collectively committing more AI investment per capita than any other region globally.",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"Saudi Arabia's AI national programme is creating demand for Arabic language AI — NLP, speech recognition, and generative AI in Arabic are all priority procurement areas for Saudi government agencies.",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"UAE's G42 has established AI partnerships with Microsoft, OpenAI, and dozens of international AI companies — demonstrating Gulf appetite for international AI technology partnerships at scale.",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"Gulf financial services are the most active AI deployers — banks and insurance companies across UAE and Saudi Arabia are deploying AI for fraud detection, credit scoring, and customer service at significant scale."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"Gulf AI procurement requires government relationship investment — AI programme access in Saudi Arabia and UAE involves relationships with SDAIA, UAE AI Ministry, and sector-specific government AI programme offices.",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"Data sovereignty requirements affect AI architecture — Gulf governments require that AI models trained on government data be hosted on approved local or sovereign cloud infrastructure.",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"Arabic language capability is a differentiator and requirement — AI products without Arabic language capability face significant barriers in government and consumer-facing Gulf applications.",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"Competition from US hyperscalers — Microsoft Azure AI, Google Cloud AI, and AWS AI — is intense across enterprise AI infrastructure and platform categories in the Gulf."</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5D1E1E"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"Gulf AI demand validation|You need to validate Gulf government and enterprise demand for your AI product and identify which programmes actively procure AI technology.",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"Gulf AI government programme identification|You need to map SDAIA, UAE AI Ministry, and sector-specific government AI programme procurement opportunities.",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"Gulf AI partner identification|You need G42, local system integrators, and government technology partners as routes to Gulf AI procurement.",</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"Gulf AI GTM strategy|You need a go-to-market plan covering government AI programmes, NOC AI deployments, and enterprise financial services.",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Gulf AI investment|You need a pitch book grounded in Gulf AI programme data and government commitment analysis.",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"Arabic language and data sovereignty strategy|You need a product strategy that addresses Gulf Arabic language requirements and data sovereignty obligations."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"Validate Gulf government and enterprise AI demand with programme mapping and primary buyer research.",</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Gulf AI investment covering government programme access costs and enterprise sales economics.",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"End-to-end Gulf AI market entry including government programme identification and local partner development.",</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"Embedded Gulf AI GTM team covering government and enterprise outreach across Saudi Arabia and UAE.",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Gulf AI investment with government programme narrative and market sizing.",</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"Arabic AI strategy — from Arabic NLP capability roadmap to Gulf cultural AI content adaptation requirements."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AI platform companies or also with AI application and AI infrastructure companies entering the Gulf?|All AI categories across platforms, applications, and infrastructure.",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"Which Gulf AI markets does GreyRadius prioritise?|UAE and Saudi Arabia as the two largest and most active AI investment markets in the GCC.",</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Gulf AI market entry engagement take?|Typically 8–12 weeks for government programme mapping, enterprise demand research, and partner identification.",</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Gulf AI government programme contacts?|Yes — SDAIA, UAE AI Ministry, and sector-specific government AI programme mapping are core to our Gulf AI market entry service."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"keywords": "Gulf AI market entry, Saudi Arabia artificial intelligence GTM strategy, UAE AI consulting, Gulf AI advisory, GCC AI market entry, Gulf enterprise AI strategy",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"regions": "UAE — Abu Dhabi and Dubai, Saudi Arabia — Riyadh, Qatar",</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"stat1n": "$20B+",</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"stat1l": "Gulf AI investment through 2030",</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"stat1b": "Highest AI investment per capita globally — Saudi Arabia, UAE, and Qatar committing transformative AI deployment across government, oil and gas, and financial services.",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Gulf AI mandate",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"stat2b": "Government AI programme directors, enterprise technology heads, and Gulf AI ecosystem participants — every engagement grounded in direct primary research.",</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"stat3l": "Gulf AI market entry strategy",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Gulf government programme mapping and enterprise demand research delivers Gulf AI market entry strategies efficiently."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"slug": "southeast-asia-enterprise-saas",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"parent": "enterprise-saas",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"title": "Southeast Asia Enterprise SaaS Market Entry | GreyRadius",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enterprise SaaS companies enter Southeast Asia with market entry strategy, pricing adaptation, enterprise buyer research, and channel partner identification across Singapore, Indonesia, and Vietnam.",</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"h1": "Southeast Asia enterprise SaaS market entry strategy",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SaaS product to Southeast Asian enterprise ARR — strategy for SaaS companies entering ASEAN.",</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"hero": "Southeast Asia's enterprise SaaS market is growing at extraordinary speed — driven by the region's fastest-growing economies, post-pandemic digital transformation acceleration, government digitalisation mandates, and a generation of Southeast Asian enterprises that have grown from SMEs to large corporates and now need enterprise-grade technology. International enterprise SaaS companies across HR, finance, operations, CRM, and vertical industry software are all evaluating Southeast Asia as a high-growth ARR market. GreyRadius helps SaaS companies validate Southeast Asian enterprise demand, adapt pricing for regional market economics, identify channel partners, and execute GTM.",</w:t>
      </w:r>
    </w:p>
    <w:p w:rsidR="005D1E1E"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"market_timing": "Southeast Asian enterprise technology adoption is crossing an inflection point — companies that were managing with spreadsheets and basic software five years ago are now procuring enterprise SaaS platforms. Singapore's advanced enterprise market, Indonesia's large-enterprise segment, and Vietnam's manufacturing sector are all creating specific SaaS demand that sophisticated companies can access in 2024–2027.",</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"Southeast Asia enterprise SaaS market is projected to reach $20B by 2027 — growing at 25% annually as digital transformation accelerates across the region's 10 ASEAN economies.",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"Singapore is Southeast Asia's most advanced enterprise SaaS market — regional headquarters of 4,000+ multinational companies create sophisticated B2B software buyers willing to pay global pricing.",</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"Indonesia's enterprise market is growing fastest — 270 million people and the region's largest economy creating an enterprise software buyer base growing at 30% annually.",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"HR and payroll SaaS is growing fastest in Southeast Asia — complex multi-country employment law, payroll compliance, and talent management across ASEAN's diverse labour markets create significant demand."</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"Language and compliance localisation is required across ASEAN — Indonesian BIR, Thai RD, Philippine TRAIN, and other local tax and HR regulations all require market-specific product adaptation.",</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"Enterprise sales cycles vary dramatically across the region — Singapore enterprise decisions resemble Western markets while Indonesia and Vietnam involve more stakeholders and longer procurement timelines.",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"Channel partner quality varies significantly across Southeast Asian markets — ASEAN SaaS resellers range from highly capable regional firms to opportunistic distributors with limited enterprise relationships.",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"Consumer software pricing expectations affect enterprise buying — Southeast Asian buyers often compare enterprise SaaS pricing to consumer app pricing creating significant price anchoring challenges to overcome."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"Southeast Asia SaaS enterprise demand validation|You need to validate which ASEAN enterprise segments want your SaaS and what localisation and pricing requirements they have.",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"Southeast Asia SaaS pricing strategy|You need ASEAN market-specific pricing that drives adoption while maintaining viable unit economics across markets.",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"ASEAN channel and SI partner identification|You need regional SaaS resellers and system integrators with genuine enterprise relationships across multiple ASEAN markets.",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"Southeast Asia SaaS GTM strategy|You need a Singapore-first go-to-market plan with Indonesia and Vietnam expansion sequencing and channel strategy.",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Southeast Asia SaaS expansion|You need a pitch book grounded in ASEAN enterprise software demand data and ARR projections.",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"Localisation roadmap|You need a market-specific compliance and language localisation roadmap that prioritises highest-ROI adaptations first."</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"Validate Southeast Asian enterprise SaaS demand across priority markets with primary buyer research and pricing analysis.",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Southeast Asia SaaS expansion covering channel economics and localisation cost.",</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"End-to-end Southeast Asia SaaS market entry including channel partner identification and first-enterprise-ARR milestone planning.",</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"Embedded Southeast Asia SaaS GTM team covering enterprise outreach across Singapore, Indonesia, and Vietnam.",</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Southeast Asia SaaS expansion with ASEAN market narrative.",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Southeast Asian language enterprise interfaces to automated compliance for ASEAN tax frameworks."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horizontal SaaS or also with vertical industry SaaS entering Southeast Asia?|Both horizontal and vertical industry SaaS across all enterprise categories.",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"Which Southeast Asian markets does GreyRadius prioritise for enterprise SaaS?|Singapore first for premium validation, then Indonesia for volume, Vietnam for manufacturing sector demand.",</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Southeast Asia SaaS engagement take?|Typically 6–10 weeks for enterprise demand research, pricing strategy, and channel partner identification.",</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ASEAN SaaS channel partners?|Yes — regional SaaS reseller and SI partner identification are core to our Southeast Asia SaaS market entry service."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"keywords": "Southeast Asia enterprise SaaS market entry, ASEAN SaaS GTM strategy, Indonesia software consulting, Singapore enterprise software advisory, Southeast Asia B2B SaaS market entry",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"regions": "Singapore, Indonesia, Vietnam, Thailand, Malaysia, Philippines",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"stat1n": "$20B",</w:t>
      </w:r>
    </w:p>
    <w:p w:rsidR="005D1E1E"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"stat1l": "Southeast Asia enterprise SaaS market by 2027",</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25% annually as digital transformation accelerates across the region's 10 ASEAN economies.",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Southeast Asia SaaS mandate",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"stat2b": "Southeast Asian CIOs, IT directors, and channel partners — every engagement grounded in direct primary research.",</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"stat3l": "Southeast Asia SaaS market entry strategy",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enterprise buyer research and pricing analysis delivers Southeast Asia SaaS market entry strategies efficiently."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"slug": "india-gulf-technology-entry",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"parent": "technology",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"title": "India &amp; Gulf Technology Combined Market Entry | GreyRadius",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technology companies develop combined India and Gulf market entry strategies, identifying synergies between the two most commercially significant emerging market technology opportunities.",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"h1": "India and Gulf technology combined market entry strategy",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"tagline": "Two of the world's most significant technology growth markets — one integrated entry strategy.",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"hero": "India and the Gulf together represent the most significant technology market entry opportunity in the emerging world for international technology companies — India for its massive developer ecosystem, rapidly growing enterprise technology market, and 1.4 billion digital consumers; the Gulf for its extraordinary government AI and digital transformation investment, high enterprise technology budgets, and Vision 2030 procurement programmes. Many international technology companies are evaluating both markets simultaneously, and the strategic synergies between India and Gulf technology entry are significant. GreyRadius helps technology companies develop integrated India-Gulf strategies that maximise commercial impact and capital efficiency.",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"India and the Gulf are both at technology market inflection points simultaneously — India's PLI-driven manufacturing and post-CERT-In cybersecurity investment are creating enterprise demand waves, while Saudi Arabia's Vision 2030 and UAE's AI strategy are creating government technology procurement at scale. Companies that develop integrated India-Gulf technology strategies in 2024–2027 can leverage cross-market engineering talent, shared regulatory positioning, and combined market narratives for investors.",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"Combined India-Gulf technology market exceeds $100B annually and is growing at 20%+ — India contributing enterprise SaaS and digital services demand, Gulf contributing government and NOC technology procurement.",</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"India's engineering talent pool supports Gulf technology deployment — Indian technology companies including TCS, Infosys, and Wipro are the Gulf's largest technology service providers demonstrating the proven India-Gulf technology synergy.",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"Over 500 Indian technology companies are registered in UAE free zones — demonstrating the natural India-to-Gulf technology expansion pathway that international companies can leverage.",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"Shared regulatory positioning across India and Gulf — DPDP in India and UAE PDPL data protection regulations both require similar data governance capabilities that can be built once and deployed across both markets."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"India and Gulf technology procurement are fundamentally different — India is primarily enterprise and commercial, Gulf is primarily government and NOC procurement requiring entirely different GTM motions and relationship strategies.",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"Capital requirements for dual-market technology entry are significant — establishing operations, hiring, and marketing in both markets simultaneously requires more capital than sequential single-market entry.",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"Management bandwidth for two culturally distinct markets is a common constraint — India and Gulf require entirely different relationship development approaches and sales execution styles.",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"Regulatory compliance in both markets simultaneously adds complexity — CERT-In in India and Gulf data sovereignty requirements both impose distinct compliance obligations that must be managed concurrently."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"Combined India-Gulf technology assessment|You need to assess whether combined India-Gulf entry makes strategic and financial sense versus sequential single-market entry.",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"India-Gulf talent leverage strategy|You need to understand how India engineering talent can support Gulf deployment cost-efficiently and at scale.",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"Integrated regulatory positioning|You need a compliance architecture that meets both India CERT-In and Gulf data sovereignty requirements from a single product.",</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"Combined GTM strategy|You need a coordinated India-Gulf go-to-market plan leveraging shared technology positioning across both markets.",</w:t>
      </w:r>
    </w:p>
    <w:p w:rsidR="005D1E1E"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"Cross-market fundraising narrative|You need an investor pitch that tells a combined India-Gulf technology story that justifies dual-market investment.",</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"India-Gulf partner network|You need technology partners in both India and Gulf who can support dual-market commercial operations."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"Validate technology demand in both India and Gulf simultaneously with coordinated primary research and synergy assessment across both markets.",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combined India-Gulf technology investment including shared service model and talent leverage economics.",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"End-to-end combined market entry covering parallel regulatory pathways and partner identification in both India and Gulf markets.",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"Embedded dual-market technology GTM team managing India enterprise and Gulf government outreach simultaneously.",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with combined India-Gulf technology narrative that justifies dual-market investment.",</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"AI strategy for India-Gulf combined entry — from shared AI model development to market-specific Arabic and Indian language adaptation."</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recommend entering India and Gulf technology markets simultaneously or sequentially?|Depends on capital, product fit, and management bandwidth — we assess the right sequencing as part of every combined engagement.",</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"What are the main synergies between India and Gulf technology markets?|India engineering talent supporting Gulf deployment, shared regulatory positioning, and Indian tech company Gulf presence creating established expansion pathways.",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combined India-Gulf technology engagement take?|Typically 10–14 weeks given the complexity of dual-market research and regulatory mapping.",</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technology partners in both India and Gulf simultaneously?|Yes — we have partner networks in both markets and can run identification processes in parallel."</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"keywords": "India Gulf technology market entry, combined market entry strategy, India Gulf tech, dual market technology entry, India UAE technology consulting, Gulf India enterprise software strategy",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"regions": "India — Bengaluru, Mumbai, Delhi NCR plus UAE — Dubai and Abu Dhabi, Saudi Arabia — Riyadh",</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"stat1n": "$100B+",</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"stat1l": "Combined India-Gulf technology market annually",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"stat1b": "India for enterprise SaaS and digital services demand, Gulf for government AI and NOC technology procurement — growing at 20%+ combined.",</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combined India-Gulf technology mandate",</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"stat2b": "Indian enterprise CIOs and Gulf government programme directors — every engagement grounded in direct primary research in both markets.",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"stat3n": "10 weeks",</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"stat3l": "Combined India-Gulf technology strategy",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dual-market technology demand mapping delivers integrated India-Gulf market entry strategies efficiently."</w:t>
      </w:r>
    </w:p>
    <w:p w:rsidR="005D1E1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5D1E1E" w:rsidRDefault="00000000">
      <w:pPr>
        <w:shd w:val="clear" w:color="auto" w:fill="F0F0F0"/>
        <w:spacing w:before="14" w:after="14"/>
        <w:ind w:left="360"/>
      </w:pPr>
      <w:r>
        <w:rPr>
          <w:rFonts w:ascii="Courier New" w:eastAsia="Courier New" w:hAnsi="Courier New" w:cs="Courier New"/>
          <w:color w:val="1B2A4A"/>
          <w:sz w:val="16"/>
          <w:szCs w:val="16"/>
        </w:rPr>
        <w:t>]</w:t>
      </w:r>
    </w:p>
    <w:p w:rsidR="005D1E1E" w:rsidRDefault="005D1E1E">
      <w:pPr>
        <w:pBdr>
          <w:bottom w:val="single" w:sz="8" w:space="1" w:color="1B2A4A"/>
        </w:pBdr>
        <w:spacing w:before="200" w:after="200"/>
      </w:pPr>
    </w:p>
    <w:p w:rsidR="005D1E1E" w:rsidRDefault="00000000">
      <w:pPr>
        <w:pStyle w:val="Heading1"/>
      </w:pPr>
      <w:r>
        <w:t>Running total after Batch 13</w:t>
      </w:r>
    </w:p>
    <w:p w:rsidR="005D1E1E" w:rsidRDefault="00000000">
      <w:pPr>
        <w:spacing w:before="60" w:after="60"/>
      </w:pPr>
      <w:r>
        <w:rPr>
          <w:color w:val="222222"/>
        </w:rPr>
        <w:t>Previous total: 199 pages</w:t>
      </w:r>
    </w:p>
    <w:p w:rsidR="005D1E1E" w:rsidRDefault="00000000">
      <w:pPr>
        <w:spacing w:before="60" w:after="60"/>
      </w:pPr>
      <w:r>
        <w:rPr>
          <w:color w:val="222222"/>
        </w:rPr>
        <w:t>Batch 13:        20 pages</w:t>
      </w:r>
    </w:p>
    <w:p w:rsidR="005D1E1E" w:rsidRDefault="00000000">
      <w:pPr>
        <w:spacing w:before="60" w:after="60"/>
      </w:pPr>
      <w:r>
        <w:rPr>
          <w:color w:val="222222"/>
        </w:rPr>
        <w:t>New total:      219 pages fully written</w:t>
      </w:r>
    </w:p>
    <w:p w:rsidR="005D1E1E" w:rsidRDefault="00000000">
      <w:pPr>
        <w:spacing w:before="60" w:after="60"/>
      </w:pPr>
      <w:r>
        <w:rPr>
          <w:color w:val="222222"/>
        </w:rPr>
        <w:t>Next: Batch 14 — 20 more pages covering Africa logistics, India insurance, Gulf healthcare technology, India agritech deep dive, India manufacturing technology, Southeast Asia retail, Africa energy, India climate tech, and combined market strategies.</w:t>
      </w:r>
    </w:p>
    <w:p w:rsidR="005D1E1E" w:rsidRDefault="00000000">
      <w:pPr>
        <w:spacing w:before="400"/>
      </w:pPr>
      <w:r>
        <w:rPr>
          <w:i/>
          <w:iCs/>
          <w:color w:val="666666"/>
          <w:sz w:val="16"/>
          <w:szCs w:val="16"/>
        </w:rPr>
        <w:t>GreyRadius Consulting | SEO Build Pack Batch 13 | May 2026 | Confidential</w:t>
      </w:r>
    </w:p>
    <w:sectPr w:rsidR="005D1E1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3707E8"/>
    <w:multiLevelType w:val="hybridMultilevel"/>
    <w:tmpl w:val="ED60F96A"/>
    <w:lvl w:ilvl="0" w:tplc="21DEA9BA">
      <w:start w:val="1"/>
      <w:numFmt w:val="bullet"/>
      <w:lvlText w:val="●"/>
      <w:lvlJc w:val="left"/>
      <w:pPr>
        <w:ind w:left="720" w:hanging="360"/>
      </w:pPr>
    </w:lvl>
    <w:lvl w:ilvl="1" w:tplc="DC880768">
      <w:start w:val="1"/>
      <w:numFmt w:val="bullet"/>
      <w:lvlText w:val="○"/>
      <w:lvlJc w:val="left"/>
      <w:pPr>
        <w:ind w:left="1440" w:hanging="360"/>
      </w:pPr>
    </w:lvl>
    <w:lvl w:ilvl="2" w:tplc="A0044E9A">
      <w:start w:val="1"/>
      <w:numFmt w:val="bullet"/>
      <w:lvlText w:val="■"/>
      <w:lvlJc w:val="left"/>
      <w:pPr>
        <w:ind w:left="2160" w:hanging="360"/>
      </w:pPr>
    </w:lvl>
    <w:lvl w:ilvl="3" w:tplc="FAC28CBE">
      <w:start w:val="1"/>
      <w:numFmt w:val="bullet"/>
      <w:lvlText w:val="●"/>
      <w:lvlJc w:val="left"/>
      <w:pPr>
        <w:ind w:left="2880" w:hanging="360"/>
      </w:pPr>
    </w:lvl>
    <w:lvl w:ilvl="4" w:tplc="D8D60E1A">
      <w:start w:val="1"/>
      <w:numFmt w:val="bullet"/>
      <w:lvlText w:val="○"/>
      <w:lvlJc w:val="left"/>
      <w:pPr>
        <w:ind w:left="3600" w:hanging="360"/>
      </w:pPr>
    </w:lvl>
    <w:lvl w:ilvl="5" w:tplc="61A45BE6">
      <w:start w:val="1"/>
      <w:numFmt w:val="bullet"/>
      <w:lvlText w:val="■"/>
      <w:lvlJc w:val="left"/>
      <w:pPr>
        <w:ind w:left="4320" w:hanging="360"/>
      </w:pPr>
    </w:lvl>
    <w:lvl w:ilvl="6" w:tplc="E09A0BA6">
      <w:start w:val="1"/>
      <w:numFmt w:val="bullet"/>
      <w:lvlText w:val="●"/>
      <w:lvlJc w:val="left"/>
      <w:pPr>
        <w:ind w:left="5040" w:hanging="360"/>
      </w:pPr>
    </w:lvl>
    <w:lvl w:ilvl="7" w:tplc="5798C95E">
      <w:start w:val="1"/>
      <w:numFmt w:val="bullet"/>
      <w:lvlText w:val="●"/>
      <w:lvlJc w:val="left"/>
      <w:pPr>
        <w:ind w:left="5760" w:hanging="360"/>
      </w:pPr>
    </w:lvl>
    <w:lvl w:ilvl="8" w:tplc="BAE46AD0">
      <w:start w:val="1"/>
      <w:numFmt w:val="bullet"/>
      <w:lvlText w:val="●"/>
      <w:lvlJc w:val="left"/>
      <w:pPr>
        <w:ind w:left="6480" w:hanging="360"/>
      </w:pPr>
    </w:lvl>
  </w:abstractNum>
  <w:abstractNum w:abstractNumId="1" w15:restartNumberingAfterBreak="0">
    <w:nsid w:val="7718337B"/>
    <w:multiLevelType w:val="hybridMultilevel"/>
    <w:tmpl w:val="62D88F32"/>
    <w:lvl w:ilvl="0" w:tplc="E56E415E">
      <w:start w:val="1"/>
      <w:numFmt w:val="bullet"/>
      <w:lvlText w:val="•"/>
      <w:lvlJc w:val="left"/>
      <w:pPr>
        <w:ind w:left="720" w:hanging="360"/>
      </w:pPr>
    </w:lvl>
    <w:lvl w:ilvl="1" w:tplc="35B6D290">
      <w:numFmt w:val="decimal"/>
      <w:lvlText w:val=""/>
      <w:lvlJc w:val="left"/>
    </w:lvl>
    <w:lvl w:ilvl="2" w:tplc="9FC48CC4">
      <w:numFmt w:val="decimal"/>
      <w:lvlText w:val=""/>
      <w:lvlJc w:val="left"/>
    </w:lvl>
    <w:lvl w:ilvl="3" w:tplc="9FA86A24">
      <w:numFmt w:val="decimal"/>
      <w:lvlText w:val=""/>
      <w:lvlJc w:val="left"/>
    </w:lvl>
    <w:lvl w:ilvl="4" w:tplc="7D48A59C">
      <w:numFmt w:val="decimal"/>
      <w:lvlText w:val=""/>
      <w:lvlJc w:val="left"/>
    </w:lvl>
    <w:lvl w:ilvl="5" w:tplc="D74E6BAE">
      <w:numFmt w:val="decimal"/>
      <w:lvlText w:val=""/>
      <w:lvlJc w:val="left"/>
    </w:lvl>
    <w:lvl w:ilvl="6" w:tplc="559EE3D2">
      <w:numFmt w:val="decimal"/>
      <w:lvlText w:val=""/>
      <w:lvlJc w:val="left"/>
    </w:lvl>
    <w:lvl w:ilvl="7" w:tplc="A10234E6">
      <w:numFmt w:val="decimal"/>
      <w:lvlText w:val=""/>
      <w:lvlJc w:val="left"/>
    </w:lvl>
    <w:lvl w:ilvl="8" w:tplc="B7A8305A">
      <w:numFmt w:val="decimal"/>
      <w:lvlText w:val=""/>
      <w:lvlJc w:val="left"/>
    </w:lvl>
  </w:abstractNum>
  <w:num w:numId="1" w16cid:durableId="71393286">
    <w:abstractNumId w:val="0"/>
    <w:lvlOverride w:ilvl="0">
      <w:startOverride w:val="1"/>
    </w:lvlOverride>
  </w:num>
  <w:num w:numId="2" w16cid:durableId="1668704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1E1E"/>
    <w:rsid w:val="005D1E1E"/>
    <w:rsid w:val="009A1A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docId w15:val="{02C42E57-5C3D-2746-8BD8-7D0A1A551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2A4A"/>
      <w:sz w:val="32"/>
      <w:szCs w:val="32"/>
    </w:rPr>
  </w:style>
  <w:style w:type="paragraph" w:styleId="Heading2">
    <w:name w:val="heading 2"/>
    <w:uiPriority w:val="9"/>
    <w:unhideWhenUsed/>
    <w:qFormat/>
    <w:pPr>
      <w:spacing w:before="280" w:after="120"/>
      <w:outlineLvl w:val="1"/>
    </w:pPr>
    <w:rPr>
      <w:b/>
      <w:bCs/>
      <w:color w:val="1B2A4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21792</Words>
  <Characters>124217</Characters>
  <Application>Microsoft Office Word</Application>
  <DocSecurity>0</DocSecurity>
  <Lines>1035</Lines>
  <Paragraphs>291</Paragraphs>
  <ScaleCrop>false</ScaleCrop>
  <Company/>
  <LinksUpToDate>false</LinksUpToDate>
  <CharactersWithSpaces>145718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CB</cp:lastModifiedBy>
  <cp:revision>2</cp:revision>
  <dcterms:created xsi:type="dcterms:W3CDTF">2026-06-04T10:58:00Z</dcterms:created>
  <dcterms:modified xsi:type="dcterms:W3CDTF">2026-06-04T10:58:00Z</dcterms:modified>
</cp:coreProperties>
</file>