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7192E" w:rsidRDefault="00000000">
      <w:pPr>
        <w:spacing w:before="1440" w:after="80"/>
      </w:pPr>
      <w:r>
        <w:rPr>
          <w:b/>
          <w:bCs/>
          <w:color w:val="1B2A4A"/>
          <w:sz w:val="52"/>
          <w:szCs w:val="52"/>
        </w:rPr>
        <w:t>GREYRADIUS CONSULTING</w:t>
      </w:r>
    </w:p>
    <w:p w:rsidR="00E7192E" w:rsidRDefault="00000000">
      <w:pPr>
        <w:spacing w:after="80"/>
      </w:pPr>
      <w:r>
        <w:rPr>
          <w:color w:val="E8612C"/>
          <w:sz w:val="30"/>
          <w:szCs w:val="30"/>
        </w:rPr>
        <w:t>SEO Build Pack — Batch 4 (Pages 81–100)</w:t>
      </w:r>
    </w:p>
    <w:p w:rsidR="00E7192E" w:rsidRDefault="00000000">
      <w:pPr>
        <w:spacing w:after="600"/>
      </w:pPr>
      <w:r>
        <w:rPr>
          <w:i/>
          <w:iCs/>
          <w:color w:val="666666"/>
        </w:rPr>
        <w:t>20 pages full content · Replit prompt · JSON appendix | May 2026 | Confidential</w:t>
      </w:r>
    </w:p>
    <w:p w:rsidR="00E7192E" w:rsidRDefault="00E7192E">
      <w:pPr>
        <w:pBdr>
          <w:bottom w:val="single" w:sz="8" w:space="1" w:color="1B2A4A"/>
        </w:pBdr>
        <w:spacing w:before="200" w:after="200"/>
      </w:pPr>
    </w:p>
    <w:p w:rsidR="00E7192E" w:rsidRDefault="00000000">
      <w:pPr>
        <w:pStyle w:val="Heading1"/>
      </w:pPr>
      <w:r>
        <w:t>Batch 4 overview — pages 81 to 100</w:t>
      </w:r>
    </w:p>
    <w:p w:rsidR="00E7192E" w:rsidRDefault="00000000">
      <w:pPr>
        <w:spacing w:before="60" w:after="60"/>
      </w:pPr>
      <w:r>
        <w:rPr>
          <w:color w:val="222222"/>
        </w:rPr>
        <w:t>This document delivers the next 20 pages in the GreyRadius SEO architecture. All pages are Tier 3 long-tail pages targeting high-intent, emerging market search queries.</w:t>
      </w:r>
    </w:p>
    <w:p w:rsidR="00E7192E" w:rsidRDefault="00000000">
      <w:pPr>
        <w:spacing w:before="60" w:after="60"/>
      </w:pPr>
      <w:r>
        <w:rPr>
          <w:color w:val="222222"/>
        </w:rPr>
        <w:t>Pages in this batch:</w:t>
      </w:r>
    </w:p>
    <w:p w:rsidR="00E7192E" w:rsidRDefault="00000000">
      <w:pPr>
        <w:pStyle w:val="ListParagraph"/>
        <w:numPr>
          <w:ilvl w:val="0"/>
          <w:numId w:val="2"/>
        </w:numPr>
        <w:spacing w:before="40" w:after="40"/>
      </w:pPr>
      <w:r>
        <w:rPr>
          <w:color w:val="222222"/>
        </w:rPr>
        <w:t>81. [Tier 3] Hydrogen fuel cell market entry strategy</w:t>
      </w:r>
    </w:p>
    <w:p w:rsidR="00E7192E" w:rsidRDefault="00000000">
      <w:pPr>
        <w:pStyle w:val="ListParagraph"/>
        <w:numPr>
          <w:ilvl w:val="0"/>
          <w:numId w:val="2"/>
        </w:numPr>
        <w:spacing w:before="40" w:after="40"/>
      </w:pPr>
      <w:r>
        <w:rPr>
          <w:color w:val="222222"/>
        </w:rPr>
        <w:t>82. [Tier 3] Advanced materials market entry strategy</w:t>
      </w:r>
    </w:p>
    <w:p w:rsidR="00E7192E" w:rsidRDefault="00000000">
      <w:pPr>
        <w:pStyle w:val="ListParagraph"/>
        <w:numPr>
          <w:ilvl w:val="0"/>
          <w:numId w:val="2"/>
        </w:numPr>
        <w:spacing w:before="40" w:after="40"/>
      </w:pPr>
      <w:r>
        <w:rPr>
          <w:color w:val="222222"/>
        </w:rPr>
        <w:t>83. [Tier 3] Synthetic biology market entry strategy</w:t>
      </w:r>
    </w:p>
    <w:p w:rsidR="00E7192E" w:rsidRDefault="00000000">
      <w:pPr>
        <w:pStyle w:val="ListParagraph"/>
        <w:numPr>
          <w:ilvl w:val="0"/>
          <w:numId w:val="2"/>
        </w:numPr>
        <w:spacing w:before="40" w:after="40"/>
      </w:pPr>
      <w:r>
        <w:rPr>
          <w:color w:val="222222"/>
        </w:rPr>
        <w:t>84. [Tier 3] Neurotechnology market entry strategy</w:t>
      </w:r>
    </w:p>
    <w:p w:rsidR="00E7192E" w:rsidRDefault="00000000">
      <w:pPr>
        <w:pStyle w:val="ListParagraph"/>
        <w:numPr>
          <w:ilvl w:val="0"/>
          <w:numId w:val="2"/>
        </w:numPr>
        <w:spacing w:before="40" w:after="40"/>
      </w:pPr>
      <w:r>
        <w:rPr>
          <w:color w:val="222222"/>
        </w:rPr>
        <w:t>85. [Tier 3] Longevity biotech and anti-ageing market entry strategy</w:t>
      </w:r>
    </w:p>
    <w:p w:rsidR="00E7192E" w:rsidRDefault="00000000">
      <w:pPr>
        <w:pStyle w:val="ListParagraph"/>
        <w:numPr>
          <w:ilvl w:val="0"/>
          <w:numId w:val="2"/>
        </w:numPr>
        <w:spacing w:before="40" w:after="40"/>
      </w:pPr>
      <w:r>
        <w:rPr>
          <w:color w:val="222222"/>
        </w:rPr>
        <w:t>86. [Tier 3] RegTech market entry strategy</w:t>
      </w:r>
    </w:p>
    <w:p w:rsidR="00E7192E" w:rsidRDefault="00000000">
      <w:pPr>
        <w:pStyle w:val="ListParagraph"/>
        <w:numPr>
          <w:ilvl w:val="0"/>
          <w:numId w:val="2"/>
        </w:numPr>
        <w:spacing w:before="40" w:after="40"/>
      </w:pPr>
      <w:r>
        <w:rPr>
          <w:color w:val="222222"/>
        </w:rPr>
        <w:t>87. [Tier 3] LegalTech market entry strategy</w:t>
      </w:r>
    </w:p>
    <w:p w:rsidR="00E7192E" w:rsidRDefault="00000000">
      <w:pPr>
        <w:pStyle w:val="ListParagraph"/>
        <w:numPr>
          <w:ilvl w:val="0"/>
          <w:numId w:val="2"/>
        </w:numPr>
        <w:spacing w:before="40" w:after="40"/>
      </w:pPr>
      <w:r>
        <w:rPr>
          <w:color w:val="222222"/>
        </w:rPr>
        <w:t>88. [Tier 3] Port and maritime logistics market entry strategy</w:t>
      </w:r>
    </w:p>
    <w:p w:rsidR="00E7192E" w:rsidRDefault="00000000">
      <w:pPr>
        <w:pStyle w:val="ListParagraph"/>
        <w:numPr>
          <w:ilvl w:val="0"/>
          <w:numId w:val="2"/>
        </w:numPr>
        <w:spacing w:before="40" w:after="40"/>
      </w:pPr>
      <w:r>
        <w:rPr>
          <w:color w:val="222222"/>
        </w:rPr>
        <w:t>89. [Tier 3] Electric two and three wheeler market entry strategy</w:t>
      </w:r>
    </w:p>
    <w:p w:rsidR="00E7192E" w:rsidRDefault="00000000">
      <w:pPr>
        <w:pStyle w:val="ListParagraph"/>
        <w:numPr>
          <w:ilvl w:val="0"/>
          <w:numId w:val="2"/>
        </w:numPr>
        <w:spacing w:before="40" w:after="40"/>
      </w:pPr>
      <w:r>
        <w:rPr>
          <w:color w:val="222222"/>
        </w:rPr>
        <w:t>90. [Tier 3] B2B marketplace market entry strategy</w:t>
      </w:r>
    </w:p>
    <w:p w:rsidR="00E7192E" w:rsidRDefault="00000000">
      <w:pPr>
        <w:pStyle w:val="ListParagraph"/>
        <w:numPr>
          <w:ilvl w:val="0"/>
          <w:numId w:val="2"/>
        </w:numPr>
        <w:spacing w:before="40" w:after="40"/>
      </w:pPr>
      <w:r>
        <w:rPr>
          <w:color w:val="222222"/>
        </w:rPr>
        <w:t>91. [Tier 3] Climate fintech and green finance market entry strategy</w:t>
      </w:r>
    </w:p>
    <w:p w:rsidR="00E7192E" w:rsidRDefault="00000000">
      <w:pPr>
        <w:pStyle w:val="ListParagraph"/>
        <w:numPr>
          <w:ilvl w:val="0"/>
          <w:numId w:val="2"/>
        </w:numPr>
        <w:spacing w:before="40" w:after="40"/>
      </w:pPr>
      <w:r>
        <w:rPr>
          <w:color w:val="222222"/>
        </w:rPr>
        <w:t>92. [Tier 3] Precision fermentation market entry strategy</w:t>
      </w:r>
    </w:p>
    <w:p w:rsidR="00E7192E" w:rsidRDefault="00000000">
      <w:pPr>
        <w:pStyle w:val="ListParagraph"/>
        <w:numPr>
          <w:ilvl w:val="0"/>
          <w:numId w:val="2"/>
        </w:numPr>
        <w:spacing w:before="40" w:after="40"/>
      </w:pPr>
      <w:r>
        <w:rPr>
          <w:color w:val="222222"/>
        </w:rPr>
        <w:t>93. [Tier 3] Online gaming and iGaming market entry strategy</w:t>
      </w:r>
    </w:p>
    <w:p w:rsidR="00E7192E" w:rsidRDefault="00000000">
      <w:pPr>
        <w:pStyle w:val="ListParagraph"/>
        <w:numPr>
          <w:ilvl w:val="0"/>
          <w:numId w:val="2"/>
        </w:numPr>
        <w:spacing w:before="40" w:after="40"/>
      </w:pPr>
      <w:r>
        <w:rPr>
          <w:color w:val="222222"/>
        </w:rPr>
        <w:t>94. [Tier 3] Digital health insurance market entry strategy</w:t>
      </w:r>
    </w:p>
    <w:p w:rsidR="00E7192E" w:rsidRDefault="00000000">
      <w:pPr>
        <w:pStyle w:val="ListParagraph"/>
        <w:numPr>
          <w:ilvl w:val="0"/>
          <w:numId w:val="2"/>
        </w:numPr>
        <w:spacing w:before="40" w:after="40"/>
      </w:pPr>
      <w:r>
        <w:rPr>
          <w:color w:val="222222"/>
        </w:rPr>
        <w:t>95. [Tier 3] Personalised nutrition market entry strategy</w:t>
      </w:r>
    </w:p>
    <w:p w:rsidR="00E7192E" w:rsidRDefault="00000000">
      <w:pPr>
        <w:pStyle w:val="ListParagraph"/>
        <w:numPr>
          <w:ilvl w:val="0"/>
          <w:numId w:val="2"/>
        </w:numPr>
        <w:spacing w:before="40" w:after="40"/>
      </w:pPr>
      <w:r>
        <w:rPr>
          <w:color w:val="222222"/>
        </w:rPr>
        <w:t>96. [Tier 3] Agricultural insurance and agri-insurtech market entry strategy</w:t>
      </w:r>
    </w:p>
    <w:p w:rsidR="00E7192E" w:rsidRDefault="00E7192E">
      <w:pPr>
        <w:pBdr>
          <w:bottom w:val="single" w:sz="8" w:space="1" w:color="1B2A4A"/>
        </w:pBdr>
        <w:spacing w:before="200" w:after="200"/>
      </w:pPr>
    </w:p>
    <w:p w:rsidR="00E7192E" w:rsidRDefault="00000000">
      <w:pPr>
        <w:pStyle w:val="Heading1"/>
      </w:pPr>
      <w:r>
        <w:t>Running total across all batches</w:t>
      </w:r>
    </w:p>
    <w:p w:rsidR="00E7192E" w:rsidRDefault="00000000">
      <w:pPr>
        <w:spacing w:before="60" w:after="60"/>
      </w:pPr>
      <w:r>
        <w:rPr>
          <w:color w:val="222222"/>
        </w:rPr>
        <w:t>Batch 1:    pages 1–15   (15 pages)</w:t>
      </w:r>
    </w:p>
    <w:p w:rsidR="00E7192E" w:rsidRDefault="00000000">
      <w:pPr>
        <w:spacing w:before="60" w:after="60"/>
      </w:pPr>
      <w:r>
        <w:rPr>
          <w:color w:val="222222"/>
        </w:rPr>
        <w:t>Batch 1B:   pages 16–40  (25 pages)</w:t>
      </w:r>
    </w:p>
    <w:p w:rsidR="00E7192E" w:rsidRDefault="00000000">
      <w:pPr>
        <w:spacing w:before="60" w:after="60"/>
      </w:pPr>
      <w:r>
        <w:rPr>
          <w:color w:val="222222"/>
        </w:rPr>
        <w:t>Batch 2:    pages 41–60  (20 pages)</w:t>
      </w:r>
    </w:p>
    <w:p w:rsidR="00E7192E" w:rsidRDefault="00000000">
      <w:pPr>
        <w:spacing w:before="60" w:after="60"/>
      </w:pPr>
      <w:r>
        <w:rPr>
          <w:color w:val="222222"/>
        </w:rPr>
        <w:t>Batch 3:    pages 61–80  (20 pages)</w:t>
      </w:r>
    </w:p>
    <w:p w:rsidR="00E7192E" w:rsidRDefault="00000000">
      <w:pPr>
        <w:spacing w:before="60" w:after="60"/>
      </w:pPr>
      <w:r>
        <w:rPr>
          <w:color w:val="222222"/>
        </w:rPr>
        <w:t>Batch 4:    pages 81–100 (20 pages)</w:t>
      </w:r>
    </w:p>
    <w:p w:rsidR="00E7192E" w:rsidRDefault="00000000">
      <w:pPr>
        <w:spacing w:before="60" w:after="60"/>
      </w:pPr>
      <w:r>
        <w:rPr>
          <w:color w:val="222222"/>
        </w:rPr>
        <w:t>Total pages written and ready for Replit: 100 pages</w:t>
      </w:r>
    </w:p>
    <w:p w:rsidR="00E7192E" w:rsidRDefault="00E7192E">
      <w:pPr>
        <w:pBdr>
          <w:bottom w:val="single" w:sz="8" w:space="1" w:color="1B2A4A"/>
        </w:pBdr>
        <w:spacing w:before="200" w:after="200"/>
      </w:pPr>
    </w:p>
    <w:p w:rsidR="00E7192E" w:rsidRDefault="00000000">
      <w:pPr>
        <w:pStyle w:val="Heading1"/>
      </w:pPr>
      <w:r>
        <w:lastRenderedPageBreak/>
        <w:t>Replit prompt — paste to build pages 81-100</w:t>
      </w:r>
    </w:p>
    <w:p w:rsidR="00E7192E" w:rsidRDefault="00000000">
      <w:pPr>
        <w:spacing w:before="60" w:after="60"/>
      </w:pPr>
      <w:r>
        <w:rPr>
          <w:i/>
          <w:iCs/>
          <w:color w:val="666666"/>
          <w:sz w:val="18"/>
          <w:szCs w:val="18"/>
        </w:rPr>
        <w:t>Paste into Replit AI. Template and all previous batches already exist — this prompt only builds new pages.</w:t>
      </w:r>
    </w:p>
    <w:p w:rsidR="00E7192E" w:rsidRDefault="00E7192E">
      <w:pPr>
        <w:spacing w:before="80" w:after="80"/>
      </w:pPr>
    </w:p>
    <w:p w:rsidR="00E7192E" w:rsidRDefault="00E7192E">
      <w:pPr>
        <w:shd w:val="clear" w:color="auto" w:fill="F0F0F0"/>
        <w:spacing w:before="14" w:after="14"/>
        <w:ind w:left="360"/>
      </w:pPr>
    </w:p>
    <w:p w:rsidR="00E7192E" w:rsidRDefault="00000000">
      <w:pPr>
        <w:shd w:val="clear" w:color="auto" w:fill="F0F0F0"/>
        <w:spacing w:before="14" w:after="14"/>
        <w:ind w:left="360"/>
      </w:pPr>
      <w:r>
        <w:rPr>
          <w:rFonts w:ascii="Courier New" w:eastAsia="Courier New" w:hAnsi="Courier New" w:cs="Courier New"/>
          <w:color w:val="1B2A4A"/>
          <w:sz w:val="16"/>
          <w:szCs w:val="16"/>
        </w:rPr>
        <w:t>You are adding Batch 4 industry pages to the GreyRadius website.</w:t>
      </w:r>
    </w:p>
    <w:p w:rsidR="00E7192E" w:rsidRDefault="00000000">
      <w:pPr>
        <w:shd w:val="clear" w:color="auto" w:fill="F0F0F0"/>
        <w:spacing w:before="14" w:after="14"/>
        <w:ind w:left="360"/>
      </w:pPr>
      <w:r>
        <w:rPr>
          <w:rFonts w:ascii="Courier New" w:eastAsia="Courier New" w:hAnsi="Courier New" w:cs="Courier New"/>
          <w:color w:val="1B2A4A"/>
          <w:sz w:val="16"/>
          <w:szCs w:val="16"/>
        </w:rPr>
        <w:t>The template already exists at templates/industry-page-template.html</w:t>
      </w:r>
    </w:p>
    <w:p w:rsidR="00E7192E" w:rsidRDefault="00000000">
      <w:pPr>
        <w:shd w:val="clear" w:color="auto" w:fill="F0F0F0"/>
        <w:spacing w:before="14" w:after="14"/>
        <w:ind w:left="360"/>
      </w:pPr>
      <w:r>
        <w:rPr>
          <w:rFonts w:ascii="Courier New" w:eastAsia="Courier New" w:hAnsi="Courier New" w:cs="Courier New"/>
          <w:color w:val="1B2A4A"/>
          <w:sz w:val="16"/>
          <w:szCs w:val="16"/>
        </w:rPr>
        <w:t>Batches 1, 1B, 2, and 3 pages have already been built.</w:t>
      </w:r>
    </w:p>
    <w:p w:rsidR="00E7192E" w:rsidRDefault="00E7192E">
      <w:pPr>
        <w:shd w:val="clear" w:color="auto" w:fill="F0F0F0"/>
        <w:spacing w:before="14" w:after="14"/>
        <w:ind w:left="360"/>
      </w:pPr>
    </w:p>
    <w:p w:rsidR="00E7192E" w:rsidRDefault="00000000">
      <w:pPr>
        <w:shd w:val="clear" w:color="auto" w:fill="F0F0F0"/>
        <w:spacing w:before="14" w:after="14"/>
        <w:ind w:left="360"/>
      </w:pPr>
      <w:r>
        <w:rPr>
          <w:rFonts w:ascii="Courier New" w:eastAsia="Courier New" w:hAnsi="Courier New" w:cs="Courier New"/>
          <w:color w:val="1B2A4A"/>
          <w:sz w:val="16"/>
          <w:szCs w:val="16"/>
        </w:rPr>
        <w:t>STEP 1: Confirm data/industry-pages-batch4.json exists.</w:t>
      </w:r>
    </w:p>
    <w:p w:rsidR="00E7192E" w:rsidRDefault="00000000">
      <w:pPr>
        <w:shd w:val="clear" w:color="auto" w:fill="F0F0F0"/>
        <w:spacing w:before="14" w:after="14"/>
        <w:ind w:left="360"/>
      </w:pPr>
      <w:r>
        <w:rPr>
          <w:rFonts w:ascii="Courier New" w:eastAsia="Courier New" w:hAnsi="Courier New" w:cs="Courier New"/>
          <w:color w:val="1B2A4A"/>
          <w:sz w:val="16"/>
          <w:szCs w:val="16"/>
        </w:rPr>
        <w:t>If it does not exist, stop and tell me.</w:t>
      </w:r>
    </w:p>
    <w:p w:rsidR="00E7192E" w:rsidRDefault="00E7192E">
      <w:pPr>
        <w:shd w:val="clear" w:color="auto" w:fill="F0F0F0"/>
        <w:spacing w:before="14" w:after="14"/>
        <w:ind w:left="360"/>
      </w:pPr>
    </w:p>
    <w:p w:rsidR="00E7192E" w:rsidRDefault="00000000">
      <w:pPr>
        <w:shd w:val="clear" w:color="auto" w:fill="F0F0F0"/>
        <w:spacing w:before="14" w:after="14"/>
        <w:ind w:left="360"/>
      </w:pPr>
      <w:r>
        <w:rPr>
          <w:rFonts w:ascii="Courier New" w:eastAsia="Courier New" w:hAnsi="Courier New" w:cs="Courier New"/>
          <w:color w:val="1B2A4A"/>
          <w:sz w:val="16"/>
          <w:szCs w:val="16"/>
        </w:rPr>
        <w:t>STEP 2: For each entry in data/industry-pages-batch4.json,</w:t>
      </w:r>
    </w:p>
    <w:p w:rsidR="00E7192E" w:rsidRDefault="00000000">
      <w:pPr>
        <w:shd w:val="clear" w:color="auto" w:fill="F0F0F0"/>
        <w:spacing w:before="14" w:after="14"/>
        <w:ind w:left="360"/>
      </w:pPr>
      <w:r>
        <w:rPr>
          <w:rFonts w:ascii="Courier New" w:eastAsia="Courier New" w:hAnsi="Courier New" w:cs="Courier New"/>
          <w:color w:val="1B2A4A"/>
          <w:sz w:val="16"/>
          <w:szCs w:val="16"/>
        </w:rPr>
        <w:t>determine output path:</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tier 2: industries/{{parent}}/{{slug}}.html</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tier 3: industries/{{parent}}/{{slug}}.html</w:t>
      </w:r>
    </w:p>
    <w:p w:rsidR="00E7192E" w:rsidRDefault="00E7192E">
      <w:pPr>
        <w:shd w:val="clear" w:color="auto" w:fill="F0F0F0"/>
        <w:spacing w:before="14" w:after="14"/>
        <w:ind w:left="360"/>
      </w:pPr>
    </w:p>
    <w:p w:rsidR="00E7192E" w:rsidRDefault="00000000">
      <w:pPr>
        <w:shd w:val="clear" w:color="auto" w:fill="F0F0F0"/>
        <w:spacing w:before="14" w:after="14"/>
        <w:ind w:left="360"/>
      </w:pPr>
      <w:r>
        <w:rPr>
          <w:rFonts w:ascii="Courier New" w:eastAsia="Courier New" w:hAnsi="Courier New" w:cs="Courier New"/>
          <w:color w:val="1B2A4A"/>
          <w:sz w:val="16"/>
          <w:szCs w:val="16"/>
        </w:rPr>
        <w:t>Create directory if needed.</w:t>
      </w:r>
    </w:p>
    <w:p w:rsidR="00E7192E" w:rsidRDefault="00E7192E">
      <w:pPr>
        <w:shd w:val="clear" w:color="auto" w:fill="F0F0F0"/>
        <w:spacing w:before="14" w:after="14"/>
        <w:ind w:left="360"/>
      </w:pPr>
    </w:p>
    <w:p w:rsidR="00E7192E" w:rsidRDefault="00000000">
      <w:pPr>
        <w:shd w:val="clear" w:color="auto" w:fill="F0F0F0"/>
        <w:spacing w:before="14" w:after="14"/>
        <w:ind w:left="360"/>
      </w:pPr>
      <w:r>
        <w:rPr>
          <w:rFonts w:ascii="Courier New" w:eastAsia="Courier New" w:hAnsi="Courier New" w:cs="Courier New"/>
          <w:color w:val="1B2A4A"/>
          <w:sz w:val="16"/>
          <w:szCs w:val="16"/>
        </w:rPr>
        <w:t>STEP 3: For each page, read the template fresh,</w:t>
      </w:r>
    </w:p>
    <w:p w:rsidR="00E7192E" w:rsidRDefault="00000000">
      <w:pPr>
        <w:shd w:val="clear" w:color="auto" w:fill="F0F0F0"/>
        <w:spacing w:before="14" w:after="14"/>
        <w:ind w:left="360"/>
      </w:pPr>
      <w:r>
        <w:rPr>
          <w:rFonts w:ascii="Courier New" w:eastAsia="Courier New" w:hAnsi="Courier New" w:cs="Courier New"/>
          <w:color w:val="1B2A4A"/>
          <w:sz w:val="16"/>
          <w:szCs w:val="16"/>
        </w:rPr>
        <w:t>replace ALL tokens using the same logic as previous batches.</w:t>
      </w:r>
    </w:p>
    <w:p w:rsidR="00E7192E" w:rsidRDefault="00E7192E">
      <w:pPr>
        <w:shd w:val="clear" w:color="auto" w:fill="F0F0F0"/>
        <w:spacing w:before="14" w:after="14"/>
        <w:ind w:left="360"/>
      </w:pPr>
    </w:p>
    <w:p w:rsidR="00E7192E" w:rsidRDefault="00000000">
      <w:pPr>
        <w:shd w:val="clear" w:color="auto" w:fill="F0F0F0"/>
        <w:spacing w:before="14" w:after="14"/>
        <w:ind w:left="360"/>
      </w:pPr>
      <w:r>
        <w:rPr>
          <w:rFonts w:ascii="Courier New" w:eastAsia="Courier New" w:hAnsi="Courier New" w:cs="Courier New"/>
          <w:color w:val="1B2A4A"/>
          <w:sz w:val="16"/>
          <w:szCs w:val="16"/>
        </w:rPr>
        <w:t>Note: Batch 4 pages include stat fields directly on the page</w:t>
      </w:r>
    </w:p>
    <w:p w:rsidR="00E7192E" w:rsidRDefault="00000000">
      <w:pPr>
        <w:shd w:val="clear" w:color="auto" w:fill="F0F0F0"/>
        <w:spacing w:before="14" w:after="14"/>
        <w:ind w:left="360"/>
      </w:pPr>
      <w:r>
        <w:rPr>
          <w:rFonts w:ascii="Courier New" w:eastAsia="Courier New" w:hAnsi="Courier New" w:cs="Courier New"/>
          <w:color w:val="1B2A4A"/>
          <w:sz w:val="16"/>
          <w:szCs w:val="16"/>
        </w:rPr>
        <w:t>objects as stat1n, stat1l, stat1b, stat2n, stat2l, stat2b,</w:t>
      </w:r>
    </w:p>
    <w:p w:rsidR="00E7192E" w:rsidRDefault="00000000">
      <w:pPr>
        <w:shd w:val="clear" w:color="auto" w:fill="F0F0F0"/>
        <w:spacing w:before="14" w:after="14"/>
        <w:ind w:left="360"/>
      </w:pPr>
      <w:r>
        <w:rPr>
          <w:rFonts w:ascii="Courier New" w:eastAsia="Courier New" w:hAnsi="Courier New" w:cs="Courier New"/>
          <w:color w:val="1B2A4A"/>
          <w:sz w:val="16"/>
          <w:szCs w:val="16"/>
        </w:rPr>
        <w:t>stat3n, stat3l, stat3b. Use these values directly.</w:t>
      </w:r>
    </w:p>
    <w:p w:rsidR="00E7192E" w:rsidRDefault="00E7192E">
      <w:pPr>
        <w:shd w:val="clear" w:color="auto" w:fill="F0F0F0"/>
        <w:spacing w:before="14" w:after="14"/>
        <w:ind w:left="360"/>
      </w:pPr>
    </w:p>
    <w:p w:rsidR="00E7192E" w:rsidRDefault="00000000">
      <w:pPr>
        <w:shd w:val="clear" w:color="auto" w:fill="F0F0F0"/>
        <w:spacing w:before="14" w:after="14"/>
        <w:ind w:left="360"/>
      </w:pPr>
      <w:r>
        <w:rPr>
          <w:rFonts w:ascii="Courier New" w:eastAsia="Courier New" w:hAnsi="Courier New" w:cs="Courier New"/>
          <w:color w:val="1B2A4A"/>
          <w:sz w:val="16"/>
          <w:szCs w:val="16"/>
        </w:rPr>
        <w:t>Replace ALL tokens including all previously defined ones</w:t>
      </w:r>
    </w:p>
    <w:p w:rsidR="00E7192E" w:rsidRDefault="00000000">
      <w:pPr>
        <w:shd w:val="clear" w:color="auto" w:fill="F0F0F0"/>
        <w:spacing w:before="14" w:after="14"/>
        <w:ind w:left="360"/>
      </w:pPr>
      <w:r>
        <w:rPr>
          <w:rFonts w:ascii="Courier New" w:eastAsia="Courier New" w:hAnsi="Courier New" w:cs="Courier New"/>
          <w:color w:val="1B2A4A"/>
          <w:sz w:val="16"/>
          <w:szCs w:val="16"/>
        </w:rPr>
        <w:t>plus the stat tokens.</w:t>
      </w:r>
    </w:p>
    <w:p w:rsidR="00E7192E" w:rsidRDefault="00E7192E">
      <w:pPr>
        <w:shd w:val="clear" w:color="auto" w:fill="F0F0F0"/>
        <w:spacing w:before="14" w:after="14"/>
        <w:ind w:left="360"/>
      </w:pPr>
    </w:p>
    <w:p w:rsidR="00E7192E" w:rsidRDefault="00000000">
      <w:pPr>
        <w:shd w:val="clear" w:color="auto" w:fill="F0F0F0"/>
        <w:spacing w:before="14" w:after="14"/>
        <w:ind w:left="360"/>
      </w:pPr>
      <w:r>
        <w:rPr>
          <w:rFonts w:ascii="Courier New" w:eastAsia="Courier New" w:hAnsi="Courier New" w:cs="Courier New"/>
          <w:color w:val="1B2A4A"/>
          <w:sz w:val="16"/>
          <w:szCs w:val="16"/>
        </w:rPr>
        <w:t>After all replacements, scan for any remaining</w:t>
      </w:r>
    </w:p>
    <w:p w:rsidR="00E7192E" w:rsidRDefault="00000000">
      <w:pPr>
        <w:shd w:val="clear" w:color="auto" w:fill="F0F0F0"/>
        <w:spacing w:before="14" w:after="14"/>
        <w:ind w:left="360"/>
      </w:pPr>
      <w:r>
        <w:rPr>
          <w:rFonts w:ascii="Courier New" w:eastAsia="Courier New" w:hAnsi="Courier New" w:cs="Courier New"/>
          <w:color w:val="1B2A4A"/>
          <w:sz w:val="16"/>
          <w:szCs w:val="16"/>
        </w:rPr>
        <w:t>{{ }} tokens. Replace with empty string and</w:t>
      </w:r>
    </w:p>
    <w:p w:rsidR="00E7192E" w:rsidRDefault="00000000">
      <w:pPr>
        <w:shd w:val="clear" w:color="auto" w:fill="F0F0F0"/>
        <w:spacing w:before="14" w:after="14"/>
        <w:ind w:left="360"/>
      </w:pPr>
      <w:r>
        <w:rPr>
          <w:rFonts w:ascii="Courier New" w:eastAsia="Courier New" w:hAnsi="Courier New" w:cs="Courier New"/>
          <w:color w:val="1B2A4A"/>
          <w:sz w:val="16"/>
          <w:szCs w:val="16"/>
        </w:rPr>
        <w:t>log a warning for each one found.</w:t>
      </w:r>
    </w:p>
    <w:p w:rsidR="00E7192E" w:rsidRDefault="00E7192E">
      <w:pPr>
        <w:shd w:val="clear" w:color="auto" w:fill="F0F0F0"/>
        <w:spacing w:before="14" w:after="14"/>
        <w:ind w:left="360"/>
      </w:pPr>
    </w:p>
    <w:p w:rsidR="00E7192E" w:rsidRDefault="00000000">
      <w:pPr>
        <w:shd w:val="clear" w:color="auto" w:fill="F0F0F0"/>
        <w:spacing w:before="14" w:after="14"/>
        <w:ind w:left="360"/>
      </w:pPr>
      <w:r>
        <w:rPr>
          <w:rFonts w:ascii="Courier New" w:eastAsia="Courier New" w:hAnsi="Courier New" w:cs="Courier New"/>
          <w:color w:val="1B2A4A"/>
          <w:sz w:val="16"/>
          <w:szCs w:val="16"/>
        </w:rPr>
        <w:t>STEP 4: Write each completed HTML to the output path.</w:t>
      </w:r>
    </w:p>
    <w:p w:rsidR="00E7192E" w:rsidRDefault="00000000">
      <w:pPr>
        <w:shd w:val="clear" w:color="auto" w:fill="F0F0F0"/>
        <w:spacing w:before="14" w:after="14"/>
        <w:ind w:left="360"/>
      </w:pPr>
      <w:r>
        <w:rPr>
          <w:rFonts w:ascii="Courier New" w:eastAsia="Courier New" w:hAnsi="Courier New" w:cs="Courier New"/>
          <w:color w:val="1B2A4A"/>
          <w:sz w:val="16"/>
          <w:szCs w:val="16"/>
        </w:rPr>
        <w:t>Log: "Created: [path]"</w:t>
      </w:r>
    </w:p>
    <w:p w:rsidR="00E7192E" w:rsidRDefault="00E7192E">
      <w:pPr>
        <w:shd w:val="clear" w:color="auto" w:fill="F0F0F0"/>
        <w:spacing w:before="14" w:after="14"/>
        <w:ind w:left="360"/>
      </w:pPr>
    </w:p>
    <w:p w:rsidR="00E7192E" w:rsidRDefault="00000000">
      <w:pPr>
        <w:shd w:val="clear" w:color="auto" w:fill="F0F0F0"/>
        <w:spacing w:before="14" w:after="14"/>
        <w:ind w:left="360"/>
      </w:pPr>
      <w:r>
        <w:rPr>
          <w:rFonts w:ascii="Courier New" w:eastAsia="Courier New" w:hAnsi="Courier New" w:cs="Courier New"/>
          <w:color w:val="1B2A4A"/>
          <w:sz w:val="16"/>
          <w:szCs w:val="16"/>
        </w:rPr>
        <w:t>STEP 5: Add all new page URLs to sitemap.xml.</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Tier 2 pages: priority 0.8</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Tier 3 pages: priority 0.7</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Do not remove existing URLs.</w:t>
      </w:r>
    </w:p>
    <w:p w:rsidR="00E7192E" w:rsidRDefault="00E7192E">
      <w:pPr>
        <w:shd w:val="clear" w:color="auto" w:fill="F0F0F0"/>
        <w:spacing w:before="14" w:after="14"/>
        <w:ind w:left="360"/>
      </w:pPr>
    </w:p>
    <w:p w:rsidR="00E7192E" w:rsidRDefault="00000000">
      <w:pPr>
        <w:shd w:val="clear" w:color="auto" w:fill="F0F0F0"/>
        <w:spacing w:before="14" w:after="14"/>
        <w:ind w:left="360"/>
      </w:pPr>
      <w:r>
        <w:rPr>
          <w:rFonts w:ascii="Courier New" w:eastAsia="Courier New" w:hAnsi="Courier New" w:cs="Courier New"/>
          <w:color w:val="1B2A4A"/>
          <w:sz w:val="16"/>
          <w:szCs w:val="16"/>
        </w:rPr>
        <w:t>STEP 6: Update the industries dropdown navigation</w:t>
      </w:r>
    </w:p>
    <w:p w:rsidR="00E7192E" w:rsidRDefault="00000000">
      <w:pPr>
        <w:shd w:val="clear" w:color="auto" w:fill="F0F0F0"/>
        <w:spacing w:before="14" w:after="14"/>
        <w:ind w:left="360"/>
      </w:pPr>
      <w:r>
        <w:rPr>
          <w:rFonts w:ascii="Courier New" w:eastAsia="Courier New" w:hAnsi="Courier New" w:cs="Courier New"/>
          <w:color w:val="1B2A4A"/>
          <w:sz w:val="16"/>
          <w:szCs w:val="16"/>
        </w:rPr>
        <w:t>to include all new Batch 4 pages.</w:t>
      </w:r>
    </w:p>
    <w:p w:rsidR="00E7192E" w:rsidRDefault="00E7192E">
      <w:pPr>
        <w:shd w:val="clear" w:color="auto" w:fill="F0F0F0"/>
        <w:spacing w:before="14" w:after="14"/>
        <w:ind w:left="360"/>
      </w:pPr>
    </w:p>
    <w:p w:rsidR="00E7192E" w:rsidRDefault="00000000">
      <w:pPr>
        <w:shd w:val="clear" w:color="auto" w:fill="F0F0F0"/>
        <w:spacing w:before="14" w:after="14"/>
        <w:ind w:left="360"/>
      </w:pPr>
      <w:r>
        <w:rPr>
          <w:rFonts w:ascii="Courier New" w:eastAsia="Courier New" w:hAnsi="Courier New" w:cs="Courier New"/>
          <w:color w:val="1B2A4A"/>
          <w:sz w:val="16"/>
          <w:szCs w:val="16"/>
        </w:rPr>
        <w:t>STEP 7: Output a summary:</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 Total pages created (should be 20)</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 List of all file paths created</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 Count of any token warnings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 Confirmation sitemap updated</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 Confirmation navigation updated</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 Any failures with explanation</w:t>
      </w:r>
    </w:p>
    <w:p w:rsidR="00E7192E" w:rsidRDefault="00E7192E">
      <w:pPr>
        <w:shd w:val="clear" w:color="auto" w:fill="F0F0F0"/>
        <w:spacing w:before="14" w:after="14"/>
        <w:ind w:left="360"/>
      </w:pPr>
    </w:p>
    <w:p w:rsidR="00E7192E" w:rsidRDefault="00000000">
      <w:pPr>
        <w:shd w:val="clear" w:color="auto" w:fill="F0F0F0"/>
        <w:spacing w:before="14" w:after="14"/>
        <w:ind w:left="360"/>
      </w:pPr>
      <w:r>
        <w:rPr>
          <w:rFonts w:ascii="Courier New" w:eastAsia="Courier New" w:hAnsi="Courier New" w:cs="Courier New"/>
          <w:color w:val="1B2A4A"/>
          <w:sz w:val="16"/>
          <w:szCs w:val="16"/>
        </w:rPr>
        <w:t>DO NOT rebuild any existing pages.</w:t>
      </w:r>
    </w:p>
    <w:p w:rsidR="00E7192E" w:rsidRDefault="00000000">
      <w:pPr>
        <w:shd w:val="clear" w:color="auto" w:fill="F0F0F0"/>
        <w:spacing w:before="14" w:after="14"/>
        <w:ind w:left="360"/>
      </w:pPr>
      <w:r>
        <w:rPr>
          <w:rFonts w:ascii="Courier New" w:eastAsia="Courier New" w:hAnsi="Courier New" w:cs="Courier New"/>
          <w:color w:val="1B2A4A"/>
          <w:sz w:val="16"/>
          <w:szCs w:val="16"/>
        </w:rPr>
        <w:t>DO NOT write any generation scripts.</w:t>
      </w:r>
    </w:p>
    <w:p w:rsidR="00E7192E" w:rsidRDefault="00000000">
      <w:pPr>
        <w:shd w:val="clear" w:color="auto" w:fill="F0F0F0"/>
        <w:spacing w:before="14" w:after="14"/>
        <w:ind w:left="360"/>
      </w:pPr>
      <w:r>
        <w:rPr>
          <w:rFonts w:ascii="Courier New" w:eastAsia="Courier New" w:hAnsi="Courier New" w:cs="Courier New"/>
          <w:color w:val="1B2A4A"/>
          <w:sz w:val="16"/>
          <w:szCs w:val="16"/>
        </w:rPr>
        <w:t>Read the JSON. Write each file directly.</w:t>
      </w:r>
    </w:p>
    <w:p w:rsidR="00E7192E" w:rsidRDefault="00E7192E">
      <w:pPr>
        <w:shd w:val="clear" w:color="auto" w:fill="F0F0F0"/>
        <w:spacing w:before="14" w:after="14"/>
        <w:ind w:left="360"/>
      </w:pPr>
    </w:p>
    <w:p w:rsidR="00E7192E" w:rsidRDefault="00E7192E">
      <w:pPr>
        <w:pBdr>
          <w:bottom w:val="single" w:sz="8" w:space="1" w:color="1B2A4A"/>
        </w:pBdr>
        <w:spacing w:before="200" w:after="200"/>
      </w:pPr>
    </w:p>
    <w:p w:rsidR="00E7192E" w:rsidRDefault="00000000">
      <w:pPr>
        <w:pStyle w:val="Heading1"/>
      </w:pPr>
      <w:r>
        <w:t>JSON appendix — copy into data/industry-pages-batch4.json</w:t>
      </w:r>
    </w:p>
    <w:p w:rsidR="00E7192E" w:rsidRDefault="00000000">
      <w:pPr>
        <w:spacing w:before="60" w:after="60"/>
      </w:pPr>
      <w:r>
        <w:rPr>
          <w:i/>
          <w:iCs/>
          <w:color w:val="666666"/>
          <w:sz w:val="18"/>
          <w:szCs w:val="18"/>
        </w:rPr>
        <w:t>Copy the complete JSON array and save as data/industry-pages-batch4.json</w:t>
      </w:r>
    </w:p>
    <w:p w:rsidR="00E7192E" w:rsidRDefault="00E7192E">
      <w:pPr>
        <w:spacing w:before="80" w:after="40"/>
      </w:pPr>
    </w:p>
    <w:p w:rsidR="00E7192E" w:rsidRDefault="00000000">
      <w:pPr>
        <w:shd w:val="clear" w:color="auto" w:fill="F0F0F0"/>
        <w:spacing w:before="14" w:after="14"/>
        <w:ind w:left="360"/>
      </w:pPr>
      <w:r>
        <w:rPr>
          <w:rFonts w:ascii="Courier New" w:eastAsia="Courier New" w:hAnsi="Courier New" w:cs="Courier New"/>
          <w:color w:val="1B2A4A"/>
          <w:sz w:val="16"/>
          <w:szCs w:val="16"/>
        </w:rPr>
        <w:t>[</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"slug": "hydrogen-fuel-cell",</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"parent": "green-hydrogen",</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"title": "Hydrogen Fuel Cell Market Entry Strategy | GreyRadius Consulting",</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hydrogen fuel cell companies, FCEV manufacturers, and hydrogen mobility businesses with market entry strategy, GTM execution, feasibility studies, and fundraising.",</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"h1": "Hydrogen fuel cell market entry strategy",</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stack to commercial deployment — strategy for hydrogen fuel cell businesses.",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"hero": "Hydrogen fuel cells are reaching commercial scale across mobility, stationary power, and industrial applications — with fuel cell electric vehicles, backup power systems, and hydrogen-powered forklifts and buses all transitioning from demonstration to commercial deployment. Fuel cell stack manufacturers, system integrators, hydrogen mobility operators, and FCEV infrastructure companies are all evaluating new market entry opportunities as government hydrogen programmes create deployment demand and fleet operators seek zero-emission alternatives. GreyRadius helps fuel cell businesses validate commercial demand, navigate regulatory pathways, execute GTM plans, and raise capital.",</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"South Korea, Japan, and the EU have the world's most advanced fuel cell commercial deployment programmes — but the Gulf, India, and Southeast Asia are all launching hydrogen mobility and stationary power programmes that will create significant commercial opportunities in 2025–2029. Companies that establish government relationships and commercial reference deployments in these emerging markets now will hold durable competitive positions.",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"Global hydrogen fuel cell market is projected to reach $50B by 2030 — growing at 35% annually as mobility, stationary power, and industrial applications all achieve commercial scale simultaneously.",</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"Heavy transport is the near-term highest-value fuel cell mobility application — fuel cell trucks, buses, and trains are achieving commercial deployment faster than passenger FCEVs in markets with hydrogen refuelling infrastructure.",</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"Stationary fuel cell power systems are growing rapidly — data centres, hospitals, and critical infrastructure operators are deploying hydrogen fuel cells as backup and primary power in markets with unreliable grid power.",</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"Green hydrogen cost reduction is unlocking fuel cell economics — as electrolyser costs fall and renewable hydrogen production scales, the fuel cost advantage of hydrogen fuel cells over batteries improves in long-range and heavy-load applications."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"Hydrogen refuelling infrastructure is severely limited — the chicken-and-egg problem of needing infrastructure before vehicles and vehicles before infrastructure is the primary constraint on fuel cell mobility adoption.",</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"Green hydrogen supply chain is not yet established in most markets — fuel cell vehicles and systems require reliable, affordable hydrogen supply that is not yet commercially available in most emerging markets.",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"Cost premium over battery electric alternatives is significant — fuel cell systems cost more than battery systems for most light vehicle applications, limiting near-term competitiveness outside heavy transport.",</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"Technology reliability and durability concerns persist — fuel cell stack lifetime, cold-start performance, and hydrogen purity requirements create operational challenges that slow commercial deployment confidence."</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"Fuel cell market opportunity assessment|You need to understand government programme support, hydrogen supply availability, and commercial buyer demand in your target market before committing investment.",</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"Commercial buyer and fleet operator identification|You need to identify bus operators, truck fleet managers, and industrial facility operators who are actively evaluating hydrogen fuel cell deployment.",</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"Regulatory and certification pathway|You need to understand hydrogen vehicle type approval, fuel cell system safety certification, and hydrogen infrastructure regulations in your target market.",</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"GTM for fuel cell technology|You have a fuel cell stack, system, or component and need a go-to-market strategy covering OEM and end-user buyer acquisition.",</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 fuel cell venture|You are raising investment and need a pitch book grounded in commercial deployment data and market demand validation.",</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"Hydrogen infrastructure partnership strategy|You need to identify hydrogen production, compression, and dispensing infrastructure partners to build the supply chain your fuel cell deployment requires."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E7192E"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"Validate commercial buyer demand for hydrogen fuel cells in a new market. Covers fleet operator and facility manager interviews, government programme mapping, hydrogen supply assessment, and a Go/Defer/Kill recommendation.",</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fuel cell deployment investments. Covers hydrogen supply economics, fuel cell system cost, total cost of ownership versus alternatives, and bankable financial projections.",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fuel cell companies. Regulatory certification pathway, fleet buyer and OEM ICP, infrastructure partner identification, and first-commercial-deployment milestone.",</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"Embedded GTM team for fuel cell technology companies. Fleet buyer and OEM outreach, government programme pipeline, and first-supply-contract milestone tracking.",</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fuel cell ventures. Commercial-deployment-validated market sizing, technology economics narrative, and investor identification across hydrogen and clean energy investors.",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in fuel cell operations — from stack performance optimisation and predictive maintenance to hydrogen demand forecasting and fleet management automation."</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fuel cell stack manufacturers or also with FCEV integrators and hydrogen mobility operators?|All three. We work with stack manufacturers on market entry and fundraising, system integrators on market entry and GTM, and mobility operators on market entry and commercial launch.",</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"What fuel cell markets does GreyRadius cover?|Gulf, Southeast Asia, South Asia, and Europe — markets with active hydrogen mobility programmes and stationary power deployment.",</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hydrogen fuel cell market entry engagement take?|Typically 6–10 weeks for commercial buyer research, hydrogen supply assessment, and market entry strategy.",</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hydrogen infrastructure partners for fuel cell companies?|Yes. Hydrogen infrastructure partner identification and initial commercial discussions are part of our market entry execution service."</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"keywords": "hydrogen fuel cell market entry, FCEV GTM strategy, fuel cell consulting, hydrogen mobility advisory, fuel cell market strategy, hydrogen power market entry",</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"regions": "Gulf, Southeast Asia, South Asia, Europe",</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"stat1n": "$50B+",</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"stat1l": "Global hydrogen fuel cell market by 2030",</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"stat1b": "Growing at 35% annually as mobility, stationary power, and industrial applications all achieve commercial scale simultaneously.",</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fuel cell mandate",</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"stat2b": "Fleet operators, government programme managers, and hydrogen infrastructure companies — every mandate is grounded in direct primary conversations.",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"stat3n": "6 weeks",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"stat3l": "Market entry strategy delivery",</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programme mapping and commercial buyer research delivers fuel cell market entry strategies faster, enabling earlier government engagement."</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"slug": "advanced-materials",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"parent": "manufacturing-industrials",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"title": "Advanced Materials Market Entry Strategy | GreyRadius Consulting",</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advanced materials companies, composite manufacturers, and novel material businesses with market entry strategy, GTM execution, feasibility studies, and fundraising.",</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"h1": "Advanced materials market entry strategy",</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laboratory to industrial application — strategy for advanced materials businesses.",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"hero": "Advanced materials — including composites, nanomaterials, biomaterials, smart materials, and novel polymers — are enabling performance improvements across aerospace, defence, automotive, construction, electronics, and healthcare applications. Advanced materials manufacturers, composite fabricators, and materials technology companies are all evaluating new market entry opportunities as end-user industries seek weight reduction, durability improvement, and functional enhancement that conventional materials cannot deliver. GreyRadius helps advanced materials businesses validate industrial demand, assess manufacturing feasibility, execute GTM plans, and raise capital.",</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"Lightweighting requirements from EV manufacturers, aerospace operators, and construction companies are creating significant new demand for advanced composite and novel material applications. India's Defence Production Policy, Gulf industrial diversification programmes, and Southeast Asia's electronics manufacturing expansion are all creating specific advanced materials procurement that sophisticated companies can access in 2024–2027.",</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"Global advanced materials market is projected to reach $120B by 2030 — with carbon fibre composites, high-performance polymers, and biomaterials growing fastest driven by aerospace, EV, and medical device applications.",</w:t>
      </w:r>
    </w:p>
    <w:p w:rsidR="00E7192E"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"Carbon fibre composite demand is growing at 12% annually — driven by aerospace lightweighting requirements, EV body component applications, and wind turbine blade manufacturing.",</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"Nanomaterials are entering commercial production scale — graphene, carbon nanotubes, and nanocomposites are achieving commercial applications in electronics, energy storage, and medical devices after decades of research.",</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"Sustainable and bio-based materials are growing at 20%+ — circular economy pressure and consumer sustainability preferences are driving demand for bio-derived polymers, natural fibre composites, and recyclable advanced materials."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"Application development timelines are long — advanced materials typically require 3–7 years of application engineering and qualification testing before commercial deployment, creating long sales cycle challenges.",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"Scale-up from laboratory to commercial production is technically complex — many advanced materials achieve excellent laboratory performance but face significant manufacturing challenges when scaled to commercial volumes.",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"Customer qualification and testing requirements are extensive — aerospace, defence, and medical device customers require rigorous material qualification processes before approving new advanced materials.",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"Price premium over conventional materials limits addressable applications — advanced materials typically cost 5–20x more than conventional alternatives, restricting adoption to high-value applications where performance justifies the premium."</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"Industrial buyer demand validation|You need to identify which industrial segments and OEM customers are actively evaluating advanced materials for specific applications and what performance and qualification requirements they have.",</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"Application development partner identification|You need to identify R&amp;D partners, application engineering companies, and customer development partners in your target market.",</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"Manufacturing feasibility assessment|You are evaluating a commercial scale manufacturing investment for advanced materials and need a full feasibility study covering demand, cost structure, and financial projections.",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"GTM for an advanced materials company|You have a material product and need a go-to-market strategy covering industrial OEM and tier-1 supplier acquisition.",</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an advanced materials venture|You are raising investment and need a pitch book grounded in industrial demand data and application market sizing.",</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"Competitive intelligence|You need to understand how competing advanced materials companies are positioned and winning qualification programmes in your target market."</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"Validate industrial buyer demand for advanced materials in a new market. Covers OEM and tier-1 supplier interviews, application mapping, competitive analysis, and a Go/Defer/Kill recommendation.",</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advanced materials manufacturing investments. Covers demand modelling, production cost structure, application development timeline, and bankable financial projections.",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advanced materials companies. Application development partner identification, OEM customer ICP, and first-qualification-programme entry milestone.",</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"Embedded GTM team for advanced materials businesses. OEM outreach, application development partner pipeline, and first-supply-contract milestone tracking.",</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advanced materials ventures. Application-demand-validated market sizing, technology narrative, and investor identification across materials and deep tech investors.",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in advanced materials — from materials property prediction and formulation optimisation to quality control automation and supply chain traceability."</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composites manufacturers or also with nanomaterials and bio-based materials companies?|All segments. We work with composites, nanomaterials, biomaterials, and smart materials companies across market entry, GTM, and fundraising.",</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"What advanced materials markets does GreyRadius cover?|Gulf, Southeast Asia, South Asia, and Europe — markets with active aerospace, automotive, and industrial manufacturing sectors.",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an advanced materials market entry engagement take?|Typically 8–12 weeks given the complexity of application development timeline mapping and OEM qualification research.",</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OEM qualification programme opportunities for advanced materials companies?|Yes. OEM and tier-1 supplier identification and initial commercial conversations are part of our market entry execution service."</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"keywords": "advanced materials market entry, composites GTM strategy, novel materials consulting, advanced materials advisory, composite manufacturing market entry, materials science consulting",</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"regions": "Gulf, Southeast Asia, South Asia, Europe",</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"stat1n": "$120B+",</w:t>
      </w:r>
    </w:p>
    <w:p w:rsidR="00E7192E"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"stat1l": "Global advanced materials market by 2030",</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"stat1b": "Carbon fibre composites, high-performance polymers, and nanomaterials growing fastest across aerospace, EV, and medical device applications.",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materials mandate",</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"stat2b": "OEM procurement teams, application engineers, and R&amp;D directors — every engagement grounded in direct industrial buyer research.",</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"stat3n": "8 weeks",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"stat3l": "Market entry strategy delivery",</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application landscape mapping and OEM procurement research delivers advanced materials market entry strategies efficiently."</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"slug": "synthetic-biology",</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"parent": "manufacturing-industrials",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"title": "Synthetic Biology Market Entry Strategy | GreyRadius Consulting",</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synthetic biology companies, bio-manufacturing businesses, and industrial biotechnology firms with market entry strategy, GTM execution, feasibility studies, and fundraising.",</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"h1": "Synthetic biology market entry strategy",</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engineered organism to commercial production — strategy for synthetic biology businesses.",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"hero": "Synthetic biology is enabling the engineering of biological systems to produce materials, chemicals, fuels, pharmaceuticals, and food ingredients that were previously only available through petrochemical synthesis or extraction from natural sources. Bio-manufacturing companies, fermentation technology providers, biological ingredient producers, and synthetic biology platform developers are all evaluating new market entry opportunities as the technology transitions from research tools to commercial production platforms. GreyRadius helps synthetic biology businesses validate industrial and enterprise demand, assess bio-manufacturing feasibility, execute GTM plans, and raise capital.",</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"The convergence of falling DNA synthesis costs, AI-powered protein design, and scaled fermentation infrastructure is making synthetic biology commercially viable across multiple industries simultaneously. Chemical companies, food ingredient manufacturers, pharmaceutical producers, and consumer goods companies are all actively seeking bio-based alternatives to petrochemical ingredients. The companies securing commercial partnerships in 2024–2028 will define the bio-manufacturing supply chains of the next decade.",</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"Global synthetic biology market is projected to reach $70B by 2030 — growing at 28% annually as bio-based chemicals, sustainable ingredients, and biological pharmaceutical manufacturing all reach commercial scale.",</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"Precision fermentation is the most commercially advanced synthetic biology application — producing proteins, fats, and flavour compounds from microorganisms that are identical to animal-derived equivalents at growing cost competitiveness.",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"Industrial biotechnology is displacing petrochemical synthesis for specific chemicals — bio-based 1,3-propanediol, lactic acid, succinic acid, and other platform chemicals are achieving commercial production at competitive cost.",</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"AI-powered protein and metabolic pathway design is accelerating synthetic biology development — what previously took years of laboratory iteration can now be designed computationally, dramatically reducing time to commercial application."</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"Regulatory approval pathways for novel bio-based ingredients and materials are complex and market-specific — food ingredients, pharmaceuticals, and industrial chemicals all have different regulatory frameworks.",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"Scale-up from fermentation laboratory to commercial bioreactor is technically challenging — many synthetic biology applications achieve excellent small-scale performance but face significant yield and productivity challenges at commercial scale.",</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"Consumer acceptance of bio-manufactured ingredients is not guaranteed — precision fermentation dairy and egg proteins face consumer perception challenges despite identical nutritional profiles to conventional alternatives.",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"Competition from established petrochemical and natural ingredient suppliers is intense — incumbent suppliers have cost, scale, and customer relationship advantages that synthetic biology companies must overcome."</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"Industrial and enterprise buyer demand validation|You need to identify which chemical companies, food manufacturers, and consumer goods companies are actively seeking bio-based alternatives to conventional ingredients.",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"Bio-manufacturing feasibility assessment|You are evaluating a commercial scale bio-manufacturing investment and need a full feasibility study covering fermentation economics, yield projections, and financial modelling.",</w:t>
      </w:r>
    </w:p>
    <w:p w:rsidR="00E7192E"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"Regulatory pathway mapping|You need to understand the regulatory classification and approval requirements for your bio-based product in target markets including food, pharmaceutical, and chemical regulations.",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"GTM for a synthetic biology company|You have a bio-manufactured product or platform and need a go-to-market strategy covering industrial and enterprise buyer acquisition.",</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 synthetic biology venture|You are raising investment and need a pitch book grounded in commercial partnership data and market sizing.",</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"Strategic partner identification|You need to identify fermentation contract manufacturers, ingredient distributors, and enterprise co-development partners in your target market."</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"Validate industrial and enterprise demand for bio-manufactured products in a new market. Covers chemical company and food manufacturer buyer interviews, regulatory mapping, competitive analysis, and a Go/Defer/Kill recommendation.",</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bio-manufacturing investments. Covers fermentation yield modelling, production cost structure, regulatory pathway cost, and bankable financial projections.",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synthetic biology companies. Regulatory pathway, enterprise buyer ICP, contract manufacturer identification, and first-commercial-partnership milestone.",</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"Embedded GTM team for synthetic biology platforms. Enterprise buyer outreach, co-development partner pipeline, and first-revenue milestone tracking.",</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synthetic biology ventures. Commercial-partnership-validated market sizing, bio-manufacturing economics, and investor identification across biotech and industrial PE.",</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in synthetic biology — from AI-powered metabolic pathway design and strain optimisation to fermentation process control and automated quality monitoring."</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precision fermentation companies or also with industrial biotechnology and bio-chemical companies?|All segments. We work across precision fermentation, industrial biotechnology, bio-based chemicals, and biological pharmaceutical manufacturing on market entry, GTM, and fundraising.",</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"What synthetic biology markets does GreyRadius cover?|Europe, Southeast Asia, South Asia, and the Gulf — markets with active industrial biotechnology investment and bio-manufacturing infrastructure.",</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synthetic biology market entry engagement take?|Typically 8–12 weeks given the complexity of regulatory pathway mapping and industrial buyer research.",</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contract fermentation manufacturing partners for synthetic biology companies?|Yes. Contract manufacturing partner identification and initial commercial discussions are part of our market entry execution service."</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"keywords": "synthetic biology market entry, bio manufacturing GTM strategy, industrial biotech consulting, precision fermentation advisory, synbio market entry, bio based materials strategy",</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"regions": "Europe, Southeast Asia, South Asia, Gulf",</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"stat1n": "$70B+",</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"stat1l": "Global synthetic biology market by 2030",</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"stat1b": "Growing at 28% annually as bio-based chemicals, precision fermentation proteins, and biological pharmaceutical manufacturing all reach commercial scale.",</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synbio mandate",</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"stat2b": "Chemical company buyers, food manufacturers, and fermentation infrastructure operators — every engagement grounded in direct industrial buyer research.",</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"stat3n": "8 weeks",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"stat3l": "Market entry strategy delivery",</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regulatory mapping and commercial buyer research delivers synthetic biology market entry strategies efficiently."</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"slug": "neurotechnology",</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"parent": "healthcare-life-sciences",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"title": "Neurotechnology Market Entry Strategy | GreyRadius Consulting",</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neurotechnology companies, brain-computer interface businesses, and neural monitoring technology providers with market entry strategy, GTM execution, and fundraising.",</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"h1": "Neurotechnology market entry strategy",</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neural signal to clinical deployment — strategy for neurotechnology businesses.",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"hero": "Neurotechnology — technologies that interact with, monitor, or augment the human nervous system — is transitioning from research laboratories to clinical and consumer applications. EEG monitoring platforms, brain-computer interface companies, neuromodulation device makers, and neurofeedback application developers are all evaluating new market entry opportunities as clinical validation accumulates and regulatory pathways mature. GreyRadius helps neurotechnology businesses </w:t>
      </w:r>
      <w:r>
        <w:rPr>
          <w:rFonts w:ascii="Courier New" w:eastAsia="Courier New" w:hAnsi="Courier New" w:cs="Courier New"/>
          <w:color w:val="1B2A4A"/>
          <w:sz w:val="16"/>
          <w:szCs w:val="16"/>
        </w:rPr>
        <w:lastRenderedPageBreak/>
        <w:t>validate clinical and enterprise demand, navigate regulatory requirements, execute GTM plans, and raise capital.",</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"Regulatory approval for neurotechnology devices is accelerating — FDA, CE, and Asian regulatory bodies are establishing clearer pathways for digital neurology, neuromodulation, and brain-computer interface products. Clinical applications in epilepsy monitoring, stroke rehabilitation, and mental health treatment are achieving commercial launch in multiple markets. The companies establishing clinical reference deployments in 2025–2028 will define the neurotech commercial ecosystem.",</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"Global neurotechnology market is projected to reach $22B by 2030 — growing at 13% annually as clinical neurology monitoring, neuromodulation, and consumer neurofeedback all achieve commercial deployment.",</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"Stroke rehabilitation neurotechnology is the largest near-term clinical application — brain-computer interfaces and EEG-guided rehabilitation platforms are demonstrating clinical efficacy that is driving hospital procurement.",</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"Mental health neuromodulation is growing rapidly — transcranial magnetic stimulation and transcranial direct current stimulation devices are achieving clinical approval for depression treatment in multiple markets.",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"Consumer neurofeedback is growing in sports performance and wellness — professional sports teams, corporate wellness programmes, and premium consumer health apps are all adopting EEG-based cognitive performance tools."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"Regulatory classification as an active implantable or Class III medical device requires extensive clinical evidence and lengthy approval processes that can take 5–10 years.",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"Neuroscience clinical expertise required for deployment is scarce — neurologists, neurosurgeons, and clinical neuroscience specialists needed for device implantation and clinical management are limited in most markets.",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"Reimbursement coverage for neuromodulation and BCI devices is limited — most insurance systems have not yet established coverage codes for newer neurotechnology applications, limiting payer-supported market access.",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"Public perception and ethical concerns about brain-computer interfaces create market adoption headwinds — consumer and clinician hesitancy around neural data privacy and cognitive autonomy requires sustained education investment."</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"Clinical demand and hospital system validation|You need to validate that neurologists and hospital systems in your target market are willing to adopt and integrate your neurotechnology into clinical practice.",</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"Regulatory classification and approval pathway|You need to understand how your neurotechnology is classified and what clinical evidence and regulatory approval processes apply in your target market.",</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"Clinical partner and KOL identification|You need to identify neurology departments, rehabilitation centres, and key opinion leader neurologists as clinical validation and early adoption partners.",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"GTM for a neurotechnology company|You have a neuromonitoring device, BCI system, or neurofeedback platform and need a go-to-market strategy.",</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 neurotechnology venture|You are raising investment and need a pitch book grounded in clinical validation data and market sizing.",</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"Enterprise and consumer channel strategy|You need a strategy for reaching corporate wellness buyers and sports performance teams as non-clinical channels for consumer neurotechnology."</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"Validate clinical and enterprise demand for neurotechnology in a new market. Covers neurologist and hospital administrator interviews, regulatory pathway mapping, competitive analysis, and a Go/Defer/Kill recommendation.",</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neurotechnology investments. Covers clinical adoption modelling, regulatory pathway cost, reimbursement timeline, and investor-ready projections.",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neurotechnology companies. Regulatory approval pathway, clinical KOL identification, hospital ICP, and first-clinical-deployment milestone.",</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"Embedded GTM team for neurotech platforms. Hospital outreach, KOL engagement, and enterprise wellness pipeline management.",</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neurotechnology ventures. Clinical-evidence-validated market sizing, regulatory narrative, and investor identification across medtech and deep tech investors.",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in neurotechnology — from neural signal processing and seizure detection to personalised neuromodulation protocol optimisation and cognitive performance prediction."</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implantable neurotechnology companies or also with non-invasive EEG and neurofeedback companies?|Both. We work with implantable device companies on regulatory pathway </w:t>
      </w:r>
      <w:r>
        <w:rPr>
          <w:rFonts w:ascii="Courier New" w:eastAsia="Courier New" w:hAnsi="Courier New" w:cs="Courier New"/>
          <w:color w:val="1B2A4A"/>
          <w:sz w:val="16"/>
          <w:szCs w:val="16"/>
        </w:rPr>
        <w:lastRenderedPageBreak/>
        <w:t>and clinical market entry, and with non-invasive neurotech companies on clinical and enterprise GTM and fundraising.",</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"What neurotechnology markets does GreyRadius cover?|Gulf, Southeast Asia, South Asia, and Europe — markets with active neurology infrastructure investment and growing clinical neurotechnology procurement.",</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neurotechnology market entry engagement take?|Typically 8–12 weeks given the complexity of regulatory pathway mapping and clinical stakeholder research.",</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clinical KOLs and hospital neurology departments for neurotechnology companies?|Yes. KOL identification and initial clinical discussions are part of our market entry execution service."</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"keywords": "neurotechnology market entry, BCI GTM strategy, neurotech consulting, brain computer interface advisory, neurotechnology market strategy, neural technology consulting",</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"regions": "Gulf, Southeast Asia, South Asia, Europe",</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"stat1n": "$22B+",</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"stat1l": "Global neurotechnology market by 2030",</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"stat1b": "Growing at 13% annually as clinical neurology monitoring, neuromodulation, and consumer neurofeedback all achieve commercial deployment.",</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neurotech mandate",</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"stat2b": "Neurologists, hospital administrators, and clinical neuroscience specialists — every mandate grounded in direct clinical stakeholder research.",</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"stat3n": "8 weeks",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"stat3l": "Market entry strategy delivery",</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regulatory mapping and clinical buyer research delivers neurotechnology market entry strategies efficiently."</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"slug": "longevity-biotech",</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"parent": "healthcare-life-sciences",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"title": "Longevity Biotech &amp; Anti-Ageing Consulting | Market Entry | GreyRadius",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longevity biotech companies, anti-ageing therapeutics businesses, and healthspan technology providers with market entry strategy, GTM execution, and fundraising.",</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"h1": "Longevity biotech and anti-ageing market entry strategy",</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clinical trial to first longevity patient — strategy for longevity biotech companies.",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"hero": "Longevity biotechnology — the science of extending healthy human lifespan through therapeutic intervention — is transitioning from academic research to clinical development and early commercial application. Senolytic drug developers, NAD+ therapy companies, telomere technology businesses, and longevity biomarker testing companies are all making market entry and capital raising decisions as the field achieves its first clinical milestones. GreyRadius helps longevity biotech businesses validate clinical and consumer demand, navigate regulatory pathways, execute GTM plans, and raise capital grounded in primary research with longevity clinicians, investors, and consumer health leaders.",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"The first longevity biotech companies are approaching clinical milestones — Unity Biotechnology, Calico, and multiple clinical-stage longevity companies are generating data that is establishing the field's commercial credibility. Gulf sovereign wealth funds, Singapore biomedical investment programmes, and private longevity investors are all actively deploying capital into longevity biotech. The fundraising and commercial positioning decisions being made in 2025–2028 will define the longevity biotech commercial ecosystem.",</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"Global longevity biotech investment exceeded $5B in 2023 and is growing at 40%+ annually — driven by billionaire longevity investors, sovereign wealth fund health programmes, and recognition that ageing is the root cause of most chronic diseases.",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"Senolytics — drugs that clear senescent cells — are advancing through clinical trials for multiple age-related conditions and represent the most clinically advanced longevity therapeutic category.",</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"Longevity biomarker testing is creating a commercial bridge between consumer health and clinical therapeutics — companies offering biological age testing and health optimisation programmes are generating revenue while clinical therapeutics develop.",</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"The Gulf is emerging as a significant longevity biotech investment destination — Saudi Arabia's Hevolution Foundation is the world's largest dedicated longevity research funder, creating unique partnership and funding opportunities."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"Regulatory approval pathway for longevity therapeutics is unclear — the FDA and other regulators do not recognise ageing as a disease, requiring longevity companies to develop therapeutics for specific age-related indications.",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"Clinical trial timelines for longevity therapeutics are extremely long — demonstrating healthspan extension requires decades of follow-up in most clinical trial designs, creating capital efficiency challenges.",</w:t>
      </w:r>
    </w:p>
    <w:p w:rsidR="00E7192E"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"Consumer differentiation between evidence-based longevity interventions and supplements is limited — the longevity space is crowded with unproven products that make it difficult for evidence-based companies to command premium positioning.",</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"Reimbursement for longevity therapeutics is not established — longevity treatments are likely to be cash-pay for years before insurance coverage is established, limiting addressable market."</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"Clinical and consumer demand validation|You need to validate longevity clinician and consumer interest in your therapeutic or diagnostic product and what evidence standards and pricing they require.",</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"Regulatory strategy and indication selection|You need to identify the optimal regulatory pathway for your longevity therapeutic — which indication to develop, which regulatory agency to lead with, and what clinical evidence is required.",</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"Longevity clinic and clinical partner identification|You need to identify longevity clinics, executive health programmes, and research hospitals as clinical validation and commercial distribution partners.",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 longevity biotech company|You are raising investment and need a pitch book that clearly explains the science, clinical strategy, and commercial opportunity.",</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"Gulf and sovereign fund investment strategy|You need to identify and engage Gulf sovereign wealth funds, national health investment programmes, and longevity-focused investors.",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"Consumer health channel strategy|You need a commercial strategy for reaching longevity-interested consumers through direct-to-consumer, physician-prescribing, and corporate wellness channels."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"Validate clinical and consumer demand for longevity biotech products in a new market. Covers longevity physician and consumer surveys, regulatory pathway mapping, investor landscape assessment, and a Go/Defer/Kill recommendation.",</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longevity biotech investments. Covers clinical development cost modelling, commercial market sizing, revenue model, and investor-ready financial projections.",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longevity biotech companies. Regulatory strategy, clinical partner identification, longevity clinic distribution development, and first-clinical-programme or first-consumer milestone.",</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"Embedded GTM team for longevity biotech platforms. Longevity physician outreach, consumer health channel development, and first-revenue milestone tracking.",</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longevity biotech ventures. Clinical-milestone-validated market sizing, science narrative, and investor identification across longevity-focused VC and sovereign funds.",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in longevity biotech — from biomarker pattern recognition and biological age prediction to clinical trial design optimisation and personalised intervention recommendation."</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longevity therapeutic companies or also with longevity diagnostics and consumer health companies?|All three. We work with therapeutic companies on regulatory strategy and fundraising, diagnostics companies on market entry and GTM, and consumer longevity health companies on market entry and fundraising.",</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"What longevity biotech markets does GreyRadius focus on?|Gulf, Southeast Asia, and Europe — markets with active longevity investment programmes and growing premium health consumer segments.",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longevity biotech market entry engagement take?|Typically 8–12 weeks for clinical demand research, regulatory pathway mapping, and investor landscape assessment.",</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Gulf sovereign fund investment opportunities for longevity companies?|Yes. Gulf health investment programme mapping and investor identification are part of our fundraising advisory for longevity companies."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"keywords": "longevity biotech market entry, anti ageing GTM strategy, longevity therapeutics consulting, healthspan advisory, longevity biotech strategy, anti ageing market entry",</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"regions": "Gulf, Southeast Asia, Europe",</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"stat1n": "$5B+",</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"stat1l": "Annual longevity biotech investment in 2023",</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"stat1b": "Growing at 40%+ annually as sovereign wealth funds, billionaire investors, and institutional capital all increase longevity biotech allocation.",</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longevity mandate",</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"stat2b": "Longevity clinicians, consumer health leaders, and institutional investors — every engagement grounded in direct primary research.",</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"stat3n": "8 weeks",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"stat3l": "Market entry strategy delivery",</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investor landscape mapping and clinical buyer research delivers longevity biotech market entry strategies efficiently."</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E7192E"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"slug": "regtech",</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"parent": "fintech-payments",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"title": "RegTech Market Entry Strategy | Regulatory Technology Consulting | GreyRadius",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regtech companies, compliance technology providers, and regulatory automation businesses with market entry strategy, GTM execution, and fundraising.",</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"h1": "RegTech market entry strategy",</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compliance burden to automated solution — strategy for regtech companies entering new markets.",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"hero": "Regulatory technology is growing rapidly as financial services, healthcare, and other regulated industries face increasing compliance complexity and seek technology solutions to reduce the cost and operational burden of regulatory adherence. AML and KYC automation companies, regulatory reporting platforms, compliance management systems, and risk monitoring technology providers are all evaluating new market entry opportunities as regulation intensifies and enterprises seek to automate compliance. GreyRadius helps regtech businesses validate enterprise compliance buyer demand, navigate regulatory framework complexity, execute GTM plans, and raise capital.",</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"Regulatory burden on financial services, healthcare, and technology companies is at an all-time high globally — FATF AML recommendations, ESG disclosure requirements, data privacy regulation, and sector-specific compliance mandates are all creating significant technology procurement demand. Southeast Asian financial regulators and Gulf central banks are both introducing new compliance requirements that create near-term regtech procurement urgency.",</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"Global regtech market is projected to reach $55B by 2028 — growing at 22% annually as financial services, healthcare, and technology companies invest in compliance automation to reduce cost and regulatory risk.",</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"AML and KYC automation is the largest regtech segment — financial institutions globally are spending billions on anti-money laundering transaction monitoring and customer due diligence automation.",</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"ESG compliance technology is growing at 30%+ annually — mandatory ESG reporting requirements are creating significant demand for data collection, calculation, and reporting automation.",</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"RegTech-as-a-Service is gaining enterprise adoption — cloud-based subscription compliance platforms are displacing on-premise compliance software as regulated entities prefer flexible, update-ready compliance solutions."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"Regulatory framework complexity varies by market — AML requirements, KYC standards, and sector-specific compliance rules differ significantly across markets, requiring market-specific product adaptation.",</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"Enterprise compliance procurement is conservative — regulated entities require extensive security assessment, regulatory approval, and reference customer validation before adopting new compliance technology.",</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"Integration with existing core banking, ERP, and compliance systems is complex — regtech platforms must integrate with legacy systems that vary by institution, increasing implementation cost and timeline.",</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"Regulatory acceptance of automated compliance is not guaranteed — some regulators require human review of specific compliance decisions that automated systems generate, limiting full automation."</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"Enterprise compliance buyer demand validation|You need to identify which regulated entities are actively procuring regtech solutions and what compliance automation priorities and procurement requirements they have.",</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"Regulatory acceptance and certification pathway|You need to understand whether your regtech solution requires regulatory approval or sandboxing before commercial deployment in your target market.",</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"GTM for a regtech platform|You have a compliance automation, AML monitoring, or regulatory reporting platform and need a go-to-market strategy covering financial institution and enterprise buyer acquisition.",</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 regtech venture|You are raising investment and need a pitch book grounded in compliance market demand data and regulatory burden analysis.",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"Financial institution and enterprise partnership strategy|You need to identify banks, insurance companies, and regulated technology companies as anchor customers and distribution partners.",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"Competitive intelligence|You need to understand how competing regtech companies are positioned and winning compliance buyer contracts in your target market."</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"Validate enterprise compliance buyer demand for regtech in a new market. Covers compliance officer and risk management interviews, regulatory framework mapping, competitive analysis, and a Go/Defer/Kill recommendation.",</w:t>
      </w:r>
    </w:p>
    <w:p w:rsidR="00E7192E"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"Full financial and operational feasibility for regtech platform investments. Covers enterprise adoption modelling, compliance cost reduction ROI, revenue per client, and investor-ready projections.",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regtech companies. Regulatory acceptance pathway, enterprise buyer ICP, financial institution channel development, and first-client acquisition.",</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"Embedded GTM team for regtech platforms. Compliance buyer outreach, financial institution pipeline, and first-revenue milestone tracking.",</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regtech ventures. Compliance-demand-validated market sizing, regulatory burden narrative, and investor identification.",</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in regtech — from automated transaction monitoring and suspicious activity detection to natural language processing of regulatory documents and automated compliance reporting."</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AML and KYC regtech companies or also with ESG compliance and general regulatory reporting companies?|All segments. We work with AML, KYC, ESG, data privacy, and general regulatory compliance technology companies across market entry, GTM, and fundraising.",</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"What regtech markets does GreyRadius cover?|Southeast Asia, South Asia, the Gulf, and Europe — markets with active regulatory frameworks and significant financial services compliance investment.",</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regtech market entry engagement take?|Typically 6–10 weeks for compliance buyer research, regulatory framework mapping, and market entry strategy.",</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anchor financial institution customers for regtech companies?|Yes. Financial institution identification and initial compliance buyer conversations are part of our GTM Execution-as-a-Service."</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"keywords": "regtech market entry, regulatory technology GTM strategy, compliance tech consulting, AML technology advisory, regtech strategy, compliance automation market entry",</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"regions": "Southeast Asia, South Asia, Gulf, Europe",</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"stat1n": "$55B+",</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"stat1l": "Global regtech market by 2028",</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"stat1b": "Growing at 22% annually as financial services and regulated industries invest in compliance automation to reduce cost and regulatory risk.",</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regtech mandate",</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"stat2b": "Compliance officers, risk managers, and financial institution technology buyers — every engagement grounded in direct primary research.",</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"stat3n": "6 weeks",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"stat3l": "Market entry strategy delivery",</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regulatory framework mapping and compliance buyer research delivers regtech market entry strategies efficiently."</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"slug": "legaltech",</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"parent": "enterprise-saas",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"title": "LegalTech Market Entry Strategy | Legal Technology Consulting | GreyRadius",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legaltech companies, legal AI platforms, and law practice technology businesses with market entry strategy, GTM execution, and fundraising.",</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"h1": "LegalTech market entry strategy",</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legal AI to law firm adoption — strategy for legaltech companies entering new markets.",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"hero": "Legal technology is transforming law practice — with AI-powered contract review, legal research automation, e-discovery platforms, case management systems, and alternative legal service providers all creating significant market opportunities. LegalTech companies, legal AI developers, and legal process outsourcing technology platforms are all evaluating new market entry opportunities as law firms and in-house legal teams seek efficiency and cost reduction. GreyRadius helps legaltech businesses validate law firm and enterprise legal buyer demand, navigate legal sector procurement dynamics, execute GTM plans, and raise capital.",</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"Generative AI is creating the most significant technology disruption in law practice in decades — large law firms and in-house legal teams are actively evaluating AI tools for contract review, legal research, and compliance analysis. Companies that establish reference relationships with major law firms and in-house legal teams in Southeast Asia, South Asia, and the Gulf in 2024–2027 will hold durable market positions.",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"Global legaltech market is projected to reach $35B by 2027 — growing at 18% annually as AI-powered legal tools achieve performance benchmarks that justify law firm adoption at scale.",</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"Contract AI is the fastest-growing legaltech category — AI contract review, redlining, and clause extraction tools are achieving 70–90% time savings in contract review tasks, compelling rapid enterprise adoption.",</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"In-house legal teams are faster adopters than law firms — corporate legal departments with efficiency mandates are adopting legaltech faster than traditional law firms that bill by the hour.",</w:t>
      </w:r>
    </w:p>
    <w:p w:rsidR="00E7192E"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"Alternative legal service providers are growing at 20%+ annually — legal process outsourcing companies using technology to deliver legal services at lower cost are taking market share from traditional law firms."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"Law firm technology procurement is conservative and slow — partners require extensive demonstration periods, reference customer verification, and security assessment before adoption.",</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"Legal professional privilege and data security concerns are significant barriers — law firms require absolute certainty that client data in legaltech platforms is secure and privileged.",</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"Market fragmentation by legal specialty is challenging — contract AI tools for real estate transactions are not transferable to M&amp;A or employment law without significant customisation.",</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"Bar association and regulatory restrictions on AI in law vary by market — some jurisdictions restrict AI-generated legal advice, creating compliance uncertainty for legaltech companies."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"Law firm and in-house legal demand validation|You need to validate that law firms and in-house legal teams in your target market are actively evaluating legaltech solutions and what their adoption requirements are.",</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"Regulatory and bar association pathway|You need to understand legal professional rules, bar association regulations, and AI in law restrictions in your target market.",</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"GTM for a legaltech platform|You have a legal AI, contract management, or legal workflow automation product and need a go-to-market strategy covering law firm and enterprise legal team acquisition.",</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 legaltech venture|You are raising investment and need a pitch book grounded in legal market demand data and technology adoption research.",</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"Law firm and enterprise partnership strategy|You need to identify anchor law firm customers and in-house legal team buyers in your target market.",</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"Competitive intelligence|You need to understand how competing legaltech companies are positioned and winning law firm contracts in your target market."</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"Validate law firm and in-house legal demand for legaltech in a new market. Covers partner and general counsel interviews, regulatory framework mapping, competitive analysis, and a Go/Defer/Kill recommendation.",</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legaltech platform investments. Covers law firm adoption modelling, revenue per seat, security investment cost, and investor-ready projections.",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legaltech companies. Regulatory compliance pathway, law firm ICP, bar association engagement, and first-law-firm or first-legal-team acquisition.",</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"Embedded GTM team for legaltech platforms. Law firm and enterprise legal outreach, reference customer pipeline, and first-revenue milestone tracking.",</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legaltech ventures. Market-demand-validated sizing, technology ROI narrative, and investor identification.",</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in legal — from contract analysis and due diligence automation to legal research synthesis and compliance monitoring."</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AI contract review companies or also with broader legal workflow and e-discovery platforms?|All categories. We work with contract AI, legal research, e-discovery, and legal workflow companies across market entry, GTM, and fundraising.",</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"What legaltech markets does GreyRadius cover?|Southeast Asia, South Asia, the Gulf, and Europe — markets with active large law firm sectors and growing in-house legal team technology adoption.",</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legaltech market entry engagement take?|Typically 6–10 weeks for law firm and in-house buyer research, regulatory mapping, and market entry strategy.",</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anchor law firm customers for legaltech companies?|Yes. Law firm identification and initial commercial conversations are part of our GTM Execution-as-a-Service for legaltech companies."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"keywords": "legaltech market entry, legal AI GTM strategy, law tech consulting, legaltech advisory, legal technology market entry, legal AI strategy",</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"regions": "Southeast Asia, South Asia, Gulf, Europe",</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"stat1n": "$35B+",</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"stat1l": "Global legaltech market by 2027",</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"stat1b": "Growing at 18% annually as AI-powered legal tools achieve performance benchmarks compelling law firm adoption at scale.",</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legaltech mandate",</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"stat2b": "Law firm partners, general counsels, and legal operations managers — every engagement grounded in direct primary research.",</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"stat3n": "6 weeks",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"stat3l": "Market entry strategy delivery",</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law firm procurement research and regulatory mapping delivers legaltech market entry strategies efficiently."</w:t>
      </w:r>
    </w:p>
    <w:p w:rsidR="00E7192E"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"slug": "port-maritime",</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"parent": "freight-cargo",</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"title": "Port &amp; Maritime Logistics Consulting | Market Entry | GreyRadius",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port operators, maritime logistics companies, and shipping technology businesses with market entry strategy, GTM execution, feasibility studies, and fundraising.",</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"h1": "Port and maritime logistics market entry strategy",</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berth to commercial contract — strategy for port and maritime businesses entering new markets.",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"hero": "Port and maritime logistics is the backbone of global trade — with over 80% of world trade by volume transported by sea. Port operators, shipping companies, maritime technology providers, and port logistics service companies are all evaluating new market entry opportunities as global trade routes shift, port infrastructure investment accelerates, and maritime technology digitalisation creates new commercial opportunities. GreyRadius helps port and maritime businesses validate commercial demand, assess infrastructure feasibility, navigate regulatory requirements, and raise capital.",</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"Gulf port infrastructure investment is at a multi-decade high — Saudi Arabia's NEOM port and logistics corridors, UAE's expansion of Jebel Ali and Abu Dhabi ports, and Oman's Duqm port development are all creating significant commercial opportunities for port technology, logistics service, and maritime supply chain companies. India's Sagarmala programme is investing $82B in port infrastructure. Southeast Asia's emerging trade hub ambitions are driving port investment across Vietnam, Indonesia, and the Philippines.",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"Global port container throughput is projected to grow at 4% annually through 2030 — with Gulf, South Asian, and Southeast Asian ports growing fastest as manufacturing and trade route diversification drives volume.",</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"Port digitalisation investment is accelerating — automated container terminals, port community systems, and maritime blockchain platforms are all receiving significant investment as port operators seek to improve efficiency and reduce costs.",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"Maritime decarbonisation is creating technology procurement demand — alternative fuel bunkering infrastructure, vessel efficiency technology, and carbon accounting systems are all seeing growing procurement interest.",</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"Transshipment hub competition is intensifying — Tanjung Pelepas, Colombo, and Khalifa Port are all expanding capacity to capture trade flows that are shifting away from Singapore and Hong Kong."</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"Port concession awards are complex and relationship-driven — securing port terminal operating agreements requires long-term government relationships, financial capacity demonstration, and strategic fit with national port development plans.",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"Maritime regulatory compliance is multi-jurisdictional — ships operating internationally must comply with IMO regulations, flag state requirements, port state control, and local port authority rules simultaneously.",</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"Capital requirements for port infrastructure are very large — port terminal development requires billions in capital investment with long payback periods and significant development risk.",</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"Cargo volume concentration creates revenue risk — most regional ports depend on a small number of shipping lines for the majority of their container throughput, creating significant commercial risk."</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"Port market and cargo demand assessment|You need to validate cargo volume potential, shipping line interest, and competitive port landscape in your target port market.",</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"Port concession and regulatory pathway|You need to understand port concession award processes, government ownership requirements, and regulatory approval processes in your target market.",</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"Maritime technology market entry|You have a port management system, vessel tracking platform, or maritime AI solution and need a go-to-market strategy covering port operator and shipping company acquisition.",</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"Feasibility for port investment|You are evaluating a port terminal or logistics park investment and need a full feasibility study covering cargo demand, infrastructure cost, and financial projections.",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 port or maritime venture|You are raising infrastructure capital and need a pitch book grounded in trade flow data and port economics.",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"Competitive intelligence|You need to understand how competing port operators and maritime service companies are positioned and winning contracts in your target market."</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"Validate cargo demand and commercial opportunity for port and maritime businesses in a new market. Covers shipping company and cargo owner interviews, trade flow analysis, competitive mapping, and a Go/Defer/Kill recommendation.",</w:t>
      </w:r>
    </w:p>
    <w:p w:rsidR="00E7192E"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"Full financial and operational feasibility for port infrastructure investments. Covers cargo demand modelling, infrastructure capex, operating cost, revenue model, and bankable financial projections.",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port operators and maritime service companies. Regulatory pathway, government engagement strategy, shipping line ICP, and first-concession or first-contract milestone.",</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"Embedded GTM team for maritime technology companies. Port operator and shipping company outreach, and first-deployment milestone tracking.",</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port and maritime ventures. Trade-flow-validated market sizing, infrastructure economics, and investor identification.",</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in ports — from automated container handling and predictive vessel scheduling to carbon emissions monitoring and smart cargo tracking."</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port operators or also with maritime logistics and shipping technology companies?|All three. We work with port operators on feasibility and market entry, maritime logistics companies on market entry and GTM, and maritime technology companies on GTM and fundraising.",</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"What port and maritime markets does GreyRadius cover?|Gulf, South Asia, and Southeast Asia — markets with the most significant port investment and trade growth.",</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port market entry engagement take?|Typically 8–12 weeks given the complexity of cargo demand research and government concession mapping.",</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support port concession engagement strategy?|We map the concession process and identify the right government engagement approach — formal concession applications are managed by the company."</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"keywords": "port consulting market entry, maritime logistics GTM strategy, shipping consulting, port advisory, maritime market entry, port operations strategy",</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"regions": "Gulf, South Asia, Southeast Asia",</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"stat1n": "$14T+",</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"stat1l": "Global maritime trade value annually",</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"stat1b": "Over 80% of world trade by volume transported by sea — with Gulf, South Asian, and Southeast Asian ports growing fastest.",</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maritime mandate",</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"stat2b": "Shipping line operators, cargo owners, port authority officials, and logistics managers — every mandate grounded in primary research.",</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"stat3n": "8 weeks",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"stat3l": "Market entry strategy delivery",</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trade flow analysis and competitive port mapping delivers maritime market entry strategies efficiently."</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"slug": "ev-two-three-wheeler",</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"parent": "electric-vehicles",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"title": "EV Two &amp; Three Wheeler Market Entry Strategy | GreyRadius",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electric scooter companies, e-rickshaw manufacturers, and two-wheeler EV businesses with market entry strategy, GTM execution, feasibility studies, and fundraising.",</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"h1": "Electric two and three wheeler market entry strategy",</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electric scooter to mass mobility — strategy for two and three-wheeler EV businesses.",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"hero": "Electric two and three-wheelers represent the largest volume opportunity in the global EV market — with hundreds of millions of conventional scooters, motorcycles, and auto-rickshaws across Southeast Asia and South Asia that are all candidates for electrification. E-scooter manufacturers, electric rickshaw companies, two-wheeler battery swap operators, and EV two-wheeler technology providers are all evaluating new market entry opportunities as government subsidies, rising fuel costs, and falling battery prices make electric two and three-wheelers economically attractive. GreyRadius helps EV two and three-wheeler businesses validate consumer and fleet demand, navigate regulatory requirements, execute GTM plans, and raise capital.",</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"India's FAME subsidy programme, Indonesia's EV two-wheeler incentives, and Vietnam's scooter electrification push are all creating policy-supported demand for electric two-wheelers. The battery swap infrastructure being built now will define which EV two-wheeler brands dominate these markets for the next decade. Companies entering these markets in 2024–2027 are establishing the distribution and service networks that create durable competitive advantages.",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"India will surpass China as the world's largest two-wheeler market by volume by 2025 — with over 20 million units sold annually, representing the largest single EV electrification opportunity globally.",</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"Battery swapping is resolving the charging infrastructure constraint for two and three-wheelers — swap networks that provide instant battery replacement are enabling commercial EV two-wheeler adoption in markets where home charging is impractical.",</w:t>
      </w:r>
    </w:p>
    <w:p w:rsidR="00E7192E"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"Last-mile delivery electrification is the fastest-growing commercial application — food delivery and e-commerce logistics companies are mandating electric two and three-wheelers across their delivery fleets.",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"Local manufacturing incentives are intensifying — India's PLI scheme for advanced chemistry cells, Indonesia's domestic content requirements, and Vietnam's EV incentive frameworks all favour local assembly over imports."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"Two-wheeler EV consumer price sensitivity is extreme — the mass market two-wheeler buyer in India and Southeast Asia makes purchase decisions on a sub-$2,000 price point where battery cost still represents a significant premium over conventional alternatives.",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"After-sales service network is critical — two-wheeler EV adoption requires extensive service centre coverage for battery maintenance, electronic troubleshooting, and spare parts that new entrants must build from scratch.",</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"Government subsidy eligibility requirements are complex — localisation requirements, approved vendor lists, and subsidy claim processes differ across India, Indonesia, Vietnam, and other markets.",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"Charging and battery infrastructure fragmentation is slowing adoption — multiple competing battery standards and charging protocols are creating consumer confusion and limiting infrastructure investment."</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"Consumer and fleet demand validation|You need to validate consumer willingness to switch to electric two-wheelers and commercial fleet operator EV adoption intentions in your target market.",</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"Regulatory and subsidy eligibility pathway|You need to understand EV two-wheeler subsidy programmes, localisation requirements, and approval processes in your target market.",</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"Dealer and service network strategy|You need to identify and develop dealer and service centre networks for EV two and three-wheeler distribution and after-sales in your target market.",</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"GTM for an EV two-wheeler brand or battery swap company|You have an electric scooter, e-rickshaw, or battery swap platform and need a go-to-market strategy.",</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an EV two-wheeler venture|You are raising investment and need a pitch book grounded in market demand data and subsidy landscape analysis.",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"Manufacturing and supply chain feasibility|You are evaluating local assembly or manufacturing investment and need a feasibility study covering demand, cost structure, and financial projections."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"Validate consumer and fleet demand for electric two and three-wheelers in a new market. Covers consumer surveys, fleet operator interviews, subsidy landscape mapping, and a Go/Defer/Kill recommendation.",</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EV two-wheeler manufacturing and service investments. Covers demand modelling, localisation economics, subsidy impact, and bankable financial projections.",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EV two-wheeler companies. Regulatory and subsidy pathway, dealer network development, fleet buyer ICP, and first-sale milestone.",</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"Embedded GTM team for EV two-wheeler brands. Dealer outreach, fleet buyer pipeline, and first-revenue milestone tracking.",</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EV two-wheeler ventures. Demand-validated market sizing, subsidy landscape analysis, and investor identification.",</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in EV two-wheelers — from battery health monitoring and predictive maintenance to route optimisation and fleet management automation."</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EV scooter manufacturers or also with battery swap companies and EV three-wheeler operators?|All three. We work with manufacturers on market entry and feasibility, battery swap companies on market entry and GTM, and commercial fleet operators on market entry and strategy.",</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"What EV two-wheeler markets does GreyRadius cover?|India, Southeast Asia, and Africa — markets with the largest conventional two and three-wheeler fleets and most active electrification programmes.",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an EV two-wheeler market entry engagement take?|Typically 6–10 weeks for consumer demand research, subsidy landscape mapping, and market entry strategy.",</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support government subsidy programme applications for EV two-wheeler companies?|We map the programme requirements and help prepare the market analysis components — formal applications are submitted by the company."</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"keywords": "EV scooter market entry, electric two wheeler GTM strategy, e-rickshaw consulting, EV two wheeler advisory, electric scooter market strategy, two wheeler electrification consulting",</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"regions": "India, Southeast Asia, Africa",</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"stat1n": "20M+",</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"stat1l": "Annual two-wheeler sales in India alone",</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"stat1b": "Representing the world's largest single EV electrification opportunity — with Southeast Asia and Africa adding hundreds of millions more units to the addressable market.",</w:t>
      </w:r>
    </w:p>
    <w:p w:rsidR="00E7192E"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"stat2n": "30+",</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EV two-wheeler mandate",</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"stat2b": "Consumer riders, commercial fleet operators, dealers, and government programme managers — every engagement grounded in direct primary research.",</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"stat3n": "6 weeks",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"stat3l": "Market entry strategy delivery",</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subsidy programme mapping and consumer demand research delivers EV two-wheeler market entry strategies efficiently."</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"slug": "b2b-marketplace",</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"parent": "ecommerce-tech",</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"title": "B2B Marketplace Market Entry Strategy | GreyRadius Consulting",</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B2B marketplace companies, procurement platform businesses, and trade marketplace operators with market entry strategy, GTM execution, and fundraising.",</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"h1": "B2B marketplace market entry strategy",</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first buyer to liquid marketplace — strategy for B2B marketplace businesses entering new markets.",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"hero": "B2B marketplaces are transforming procurement across manufacturing, construction, agriculture, healthcare, and professional services — connecting buyers and suppliers digitally and reducing the transaction costs, information asymmetry, and working capital requirements that plague traditional B2B procurement. B2B marketplace operators, procurement platform companies, and vertical trade marketplace developers are all evaluating new market entry opportunities as B2B e-commerce adoption accelerates across Southeast Asia, South Asia, and the Gulf. GreyRadius helps B2B marketplace businesses validate supply and demand dynamics, navigate regulatory requirements, execute GTM plans, and raise capital.",</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"B2B e-commerce in Southeast Asia and South Asia is at the very beginning of a long adoption curve — most B2B procurement in these markets still happens through offline relationships, phone calls, and paper invoices. The marketplaces that digitise these procurement workflows in the next five years will capture the foundational buyer-supplier relationships that define B2B commerce for the next decade.",</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"Global B2B e-commerce market is projected to reach $36T by 2026 — with Southeast Asia and South Asia growing at 25%+ annually as digital procurement penetration increases from under 5% to 20%+.",</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"Vertical B2B marketplaces are outperforming horizontal platforms — specialised marketplaces for construction materials, agricultural inputs, pharmaceutical wholesale, and industrial equipment are achieving better supply-demand matching and higher take rates.",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"Embedded financial services are becoming B2B marketplace differentiators — invoice financing, supply chain finance, and trade credit embedded in marketplace checkouts are increasing GMV and creating financial services revenue streams.",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"Government e-procurement mandates are creating institutional demand — several Southeast Asian and South Asian governments are requiring procurement through digital platforms, creating anchor buyer demand for B2B marketplaces."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"Bootstrapping both buyer and supplier simultaneously is the classic marketplace challenge — B2B marketplaces need sufficient supplier breadth to attract buyers and sufficient buyer volume to attract suppliers.",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"Trust and payment infrastructure for B2B transactions is limited in many markets — B2B buyers in emerging markets require trade credit, escrow, or letter of credit alternatives before committing to digital procurement.",</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"Logistics and last-mile delivery for B2B goods is fragmented — connecting marketplace transactions to reliable delivery requires either building logistics capability or partnering with fragmented logistics providers.",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"Supplier digitisation is a significant challenge — many B2B suppliers in emerging markets lack the digital infrastructure to manage online inventory, pricing, and order management."</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"Supply and demand market validation|You need to validate that sufficient buyer demand and supplier supply exist in your target market to support B2B marketplace economics.",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"Vertical and category focus strategy|You need to identify which B2B procurement category — construction, agriculture, pharma wholesale, industrial — offers the best supply-demand dynamics and defensibility in your target market.",</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"GTM for a B2B marketplace or procurement platform|You have a B2B marketplace and need a go-to-market strategy covering buyer and supplier acquisition and retention.",</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 B2B marketplace|You are raising investment and need a pitch book grounded in GMV projections, take rate analysis, and market sizing.",</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"Financial services and payment infrastructure strategy|You need to identify embedded finance, trade credit, and payment infrastructure partners to enable B2B marketplace transactions.",</w:t>
      </w:r>
    </w:p>
    <w:p w:rsidR="00E7192E"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"Competitive intelligence|You need to understand how competing B2B marketplaces are positioned and achieving supply-demand balance in your target market."</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"Validate buyer and supplier demand in a new B2B marketplace market. Covers procurement manager and supplier interviews, competitive mapping, vertical category analysis, and a Go/Defer/Kill recommendation.",</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B2B marketplace launches. Covers GMV modelling, take rate analysis, buyer and supplier acquisition cost, and investor-ready projections.",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B2B marketplace companies. Vertical focus selection, buyer ICP, supplier acquisition strategy, and first-transaction milestone.",</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"Embedded GTM team for B2B marketplaces. Buyer and supplier outreach, government procurement pipeline, and first-GMV milestone tracking.",</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B2B marketplace ventures. GMV-validated market sizing, take rate economics, and investor identification.",</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in B2B marketplaces — from intelligent product matching and demand forecasting to credit scoring and fraud detection."</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horizontal B2B marketplaces or also with vertical category-specific platforms?|Both. We work with horizontal procurement platforms on market entry and GTM, and with vertical B2B marketplaces in construction, agriculture, pharma, and industrial on market entry and fundraising.",</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"What B2B marketplace markets does GreyRadius cover?|Southeast Asia, South Asia, and the Gulf — markets with large offline B2B procurement volumes being digitised.",</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B2B marketplace market entry engagement take?|Typically 6–10 weeks for supply-demand research, vertical category analysis, and market entry strategy.",</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anchor buyer and supplier communities for B2B marketplaces?|Yes. Anchor buyer and supplier identification are part of our market entry execution service for marketplace companies."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"keywords": "B2B marketplace market entry, procurement platform GTM strategy, B2B ecommerce consulting, trade marketplace advisory, B2B platform strategy, procurement marketplace consulting",</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"regions": "Southeast Asia, South Asia, Gulf",</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"stat1n": "$36T",</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"stat1l": "Global B2B e-commerce market by 2026",</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"stat1b": "Southeast Asia and South Asia growing at 25%+ as digital procurement penetration increases from under 5% today.",</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B2B marketplace mandate",</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"stat2b": "Procurement managers, supplier operations teams, and logistics partners — every engagement grounded in direct primary research.",</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"stat3n": "6 weeks",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"stat3l": "Market entry strategy delivery",</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supply-demand mapping and competitive category analysis delivers B2B marketplace market entry strategies efficiently."</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"slug": "climate-fintech",</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"parent": "carbon-markets",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"title": "Climate Fintech &amp; Green Finance Market Entry | GreyRadius",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climate fintech companies, green finance platforms, and sustainable investment businesses with market entry strategy, GTM execution, and fundraising.",</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"h1": "Climate fintech and green finance market entry strategy",</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green bond to climate investment platform — strategy for climate finance businesses.",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"hero": "Climate fintech — the intersection of financial technology and climate action — is creating new markets for green bonds, sustainability-linked loans, climate risk analytics, carbon credit trading platforms, and impact investment management. Climate finance platforms, green bond technology providers, climate risk data companies, and sustainable investment platforms are all evaluating new market entry opportunities as regulatory ESG requirements, investor sustainability mandates, and corporate net-zero commitments create significant demand for climate financial infrastructure. GreyRadius helps climate fintech businesses validate institutional and enterprise demand, navigate regulatory frameworks, execute GTM plans, and raise capital.",</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"Green finance regulation is expanding globally — the EU Taxonomy, Singapore's Green Finance Action Plan, Gulf sustainable finance frameworks, and India's green bond guidelines are all creating mandatory green finance infrastructure requirements. The climate fintech companies that establish relationships with banks, asset managers, and corporates navigating these requirements in 2024–2027 will hold multi-decade advisory and technology relationships.",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E7192E"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"Global green finance market exceeded $1T in annual issuance in 2023 — growing at 15% annually as green bonds, sustainability-linked loans, and climate transition finance all scale.",</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"Climate risk analytics is growing at 30%+ annually — financial institutions are investing heavily in physical climate risk assessment and transition risk modelling to comply with central bank climate stress test requirements.",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"Voluntary carbon market platforms are seeing institutional adoption — institutional investors, banks, and corporations are all seeking digital platforms for carbon credit procurement, management, and retirement.",</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"Islamic green finance is an underexplored but growing segment — Gulf Islamic banks and Malaysian Islamic financial institutions are actively developing green sukuk and Shariah-compliant sustainable investment products."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"Green taxonomy complexity is a significant challenge — different green classification frameworks across the EU, ASEAN, and Gulf create compliance complexity for financial institutions operating across markets.",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"Carbon credit quality and integrity concerns are slowing institutional adoption — institutional investors require high-quality, independently verified carbon credits that the current voluntary carbon market struggles to consistently supply.",</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"Data availability and quality for climate risk assessment is limited in many markets — physical climate risk data for infrastructure and real estate assets in Southeast Asia and South Asia is incomplete.",</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"Greenwashing regulatory scrutiny is intensifying — climate finance companies face significant reputational and regulatory risk from sustainability claims that cannot be substantiated with credible data."</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"Institutional buyer demand validation|You need to validate that banks, asset managers, and corporates in your target market are actively seeking climate fintech solutions and what their data and compliance requirements are.",</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"Regulatory green finance framework mapping|You need to understand the green taxonomy, sustainable finance regulations, and climate disclosure requirements in your target market.",</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"GTM for a climate fintech platform|You have a green bond platform, climate risk analytics tool, or carbon trading platform and need a go-to-market strategy covering institutional buyer acquisition.",</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 climate fintech venture|You are raising investment and need a pitch book grounded in green finance market demand data and regulatory tailwind analysis.",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"Islamic green finance market entry|You are evaluating the green sukuk and Islamic sustainable finance opportunity and need market demand research and regulatory mapping.",</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"Competitive intelligence|You need to understand how competing climate fintech companies are positioned and winning institutional clients in your target market."</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"Validate institutional demand for climate fintech in a new market. Covers bank, asset manager, and corporate sustainability buyer interviews, regulatory framework mapping, and a Go/Defer/Kill recommendation.",</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climate fintech platform investments. Covers institutional adoption modelling, regulatory compliance cost, revenue per client, and investor-ready projections.",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climate fintech companies. Regulatory pathway, institutional buyer ICP, financial institution channel development, and first-client acquisition.",</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"Embedded GTM team for climate fintech platforms. Bank and asset manager outreach, corporate sustainability pipeline, and first-revenue milestone tracking.",</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climate fintech ventures. Green-finance-demand-validated market sizing, regulatory tailwind narrative, and investor identification.",</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in climate fintech — from physical climate risk modelling and transition risk assessment to carbon credit quality scoring and green bond impact measurement."</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green bond platforms or also with climate risk analytics and carbon trading companies?|All categories. We work across green bond technology, climate risk analytics, carbon trading, and impact investment management on market entry, GTM, and fundraising.",</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"What climate fintech markets does GreyRadius cover?|Southeast Asia, South Asia, the Gulf, and Europe — markets with active green finance regulatory frameworks and growing institutional sustainability investment.",</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climate fintech market entry engagement take?|Typically 6–10 weeks for institutional buyer research, regulatory framework mapping, and market entry strategy.",</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support Islamic green finance market entry?|Yes. Green sukuk market mapping and Islamic sustainable finance demand research are part of our climate fintech market entry methodology."</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E7192E"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"keywords": "climate fintech market entry, green finance GTM strategy, sustainable finance consulting, climate finance advisory, green bond platform strategy, climate fintech consulting",</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"regions": "Southeast Asia, South Asia, Gulf, Europe",</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"stat1n": "$1T+",</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"stat1l": "Annual green finance issuance globally",</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"stat1b": "Growing at 15% annually as green bonds, sustainability-linked loans, and climate transition finance all scale globally.",</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climate fintech mandate",</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"stat2b": "Bank sustainability officers, asset manager ESG teams, and corporate treasury managers — every engagement grounded in direct primary research.",</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"stat3n": "6 weeks",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"stat3l": "Market entry strategy delivery",</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regulatory framework mapping and institutional buyer research delivers climate fintech market entry strategies efficiently."</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"slug": "precision-fermentation",</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"parent": "food-beverage",</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"title": "Precision Fermentation Market Entry Strategy | GreyRadius",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precision fermentation companies, alternative dairy businesses, and bio-based food ingredient producers with market entry strategy, GTM execution, and fundraising.",</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"h1": "Precision fermentation market entry strategy",</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fermentation tank to food shelf — strategy for precision fermentation businesses.",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"hero": "Precision fermentation — using microorganisms to produce specific proteins, fats, and flavour compounds that are identical to conventional food ingredients — is creating one of the most significant food technology opportunities in decades. Animal-free dairy proteins, egg white alternatives, flavour compound producers, and functional ingredient manufacturers are all transitioning from pilot scale to commercial production. GreyRadius helps precision fermentation businesses validate food manufacturer and consumer demand, navigate novel food regulatory requirements, execute GTM plans, and raise capital.",</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"Novel food regulatory approvals are accelerating — Singapore MAS, the EU Novel Food Regulation, and the US GRAS pathway are all processing precision fermentation ingredient approvals faster than before. Food manufacturers under pressure from sustainability commitments and supply chain resilience requirements are actively seeking animal-free alternatives. The companies securing commercial ingredient supply agreements with major food manufacturers in 2024–2028 will define the precision fermentation supply chain.",</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"Global precision fermentation market is projected to reach $36B by 2030 — growing at 45% annually as dairy proteins, egg alternatives, and functional food ingredients achieve commercial scale and cost competitiveness.",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"Whey protein produced through precision fermentation is approaching cost parity with conventional dairy whey — falling fermentation costs and improving yields are making animal-free dairy proteins economically viable for mainstream food applications.",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"Flavour compounds produced through precision fermentation are already cost-competitive with natural extraction — vanillin, heme, and other flavour compounds produced through fermentation are commanding premium prices from food companies seeking clean label alternatives.",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"Food manufacturer partnerships are the primary commercial path — most precision fermentation companies are pursuing B2B ingredient supply agreements with major food manufacturers rather than direct consumer brand building."</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"Novel food regulatory approval is required in most markets — precision fermentation ingredients are classified as novel foods in the EU, UK, Singapore, and other markets, requiring dossier submission and regulatory review that can take 2–4 years.",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"Scale-up economics are challenging — precision fermentation requires large stainless steel bioreactors, downstream processing infrastructure, and quality management systems that represent significant capital investment.",</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"Consumer acceptance of precision fermentation is not universal — while many consumers embrace animal-free dairy proteins, others are concerned about genetic engineering and highly processed food ingredients.",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"Incumbent dairy and ingredient supplier competition is intense — conventional dairy companies, soy protein manufacturers, and natural flavour extractors all have cost, scale, and customer relationship advantages."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"Food manufacturer demand validation|You need to validate which food manufacturers are actively seeking precision fermentation ingredients and what performance, regulatory, and price requirements they have.",</w:t>
      </w:r>
    </w:p>
    <w:p w:rsidR="00E7192E"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"Novel food regulatory pathway|You need to understand the novel food classification, dossier requirements, and approval timeline for your precision fermentation ingredient in each target market.",</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"B2B ingredient supply agreement strategy|You need a commercial strategy for approaching major food manufacturers with precision fermentation ingredient samples and supply proposals.",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 precision fermentation venture|You are raising investment and need a pitch book grounded in commercial partnership data and production economics.",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"Contract fermentation manufacturing strategy|You need to identify contract manufacturing partners and fermentation infrastructure to enable commercial scale production before building proprietary facilities.",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"Competitive intelligence|You need to understand how competing precision fermentation companies are positioned, partnered, and priced in your target ingredient category."</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"Validate food manufacturer demand for precision fermentation ingredients in a new market. Covers food company R&amp;D and procurement interviews, regulatory pathway mapping, and a Go/Defer/Kill recommendation.",</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precision fermentation production investments. Covers fermentation yield modelling, production cost, regulatory pathway cost, and bankable financial projections.",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precision fermentation companies. Regulatory approval pathway, food manufacturer ICP, contract manufacturer identification, and first-ingredient-supply-agreement milestone.",</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"Embedded GTM team for precision fermentation platforms. Food manufacturer outreach, ingredient development partnership pipeline, and first-revenue milestone tracking.",</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precision fermentation ventures. Commercial-partnership-validated market sizing, production economics, and investor identification.",</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in precision fermentation — from strain optimisation and metabolic pathway engineering to fermentation process control and quality monitoring."</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dairy alternative companies or also with flavour compound and functional ingredient precision fermentation companies?|All categories. We work with animal-free dairy, egg alternatives, flavour compounds, and functional ingredient producers across market entry, GTM, and fundraising.",</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"What precision fermentation markets does GreyRadius cover?|Europe, Southeast Asia, and the Gulf — markets with active novel food regulatory frameworks and food manufacturer sustainability commitments.",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precision fermentation market entry engagement take?|Typically 8–12 weeks given the complexity of novel food regulatory pathway mapping and food manufacturer demand research.",</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contract fermentation manufacturing partners for precision fermentation companies?|Yes. Contract manufacturing partner identification is part of our market entry execution service."</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"keywords": "precision fermentation market entry, alternative protein GTM strategy, novel food consulting, fermentation biotech advisory, precision fermentation strategy, animal free ingredient market entry",</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"regions": "Europe, Southeast Asia, Gulf",</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"stat1n": "$36B+",</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"stat1l": "Global precision fermentation market by 2030",</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"stat1b": "Growing at 45% annually as dairy proteins, egg alternatives, and functional food ingredients achieve commercial scale and cost competitiveness.",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fermentation mandate",</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"stat2b": "Food manufacturer R&amp;D teams, procurement managers, and regulatory specialists — every engagement grounded in direct primary research.",</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"stat3n": "8 weeks",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"stat3l": "Market entry strategy delivery",</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regulatory pathway mapping and food manufacturer demand research delivers precision fermentation market entry strategies efficiently."</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"slug": "online-gaming-igaming",</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"parent": "gaming",</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"title": "Online Gaming &amp; iGaming Market Entry Strategy | GreyRadius",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online gaming companies, iGaming platforms, and sports betting businesses with market entry strategy, GTM execution, regulatory pathway mapping, and fundraising.",</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"h1": "Online gaming and iGaming market entry strategy",</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licence application to first player deposit — strategy for online gaming businesses.",</w:t>
      </w:r>
    </w:p>
    <w:p w:rsidR="00E7192E"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"hero": "Online gaming and iGaming — including online casino, sports betting, lottery, and poker platforms — is one of the most regulated but fastest-growing digital entertainment sectors globally. Online gaming operators, sports betting platforms, lottery technology providers, and affiliate marketing companies are all evaluating new market entry opportunities as markets regulate and licence online gaming, creating legal and compliant market entry pathways. GreyRadius helps online gaming businesses validate player demand, navigate licensing requirements, execute GTM plans, and raise capital.",</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"Online gaming regulation is spreading globally — India, Brazil, Africa, and multiple Southeast Asian markets are all in various stages of establishing regulatory frameworks for online gaming. The companies that secure operating licences in newly regulated markets before competition intensifies will hold durable market positions. Regulatory windows in newly legalising markets typically remain open for 12–24 months before major incumbents capture market share.",</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"Global online gaming and iGaming market is projected to reach $130B by 2027 — growing at 12% annually as market regulation expands and mobile gaming adoption drives player acquisition.",</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"Sports betting is the largest and fastest-growing iGaming segment — cricket betting in South Asia, football betting in Southeast Asia, and American football betting in new markets are all driving significant revenue growth.",</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"Brazil's online gaming legalisation is the largest new market opening in a decade — creating a $2B+ annual iGaming market that is attracting significant operator investment and licence applications.",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"Responsible gaming technology is becoming a regulatory requirement — player protection tools including self-exclusion, deposit limits, and problem gambling detection are required for licence approval in most regulated markets."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"Gaming licence requirements are complex, expensive, and slow — operating licences for online gaming require capital deposits, technical system certification, corporate structure requirements, and regulatory review that takes 12–24 months.",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"Payment processing for online gaming is challenging — many banks and payment processors restrict gaming merchant accounts, requiring specialist payment solution providers.",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"Player acquisition cost is high and rising — digital advertising for online gaming is expensive, and acquisition of profitable players in competitive markets requires sophisticated CRM and bonus management.",</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"Regulatory compliance is ongoing and intensive — licensed operators must maintain compliance with responsible gaming requirements, AML obligations, and technical system standards continuously."</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"Market demand and player segment validation|You need to validate player demand, preferred game categories, and willingness to deposit in your target market.",</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"Regulatory licence pathway|You need to understand gaming licence requirements, application processes, capital requirements, and approval timelines in your target market.",</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"GTM for an online gaming platform|You have a casino, sports betting, or lottery platform and need a go-to-market strategy covering player acquisition and retention.",</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an iGaming venture|You are raising investment and need a pitch book grounded in player demand data, market sizing, and unit economics.",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"Payment and banking infrastructure strategy|You need to identify payment processing, banking, and financial service partners that can support online gaming transactions in your target market.",</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"Competitive intelligence|You need to understand how competing online gaming operators are positioned, priced, and acquiring players in your target market."</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"Validate player demand and market opportunity for online gaming in a new market. Covers player surveys, regulatory framework mapping, competitive landscape, and a Go/Defer/Kill recommendation.",</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online gaming platform launches. Covers player demand modelling, licence cost, player acquisition economics, and investor-ready projections.",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online gaming operators. Regulatory licence pathway, payment infrastructure identification, player ICP, and first-player-deposit milestone.",</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"Embedded GTM team for iGaming platforms. Player acquisition execution, affiliate network development, and first-revenue milestone tracking.",</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online gaming ventures. Player-demand-validated market sizing, licence economics, and investor identification.",</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in online gaming — from personalised game recommendation and player churn prediction to responsible gaming monitoring and fraud detection."</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casino operators or also with sports betting and lottery technology companies?|All segments. We work with casino, sports betting, poker, and lottery operators and technology providers across market entry, GTM, and fundraising.",</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"What online gaming markets does GreyRadius cover?|Markets where online gaming regulation is established or emerging — including South Asia, Southeast Asia, Africa, and Latin America.",</w:t>
      </w:r>
    </w:p>
    <w:p w:rsidR="00E7192E"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"How long does an online gaming market entry engagement take?|Typically 6–10 weeks for player demand research, regulatory licence mapping, and market entry strategy.",</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support gaming licence applications?|We map the licence requirements and help prepare market analysis components — formal licence applications are submitted by the company with their gaming regulatory counsel."</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"keywords": "online gaming market entry, iGaming GTM strategy, sports betting consulting, online casino advisory, iGaming market strategy, online gaming licence consulting",</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"regions": "Southeast Asia, South Asia, Africa",</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"stat1n": "$130B+",</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"stat1l": "Global online gaming market by 2027",</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"stat1b": "Growing at 12% annually as market regulation expands globally and mobile gaming adoption drives player acquisition in new markets.",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gaming mandate",</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"stat2b": "Players, operators, payment providers, and regulatory specialists — every engagement grounded in direct primary research.",</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"stat3n": "6 weeks",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"stat3l": "Market entry strategy delivery",</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regulatory mapping and player demand research delivers online gaming market entry strategies efficiently."</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"slug": "digital-health-insurance",</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"parent": "insurtech",</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"title": "Digital Health Insurance Market Entry Strategy | GreyRadius",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digital health insurance companies, health insurtech platforms, and corporate health benefit providers with market entry strategy, GTM execution, and fundraising.",</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"h1": "Digital health insurance market entry strategy",</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health policy to digital-first protection — strategy for digital health insurance businesses.",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"hero": "Digital health insurance is transforming how health coverage is distributed, managed, and consumed — with mobile-first health insurance apps, employer-sponsored digital health benefits, microinsurance platforms, and integrated health and insurance ecosystems all creating new market entry opportunities. Digital health insurance operators, health insurtech platforms, and embedded health benefit companies are all evaluating new market entry opportunities as health insurance penetration grows in Southeast Asia, South Asia, and the Gulf. GreyRadius helps digital health insurance businesses validate consumer and employer demand, navigate regulatory licensing, execute GTM plans, and raise capital.",</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"Health insurance penetration in Southeast Asia averages below 5% of GDP — compared to 10–15% in developed markets. Digital distribution is making health insurance economically viable to sell to middle-income consumers for the first time. Employer-sponsored health benefits are growing rapidly as companies compete for talent. The digital health insurance platforms that establish employer and consumer distribution in 2024–2027 will capture the growth wave.",</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"Digital health insurance premiums in Southeast Asia are projected to grow at 18% annually through 2030 — driven by rising health awareness, improving health insurance regulation, and digital distribution making policies accessible to the mass market.",</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"Employer health benefit platforms are growing at 25%+ annually — corporates in Singapore, the Gulf, and India are actively seeking digital platforms that bundle health insurance, telemedicine, and wellness services for employee benefits.",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"Microhealth insurance is achieving significant adoption in South Asia and Africa — low-cost, simple health insurance products distributed through mobile money, employer payroll, and cooperative networks are reaching mass-market populations.",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"Health data integration is becoming a competitive advantage — digital health insurance platforms that integrate with wearable devices, telemedicine platforms, and electronic health records are achieving better risk selection and member engagement."</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"Health insurance licensing requirements are complex and capital-intensive — health insurance licences require significant minimum capital, actuarial capabilities, and regulatory approval that takes 12–24 months.",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"Claims fraud is elevated in emerging market health insurance — healthcare provider fraud and member fraud create loss ratio challenges that require sophisticated fraud detection systems.",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"Healthcare provider network development is critical — health insurance without an adequate provider network has limited commercial value, requiring significant network development investment before sales.",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"Consumer trust in health insurance claims settlement is low in many markets — negative perceptions from complex claims processes and claim denials require sustained consumer education investment."</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E7192E"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"challenges_we_solve":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"Consumer and employer demand validation|You need to validate consumer willingness to purchase health insurance and employer appetite for digital health benefit platforms in your target market.",</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"Regulatory licensing pathway|You need to understand health insurance licence requirements, minimum capital, actuarial obligations, and approval timelines in your target market.",</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"Healthcare provider network strategy|You need to identify and develop relationships with hospitals, clinics, and specialist providers as network partners for your health insurance platform.",</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"GTM for a digital health insurance platform|You have a health insurance app, employer benefit platform, or microinsurance product and need a go-to-market strategy.",</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 health insurtech venture|You are raising investment and need a pitch book grounded in health insurance market penetration data and unit economics.",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"Competitive intelligence|You need to understand how competing health insurance operators and insurtech companies are positioned in your target market."</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"Validate consumer and employer demand for digital health insurance in a new market. Covers consumer surveys, HR director interviews, regulatory mapping, and a Go/Defer/Kill recommendation.",</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digital health insurance platform launches. Covers premium volume modelling, loss ratio assumptions, provider network cost, and investor-ready projections.",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digital health insurance companies. Regulatory licence pathway, provider network development, consumer ICP, and first-policy milestone.",</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"Embedded GTM team for health insurtech platforms. Employer and consumer outreach, provider network pipeline, and first-premium milestone tracking.",</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health insurtech ventures. Market-penetration-validated sizing, loss ratio modelling, and investor identification.",</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in health insurance — from risk scoring and claims fraud detection to personalised health management and predictive care intervention."</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health insurance companies or also with employer health benefit platforms and microinsurance providers?|All three. We work with health insurance operators on market entry and licensing, employer benefit platforms on GTM and market entry, and microinsurance providers on market entry and fundraising.",</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"What digital health insurance markets does GreyRadius cover?|Southeast Asia, South Asia, the Gulf, and Africa — markets with significant health insurance penetration gap and growing digital health adoption.",</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digital health insurance market entry engagement take?|Typically 6–10 weeks for consumer and employer demand research, regulatory mapping, and market entry strategy.",</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support healthcare provider network development for health insurance companies?|Yes. Provider network identification and initial contracting strategy are part of our market entry execution service for health insurance companies."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"keywords": "digital health insurance market entry, health insurtech GTM strategy, health insurance consulting, corporate health benefit advisory, health insurance market entry, digital health protection strategy",</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"regions": "Southeast Asia, South Asia, Gulf, Africa",</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"stat1n": "18%",</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"stat1l": "Annual growth rate of digital health insurance in Southeast Asia",</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"stat1b": "Driven by rising health awareness, improving regulation, and digital distribution making policies accessible to middle-income consumers for the first time.",</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health insurance mandate",</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"stat2b": "HR directors, consumer health buyers, healthcare providers, and insurance regulators — every engagement grounded in direct primary research.",</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"stat3n": "6 weeks",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"stat3l": "Market entry strategy delivery",</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regulatory mapping and employer demand research delivers digital health insurance market entry strategies efficiently."</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"slug": "personalised-nutrition",</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"parent": "health-supplements",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"title": "Personalised Nutrition Market Entry Strategy | GreyRadius",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personalised nutrition companies, nutrigenomics businesses, and custom diet platforms with market entry strategy, GTM execution, and fundraising.",</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"h1": "Personalised nutrition market entry strategy",</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DNA test to custom supplement — strategy for personalised nutrition businesses.",</w:t>
      </w:r>
    </w:p>
    <w:p w:rsidR="00E7192E"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"hero": "Personalised nutrition — nutrition recommendations tailored to individual genetic profiles, microbiome composition, biomarkers, and health goals — is creating a new category in the health and wellness market. Nutrigenomics companies, microbiome testing platforms, custom supplement manufacturers, AI-powered diet coaching apps, and corporate nutrition wellness programmes are all evaluating new market entry opportunities as consumer interest in personalised health approaches grows. GreyRadius helps personalised nutrition businesses validate consumer demand, navigate regulatory frameworks, execute GTM plans, and raise capital.",</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"Consumer adoption of genetic testing and health biomarker monitoring is at an inflection point — the normalisation of direct-to-consumer genetic testing through 23andMe and similar companies has created consumer familiarity with personalised health data. The Gulf's premium health consumer segment and Singapore's preventive health infrastructure create near-term high-value markets for personalised nutrition businesses.",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"Global personalised nutrition market is projected to reach $16B by 2028 — growing at 15% annually as genetic testing costs fall, microbiome research advances, and AI-powered nutrition coaching achieves consumer adoption.",</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"Corporate personalised wellness programmes are growing at 20%+ annually — employers in Singapore, the Gulf, and India are investing in personalised nutrition programmes as part of executive health and employee wellness benefits.",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"Microbiome-based nutrition recommendations are gaining clinical validation — gut microbiome testing companies are accumulating clinical evidence that microbiome composition predicts nutritional response, creating a science-backed product category.",</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"AI-powered dietary coaching is reducing the cost of personalised nutrition — AI apps that provide personalised meal planning and nutritional guidance based on health data are making personalised nutrition accessible beyond HNW consumers."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"Regulatory classification of personalised nutrition services varies — genetic nutrition services, microbiome testing, and personalised supplement manufacturing all face different regulatory classifications in different markets.",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"Scientific credibility challenges affect consumer trust — personalised nutrition is adjacent to a market saturated with unproven wellness claims, making it difficult for evidence-based companies to differentiate.",</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"Consumer privacy concerns about health and genetic data are significant — consumers are cautious about sharing genetic and microbiome data, requiring robust privacy architecture and transparent data practices.",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"Supply chain for fully personalised supplement manufacturing is complex — producing truly personalised supplement formulations requires flexible manufacturing infrastructure that most contract manufacturers do not offer."</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"Consumer demand validation|You need to validate that consumers in your target market are interested in personalised nutrition and willing to pay the premium pricing the service requires.",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"Regulatory classification and pathway|You need to understand how your personalised nutrition service — genetic testing, microbiome analysis, custom supplements — is classified in your target market.",</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"Corporate wellness buyer strategy|You need to identify HR directors and employee wellness programme managers who are allocating budget to personalised nutrition benefits.",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"GTM for a personalised nutrition platform|You have a genetic nutrition, microbiome, or AI diet coaching product and need a go-to-market strategy.",</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 personalised nutrition venture|You are raising investment and need a pitch book grounded in consumer demand data and scientific validation.",</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"Scientific validation and clinical partnership strategy|You need to identify research hospitals and nutrition science institutions as clinical validation and marketing credibility partners."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"Validate consumer and corporate demand for personalised nutrition in a new market. Covers consumer surveys, HR wellness buyer interviews, regulatory mapping, and a Go/Defer/Kill recommendation.",</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personalised nutrition platform launches. Covers consumer demand modelling, unit economics, supply chain cost, and investor-ready projections.",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personalised nutrition companies. Regulatory pathway, corporate wellness channel development, consumer ICP, and first-client acquisition.",</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"Embedded GTM team for personalised nutrition platforms. Consumer acquisition execution, corporate wellness pipeline, and first-revenue milestone tracking.",</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personalised nutrition ventures. Consumer-demand-validated market sizing, scientific narrative, and investor identification.",</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in personalised nutrition — from nutrigenomics analysis and dietary pattern recognition to personalised meal planning and supplement formulation optimisation."</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E7192E"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"Does GreyRadius work with genetic nutrition companies or also with microbiome testing and AI diet coaching platforms?|All three. We work across nutrigenomics, microbiome testing, custom supplement manufacturing, and AI dietary coaching on market entry, GTM, and fundraising.",</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"What personalised nutrition markets does GreyRadius cover?|Gulf, Southeast Asia, and South Asia — markets with premium health consumer segments and growing corporate wellness investment.",</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personalised nutrition market entry engagement take?|Typically 6–10 weeks for consumer demand research, regulatory mapping, and market entry strategy.",</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corporate wellness buyers for personalised nutrition companies?|Yes. Corporate wellness buyer identification and initial commercial conversations are part of our GTM Execution-as-a-Service."</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"keywords": "personalised nutrition market entry, nutrigenomics GTM strategy, microbiome testing consulting, custom nutrition advisory, personalised health market entry, personalised diet strategy",</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"regions": "Gulf, Southeast Asia, South Asia",</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"stat1n": "$16B+",</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"stat1l": "Global personalised nutrition market by 2028",</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"stat1b": "Growing at 15% annually as genetic testing costs fall, microbiome research advances, and AI-powered nutrition coaching achieves consumer adoption.",</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nutrition mandate",</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"stat2b": "Consumer health buyers, corporate wellness managers, and nutrition clinicians — every engagement grounded in direct primary research.",</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"stat3n": "6 weeks",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"stat3l": "Market entry strategy delivery",</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regulatory mapping and consumer demand research delivers personalised nutrition market entry strategies efficiently."</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"slug": "insurtech-agriculture",</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"parent": "insurtech",</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"title": "Agricultural Insurance &amp; Agri-Insurtech Market Entry | GreyRadius",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agricultural insurance companies, crop insurance technology businesses, and parametric insurance providers with market entry strategy, GTM execution, and fundraising.",</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"h1": "Agricultural insurance and agri-insurtech market entry strategy",</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satellite data to farmer protection — strategy for agricultural insurance businesses.",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"hero": "Agricultural insurance and agri-insurtech is addressing one of the world's largest protection gaps — less than 20% of smallholder farmers globally have any form of crop insurance, leaving billions of people exposed to catastrophic income loss from weather events, pest infestations, and natural disasters. Parametric crop insurance companies, satellite-based crop monitoring platforms, agricultural microinsurance providers, and government agricultural risk management technology companies are all evaluating new market entry opportunities. GreyRadius helps agri-insurtech businesses validate farmer and government demand, navigate insurance regulatory requirements, execute GTM plans, and raise capital.",</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"Climate change is intensifying agricultural risk globally — more frequent droughts, floods, and extreme weather events are creating urgent demand for crop insurance that conventional indemnity products cannot affordably serve. Government reinsurance support programmes in India, Kenya, Ethiopia, and several Southeast Asian markets are creating funded demand for parametric crop insurance technology. The infrastructure being built now will serve hundreds of millions of farmers.",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"Global agricultural insurance premium is projected to reach $50B by 2028 — with emerging market growth at 15%+ annually as government support programmes and climate adaptation investment drive adoption.",</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"Parametric crop insurance is growing at 30%+ annually — satellite-based and weather index insurance products that pay automatically without individual claims assessment are the only economically viable model for smallholder farmer coverage.",</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"Government agricultural risk management programmes are the primary distribution channel — direct farmer marketing of crop insurance is economically unviable at smallholder scale, making government programme access the critical commercial pathway.",</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"Satellite data and AI are transforming crop monitoring — multi-spectral satellite imagery combined with AI crop health analysis is enabling accurate loss assessment and automated parametric trigger validation at scale."</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"Smallholder farmer willingness to pay for crop insurance is limited — years of indemnity insurance where claims were denied or delayed have created deep mistrust that parametric products must overcome.",</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"Basis risk in parametric insurance is a persistent challenge — the gap between index-triggered payouts and actual farmer losses creates situations where farmers suffer losses but receive no payment, undermining confidence.",</w:t>
      </w:r>
    </w:p>
    <w:p w:rsidR="00E7192E"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"Government programme design is complex — effective agricultural insurance programmes require careful product design, subsidy structuring, and distribution mechanism development that requires deep local expertise.",</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"Data quality for crop monitoring in smallholder farming systems is limited — small plot sizes, fragmented land records, and mixed cropping systems make satellite-based loss assessment less accurate."</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"Farmer and government demand validation|You need to validate farmer willingness to participate in crop insurance and government programme manager interest in agricultural insurance technology platforms.",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"Government agricultural risk programme engagement|You need to identify government agricultural insurance programmes, reinsurance support schemes, and climate adaptation funds as anchor channels.",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"Regulatory insurance licensing pathway|You need to understand agricultural insurance licensing requirements and government programme eligibility criteria in your target market.",</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"GTM for an agri-insurtech platform|You have a parametric crop insurance, satellite monitoring, or agricultural risk management platform and need a go-to-market strategy.",</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an agri-insurtech venture|You are raising investment and need a pitch book grounded in farmer demand data and government programme market sizing.",</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"Distribution partner strategy|You need to identify agricultural cooperatives, microfinance institutions, and mobile money providers as distribution channels to reach smallholder farmers."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"Validate farmer and government demand for agricultural insurance in a new market. Covers farmer surveys, government programme manager interviews, regulatory mapping, and a Go/Defer/Kill recommendation.",</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and operational feasibility for agri-insurtech investments. Covers farmer adoption modelling, premium volume projections, loss ratio assumptions, and investor-ready financial projections.",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"End-to-end market entry for agri-insurtech companies. Regulatory pathway, government programme engagement, distribution partner identification, and first-farmer-enrolment milestone.",</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"Embedded GTM team for agricultural insurance platforms. Government programme outreach, distribution partner pipeline, and first-premium milestone tracking.",</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agri-insurtech ventures. Farmer-demand-validated market sizing, government programme narrative, and investor identification.",</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"AI use-case prioritisation in agricultural insurance — from satellite crop health monitoring and yield prediction to automated parametric trigger calculation and claims fraud detection."</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parametric crop insurance companies or also with conventional agricultural insurance and agri-fintech companies?|All segments. We work with parametric, index-based, and conventional crop insurance companies, as well as agricultural fintech companies that include insurance components.",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"What agricultural insurance markets does GreyRadius cover?|South Asia, Southeast Asia, and Africa — markets with large smallholder farmer populations and active government agricultural risk management programmes.",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an agri-insurtech market entry engagement take?|Typically 8–12 weeks given the complexity of government programme mapping and farmer demand research.",</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government agricultural programme partnerships for agri-insurtech companies?|Yes. Government programme identification and initial engagement strategy are part of our market entry execution service."</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"keywords": "agricultural insurance market entry, crop insurance GTM strategy, agri insurtech consulting, parametric insurance advisory, farm insurance market entry, agricultural risk management consulting",</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"regions": "South Asia, Southeast Asia, Africa",</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"stat1n": "$50B+",</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"stat1l": "Global agricultural insurance market by 2028",</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"stat1b": "Growing at 15% annually as government support programmes and climate adaptation investment drive farmer protection adoption.",</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agri-insurance mandate",</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"stat2b": "Farmers, cooperative managers, government programme administrators, and reinsurance specialists — every engagement grounded in direct primary research.",</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"stat3n": "8 weeks",</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"stat3l": "Market entry strategy delivery",</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satellite data analysis and government programme mapping delivers agricultural insurance market entry strategies efficiently."</w:t>
      </w:r>
    </w:p>
    <w:p w:rsidR="00E7192E"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E7192E" w:rsidRDefault="00000000">
      <w:pPr>
        <w:shd w:val="clear" w:color="auto" w:fill="F0F0F0"/>
        <w:spacing w:before="14" w:after="14"/>
        <w:ind w:left="360"/>
      </w:pPr>
      <w:r>
        <w:rPr>
          <w:rFonts w:ascii="Courier New" w:eastAsia="Courier New" w:hAnsi="Courier New" w:cs="Courier New"/>
          <w:color w:val="1B2A4A"/>
          <w:sz w:val="16"/>
          <w:szCs w:val="16"/>
        </w:rPr>
        <w:t>]</w:t>
      </w:r>
    </w:p>
    <w:p w:rsidR="00E7192E" w:rsidRDefault="00E7192E">
      <w:pPr>
        <w:pBdr>
          <w:bottom w:val="single" w:sz="8" w:space="1" w:color="1B2A4A"/>
        </w:pBdr>
        <w:spacing w:before="200" w:after="200"/>
      </w:pPr>
    </w:p>
    <w:p w:rsidR="00E7192E" w:rsidRDefault="00000000">
      <w:pPr>
        <w:pStyle w:val="Heading1"/>
      </w:pPr>
      <w:r>
        <w:lastRenderedPageBreak/>
        <w:t>Next: Batch 5 (pages 101-120)</w:t>
      </w:r>
    </w:p>
    <w:p w:rsidR="00E7192E" w:rsidRDefault="00000000">
      <w:pPr>
        <w:spacing w:before="60" w:after="60"/>
      </w:pPr>
      <w:r>
        <w:rPr>
          <w:color w:val="222222"/>
        </w:rPr>
        <w:t>Batch 5 will cover the next 20 pages including:</w:t>
      </w:r>
    </w:p>
    <w:p w:rsidR="00E7192E" w:rsidRDefault="00000000">
      <w:pPr>
        <w:pStyle w:val="ListParagraph"/>
        <w:numPr>
          <w:ilvl w:val="0"/>
          <w:numId w:val="2"/>
        </w:numPr>
        <w:spacing w:before="40" w:after="40"/>
      </w:pPr>
      <w:r>
        <w:rPr>
          <w:color w:val="222222"/>
        </w:rPr>
        <w:t>Tier 2: Wealthtech, Embedded Finance, HR Technology, Direct-to-Consumer, Food &amp; Beverage, Aerospace &amp; Defense, Higher Education, Medical Tourism, FB Chains, Data &amp; Analytics</w:t>
      </w:r>
    </w:p>
    <w:p w:rsidR="00E7192E" w:rsidRDefault="00000000">
      <w:pPr>
        <w:pStyle w:val="ListParagraph"/>
        <w:numPr>
          <w:ilvl w:val="0"/>
          <w:numId w:val="2"/>
        </w:numPr>
        <w:spacing w:before="40" w:after="40"/>
      </w:pPr>
      <w:r>
        <w:rPr>
          <w:color w:val="222222"/>
        </w:rPr>
        <w:t>Tier 3: Smart Grid market entry, Water Technology, Nuclear energy, Biofuels/SAF, Nano Satellite, Real Estate Tokenisation, Ed Fintech, Supply Chain Technology, Reverse Logistics, Food Delivery Platform, Telematics, Carbon Capture, Hydrogen Infrastructure, Insurance Agriculture Part 2, Proptech Construction, Smart Manufacturing, Digital Twin Part 2</w:t>
      </w:r>
    </w:p>
    <w:p w:rsidR="00E7192E" w:rsidRDefault="00000000">
      <w:pPr>
        <w:spacing w:before="400"/>
      </w:pPr>
      <w:r>
        <w:rPr>
          <w:i/>
          <w:iCs/>
          <w:color w:val="666666"/>
          <w:sz w:val="16"/>
          <w:szCs w:val="16"/>
        </w:rPr>
        <w:t>GreyRadius Consulting | SEO Build Pack Batch 4 | May 2026 | Confidential</w:t>
      </w:r>
    </w:p>
    <w:sectPr w:rsidR="00E7192E">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73452A8"/>
    <w:multiLevelType w:val="hybridMultilevel"/>
    <w:tmpl w:val="A1CED870"/>
    <w:lvl w:ilvl="0" w:tplc="EF3EAB92">
      <w:start w:val="1"/>
      <w:numFmt w:val="bullet"/>
      <w:lvlText w:val="•"/>
      <w:lvlJc w:val="left"/>
      <w:pPr>
        <w:ind w:left="720" w:hanging="360"/>
      </w:pPr>
    </w:lvl>
    <w:lvl w:ilvl="1" w:tplc="8202ECF0">
      <w:numFmt w:val="decimal"/>
      <w:lvlText w:val=""/>
      <w:lvlJc w:val="left"/>
    </w:lvl>
    <w:lvl w:ilvl="2" w:tplc="40C05606">
      <w:numFmt w:val="decimal"/>
      <w:lvlText w:val=""/>
      <w:lvlJc w:val="left"/>
    </w:lvl>
    <w:lvl w:ilvl="3" w:tplc="A784E5BC">
      <w:numFmt w:val="decimal"/>
      <w:lvlText w:val=""/>
      <w:lvlJc w:val="left"/>
    </w:lvl>
    <w:lvl w:ilvl="4" w:tplc="1484741E">
      <w:numFmt w:val="decimal"/>
      <w:lvlText w:val=""/>
      <w:lvlJc w:val="left"/>
    </w:lvl>
    <w:lvl w:ilvl="5" w:tplc="3F922A46">
      <w:numFmt w:val="decimal"/>
      <w:lvlText w:val=""/>
      <w:lvlJc w:val="left"/>
    </w:lvl>
    <w:lvl w:ilvl="6" w:tplc="470ADAA6">
      <w:numFmt w:val="decimal"/>
      <w:lvlText w:val=""/>
      <w:lvlJc w:val="left"/>
    </w:lvl>
    <w:lvl w:ilvl="7" w:tplc="A1165662">
      <w:numFmt w:val="decimal"/>
      <w:lvlText w:val=""/>
      <w:lvlJc w:val="left"/>
    </w:lvl>
    <w:lvl w:ilvl="8" w:tplc="4A2AAC62">
      <w:numFmt w:val="decimal"/>
      <w:lvlText w:val=""/>
      <w:lvlJc w:val="left"/>
    </w:lvl>
  </w:abstractNum>
  <w:abstractNum w:abstractNumId="1" w15:restartNumberingAfterBreak="0">
    <w:nsid w:val="794C3A0C"/>
    <w:multiLevelType w:val="hybridMultilevel"/>
    <w:tmpl w:val="2AEAB0B8"/>
    <w:lvl w:ilvl="0" w:tplc="0B727772">
      <w:start w:val="1"/>
      <w:numFmt w:val="bullet"/>
      <w:lvlText w:val="●"/>
      <w:lvlJc w:val="left"/>
      <w:pPr>
        <w:ind w:left="720" w:hanging="360"/>
      </w:pPr>
    </w:lvl>
    <w:lvl w:ilvl="1" w:tplc="C7129A2C">
      <w:start w:val="1"/>
      <w:numFmt w:val="bullet"/>
      <w:lvlText w:val="○"/>
      <w:lvlJc w:val="left"/>
      <w:pPr>
        <w:ind w:left="1440" w:hanging="360"/>
      </w:pPr>
    </w:lvl>
    <w:lvl w:ilvl="2" w:tplc="05ACDDB0">
      <w:start w:val="1"/>
      <w:numFmt w:val="bullet"/>
      <w:lvlText w:val="■"/>
      <w:lvlJc w:val="left"/>
      <w:pPr>
        <w:ind w:left="2160" w:hanging="360"/>
      </w:pPr>
    </w:lvl>
    <w:lvl w:ilvl="3" w:tplc="306272FA">
      <w:start w:val="1"/>
      <w:numFmt w:val="bullet"/>
      <w:lvlText w:val="●"/>
      <w:lvlJc w:val="left"/>
      <w:pPr>
        <w:ind w:left="2880" w:hanging="360"/>
      </w:pPr>
    </w:lvl>
    <w:lvl w:ilvl="4" w:tplc="622CAA7C">
      <w:start w:val="1"/>
      <w:numFmt w:val="bullet"/>
      <w:lvlText w:val="○"/>
      <w:lvlJc w:val="left"/>
      <w:pPr>
        <w:ind w:left="3600" w:hanging="360"/>
      </w:pPr>
    </w:lvl>
    <w:lvl w:ilvl="5" w:tplc="E9C250F2">
      <w:start w:val="1"/>
      <w:numFmt w:val="bullet"/>
      <w:lvlText w:val="■"/>
      <w:lvlJc w:val="left"/>
      <w:pPr>
        <w:ind w:left="4320" w:hanging="360"/>
      </w:pPr>
    </w:lvl>
    <w:lvl w:ilvl="6" w:tplc="DADE2840">
      <w:start w:val="1"/>
      <w:numFmt w:val="bullet"/>
      <w:lvlText w:val="●"/>
      <w:lvlJc w:val="left"/>
      <w:pPr>
        <w:ind w:left="5040" w:hanging="360"/>
      </w:pPr>
    </w:lvl>
    <w:lvl w:ilvl="7" w:tplc="8F96D4FC">
      <w:start w:val="1"/>
      <w:numFmt w:val="bullet"/>
      <w:lvlText w:val="●"/>
      <w:lvlJc w:val="left"/>
      <w:pPr>
        <w:ind w:left="5760" w:hanging="360"/>
      </w:pPr>
    </w:lvl>
    <w:lvl w:ilvl="8" w:tplc="4532093C">
      <w:start w:val="1"/>
      <w:numFmt w:val="bullet"/>
      <w:lvlText w:val="●"/>
      <w:lvlJc w:val="left"/>
      <w:pPr>
        <w:ind w:left="6480" w:hanging="360"/>
      </w:pPr>
    </w:lvl>
  </w:abstractNum>
  <w:num w:numId="1" w16cid:durableId="813717921">
    <w:abstractNumId w:val="1"/>
    <w:lvlOverride w:ilvl="0">
      <w:startOverride w:val="1"/>
    </w:lvlOverride>
  </w:num>
  <w:num w:numId="2" w16cid:durableId="16034933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192E"/>
    <w:rsid w:val="002D7802"/>
    <w:rsid w:val="00E719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docId w15:val="{F3D74D8F-C1CD-2142-BD43-E8993E4935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B2A4A"/>
      <w:sz w:val="32"/>
      <w:szCs w:val="32"/>
    </w:rPr>
  </w:style>
  <w:style w:type="paragraph" w:styleId="Heading2">
    <w:name w:val="heading 2"/>
    <w:uiPriority w:val="9"/>
    <w:semiHidden/>
    <w:unhideWhenUsed/>
    <w:qFormat/>
    <w:pPr>
      <w:spacing w:before="280" w:after="120"/>
      <w:outlineLvl w:val="1"/>
    </w:pPr>
    <w:rPr>
      <w:b/>
      <w:bCs/>
      <w:color w:val="1B2A4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19150</Words>
  <Characters>109161</Characters>
  <Application>Microsoft Office Word</Application>
  <DocSecurity>0</DocSecurity>
  <Lines>909</Lines>
  <Paragraphs>256</Paragraphs>
  <ScaleCrop>false</ScaleCrop>
  <Company/>
  <LinksUpToDate>false</LinksUpToDate>
  <CharactersWithSpaces>128055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CB</cp:lastModifiedBy>
  <cp:revision>2</cp:revision>
  <dcterms:created xsi:type="dcterms:W3CDTF">2026-06-02T06:10:00Z</dcterms:created>
  <dcterms:modified xsi:type="dcterms:W3CDTF">2026-06-02T06:10:00Z</dcterms:modified>
</cp:coreProperties>
</file>