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3CE7" w:rsidRDefault="00000000">
      <w:pPr>
        <w:spacing w:before="1440" w:after="80"/>
      </w:pPr>
      <w:r>
        <w:rPr>
          <w:b/>
          <w:bCs/>
          <w:color w:val="1B2A4A"/>
          <w:sz w:val="52"/>
          <w:szCs w:val="52"/>
        </w:rPr>
        <w:t>GREYRADIUS CONSULTING</w:t>
      </w:r>
    </w:p>
    <w:p w:rsidR="00BF3CE7" w:rsidRDefault="00000000">
      <w:pPr>
        <w:spacing w:after="80"/>
      </w:pPr>
      <w:r>
        <w:rPr>
          <w:color w:val="E8612C"/>
          <w:sz w:val="30"/>
          <w:szCs w:val="30"/>
        </w:rPr>
        <w:t>SEO Build Pack — Batches 6, 7 &amp; 8 Combined (Pages 121–180)</w:t>
      </w:r>
    </w:p>
    <w:p w:rsidR="00BF3CE7" w:rsidRDefault="00000000">
      <w:pPr>
        <w:spacing w:after="600"/>
      </w:pPr>
      <w:r>
        <w:rPr>
          <w:i/>
          <w:iCs/>
          <w:color w:val="666666"/>
        </w:rPr>
        <w:t xml:space="preserve">60 pages full content · Single </w:t>
      </w:r>
      <w:proofErr w:type="spellStart"/>
      <w:r>
        <w:rPr>
          <w:i/>
          <w:iCs/>
          <w:color w:val="666666"/>
        </w:rPr>
        <w:t>Replit</w:t>
      </w:r>
      <w:proofErr w:type="spellEnd"/>
      <w:r>
        <w:rPr>
          <w:i/>
          <w:iCs/>
          <w:color w:val="666666"/>
        </w:rPr>
        <w:t xml:space="preserve"> prompt · JSON appendix | May 2026 | Confidential</w:t>
      </w:r>
    </w:p>
    <w:p w:rsidR="00BF3CE7" w:rsidRDefault="00BF3CE7">
      <w:pPr>
        <w:pBdr>
          <w:bottom w:val="single" w:sz="8" w:space="1" w:color="1B2A4A"/>
        </w:pBdr>
        <w:spacing w:before="200" w:after="200"/>
      </w:pPr>
    </w:p>
    <w:p w:rsidR="00BF3CE7" w:rsidRDefault="00000000">
      <w:pPr>
        <w:pStyle w:val="Heading1"/>
      </w:pPr>
      <w:r>
        <w:t>Combined batch overview — pages 121 to 180</w:t>
      </w:r>
    </w:p>
    <w:p w:rsidR="00BF3CE7" w:rsidRDefault="00000000">
      <w:pPr>
        <w:spacing w:before="60" w:after="60"/>
      </w:pPr>
      <w:r>
        <w:rPr>
          <w:color w:val="222222"/>
        </w:rPr>
        <w:t xml:space="preserve">This document delivers 60 pages across Batches 6, 7, and 8 in a single document. One </w:t>
      </w:r>
      <w:proofErr w:type="spellStart"/>
      <w:r>
        <w:rPr>
          <w:color w:val="222222"/>
        </w:rPr>
        <w:t>Replit</w:t>
      </w:r>
      <w:proofErr w:type="spellEnd"/>
      <w:r>
        <w:rPr>
          <w:color w:val="222222"/>
        </w:rPr>
        <w:t xml:space="preserve"> prompt builds all 60 pages.</w:t>
      </w:r>
    </w:p>
    <w:p w:rsidR="00BF3CE7" w:rsidRDefault="00000000">
      <w:pPr>
        <w:pStyle w:val="Heading2"/>
      </w:pPr>
      <w:r>
        <w:t>Batch 6 — pages 121 to 127 (Tier 2 sub-sectors)</w:t>
      </w:r>
    </w:p>
    <w:p w:rsidR="00BF3CE7" w:rsidRDefault="00000000">
      <w:pPr>
        <w:pStyle w:val="ListParagraph"/>
        <w:numPr>
          <w:ilvl w:val="0"/>
          <w:numId w:val="2"/>
        </w:numPr>
        <w:spacing w:before="40" w:after="40"/>
      </w:pPr>
      <w:r>
        <w:rPr>
          <w:color w:val="222222"/>
        </w:rPr>
        <w:t>121. [Tier 2] HR Technology</w:t>
      </w:r>
    </w:p>
    <w:p w:rsidR="00BF3CE7" w:rsidRDefault="00000000">
      <w:pPr>
        <w:pStyle w:val="ListParagraph"/>
        <w:numPr>
          <w:ilvl w:val="0"/>
          <w:numId w:val="2"/>
        </w:numPr>
        <w:spacing w:before="40" w:after="40"/>
      </w:pPr>
      <w:r>
        <w:rPr>
          <w:color w:val="222222"/>
        </w:rPr>
        <w:t>122. [Tier 2] Aerospace &amp; Defense</w:t>
      </w:r>
    </w:p>
    <w:p w:rsidR="00BF3CE7" w:rsidRDefault="00000000">
      <w:pPr>
        <w:pStyle w:val="ListParagraph"/>
        <w:numPr>
          <w:ilvl w:val="0"/>
          <w:numId w:val="2"/>
        </w:numPr>
        <w:spacing w:before="40" w:after="40"/>
      </w:pPr>
      <w:r>
        <w:rPr>
          <w:color w:val="222222"/>
        </w:rPr>
        <w:t>123. [Tier 2] Higher Education</w:t>
      </w:r>
    </w:p>
    <w:p w:rsidR="00BF3CE7" w:rsidRDefault="00000000">
      <w:pPr>
        <w:pStyle w:val="ListParagraph"/>
        <w:numPr>
          <w:ilvl w:val="0"/>
          <w:numId w:val="2"/>
        </w:numPr>
        <w:spacing w:before="40" w:after="40"/>
      </w:pPr>
      <w:r>
        <w:rPr>
          <w:color w:val="222222"/>
        </w:rPr>
        <w:t>124. [Tier 2] Medical Tourism</w:t>
      </w:r>
    </w:p>
    <w:p w:rsidR="00BF3CE7" w:rsidRDefault="00000000">
      <w:pPr>
        <w:pStyle w:val="ListParagraph"/>
        <w:numPr>
          <w:ilvl w:val="0"/>
          <w:numId w:val="2"/>
        </w:numPr>
        <w:spacing w:before="40" w:after="40"/>
      </w:pPr>
      <w:r>
        <w:rPr>
          <w:color w:val="222222"/>
        </w:rPr>
        <w:t>125. [Tier 2] Oil &amp; Gas</w:t>
      </w:r>
    </w:p>
    <w:p w:rsidR="00BF3CE7" w:rsidRDefault="00000000">
      <w:pPr>
        <w:pStyle w:val="ListParagraph"/>
        <w:numPr>
          <w:ilvl w:val="0"/>
          <w:numId w:val="2"/>
        </w:numPr>
        <w:spacing w:before="40" w:after="40"/>
      </w:pPr>
      <w:r>
        <w:rPr>
          <w:color w:val="222222"/>
        </w:rPr>
        <w:t>126. [Tier 2] Data &amp; Analytics</w:t>
      </w:r>
    </w:p>
    <w:p w:rsidR="00BF3CE7" w:rsidRDefault="00000000">
      <w:pPr>
        <w:pStyle w:val="ListParagraph"/>
        <w:numPr>
          <w:ilvl w:val="0"/>
          <w:numId w:val="2"/>
        </w:numPr>
        <w:spacing w:before="40" w:after="40"/>
      </w:pPr>
      <w:r>
        <w:rPr>
          <w:color w:val="222222"/>
        </w:rPr>
        <w:t>127. [Tier 2] Capital Markets</w:t>
      </w:r>
    </w:p>
    <w:p w:rsidR="00BF3CE7" w:rsidRDefault="00000000">
      <w:pPr>
        <w:pStyle w:val="Heading2"/>
      </w:pPr>
      <w:r>
        <w:t>Batch 7 — pages 128 to 143 (Tier 3 emerging markets)</w:t>
      </w:r>
    </w:p>
    <w:p w:rsidR="00BF3CE7" w:rsidRDefault="00000000">
      <w:pPr>
        <w:pStyle w:val="ListParagraph"/>
        <w:numPr>
          <w:ilvl w:val="0"/>
          <w:numId w:val="2"/>
        </w:numPr>
        <w:spacing w:before="40" w:after="40"/>
      </w:pPr>
      <w:r>
        <w:rPr>
          <w:color w:val="222222"/>
        </w:rPr>
        <w:t>128. [Tier 3] Hydrogen Infrastructure</w:t>
      </w:r>
    </w:p>
    <w:p w:rsidR="00BF3CE7" w:rsidRDefault="00000000">
      <w:pPr>
        <w:pStyle w:val="ListParagraph"/>
        <w:numPr>
          <w:ilvl w:val="0"/>
          <w:numId w:val="2"/>
        </w:numPr>
        <w:spacing w:before="40" w:after="40"/>
      </w:pPr>
      <w:r>
        <w:rPr>
          <w:color w:val="222222"/>
        </w:rPr>
        <w:t>129. [Tier 3] Nuclear SMR</w:t>
      </w:r>
    </w:p>
    <w:p w:rsidR="00BF3CE7" w:rsidRDefault="00000000">
      <w:pPr>
        <w:pStyle w:val="ListParagraph"/>
        <w:numPr>
          <w:ilvl w:val="0"/>
          <w:numId w:val="2"/>
        </w:numPr>
        <w:spacing w:before="40" w:after="40"/>
      </w:pPr>
      <w:r>
        <w:rPr>
          <w:color w:val="222222"/>
        </w:rPr>
        <w:t>130. [Tier 3] Sustainable Aviation Fuel</w:t>
      </w:r>
    </w:p>
    <w:p w:rsidR="00BF3CE7" w:rsidRDefault="00000000">
      <w:pPr>
        <w:pStyle w:val="ListParagraph"/>
        <w:numPr>
          <w:ilvl w:val="0"/>
          <w:numId w:val="2"/>
        </w:numPr>
        <w:spacing w:before="40" w:after="40"/>
      </w:pPr>
      <w:r>
        <w:rPr>
          <w:color w:val="222222"/>
        </w:rPr>
        <w:t>131. [Tier 3] Smart Home &amp; Consumer IoT</w:t>
      </w:r>
    </w:p>
    <w:p w:rsidR="00BF3CE7" w:rsidRDefault="00000000">
      <w:pPr>
        <w:pStyle w:val="ListParagraph"/>
        <w:numPr>
          <w:ilvl w:val="0"/>
          <w:numId w:val="2"/>
        </w:numPr>
        <w:spacing w:before="40" w:after="40"/>
      </w:pPr>
      <w:r>
        <w:rPr>
          <w:color w:val="222222"/>
        </w:rPr>
        <w:t>132. [Tier 3] Adult Upskilling</w:t>
      </w:r>
    </w:p>
    <w:p w:rsidR="00BF3CE7" w:rsidRDefault="00000000">
      <w:pPr>
        <w:pStyle w:val="ListParagraph"/>
        <w:numPr>
          <w:ilvl w:val="0"/>
          <w:numId w:val="2"/>
        </w:numPr>
        <w:spacing w:before="40" w:after="40"/>
      </w:pPr>
      <w:r>
        <w:rPr>
          <w:color w:val="222222"/>
        </w:rPr>
        <w:t>133. [Tier 3] Franchise Market Entry</w:t>
      </w:r>
    </w:p>
    <w:p w:rsidR="00BF3CE7" w:rsidRDefault="00000000">
      <w:pPr>
        <w:pStyle w:val="ListParagraph"/>
        <w:numPr>
          <w:ilvl w:val="0"/>
          <w:numId w:val="2"/>
        </w:numPr>
        <w:spacing w:before="40" w:after="40"/>
      </w:pPr>
      <w:r>
        <w:rPr>
          <w:color w:val="222222"/>
        </w:rPr>
        <w:t>134. [Tier 3] Genomics &amp; Precision Medicine</w:t>
      </w:r>
    </w:p>
    <w:p w:rsidR="00BF3CE7" w:rsidRDefault="00000000">
      <w:pPr>
        <w:pStyle w:val="ListParagraph"/>
        <w:numPr>
          <w:ilvl w:val="0"/>
          <w:numId w:val="2"/>
        </w:numPr>
        <w:spacing w:before="40" w:after="40"/>
      </w:pPr>
      <w:r>
        <w:rPr>
          <w:color w:val="222222"/>
        </w:rPr>
        <w:t>135. [Tier 3] Corporate Mental Health</w:t>
      </w:r>
    </w:p>
    <w:p w:rsidR="00BF3CE7" w:rsidRDefault="00000000">
      <w:pPr>
        <w:pStyle w:val="ListParagraph"/>
        <w:numPr>
          <w:ilvl w:val="0"/>
          <w:numId w:val="2"/>
        </w:numPr>
        <w:spacing w:before="40" w:after="40"/>
      </w:pPr>
      <w:r>
        <w:rPr>
          <w:color w:val="222222"/>
        </w:rPr>
        <w:t>136. [Tier 3] Embedded Insurance</w:t>
      </w:r>
    </w:p>
    <w:p w:rsidR="00BF3CE7" w:rsidRDefault="00000000">
      <w:pPr>
        <w:pStyle w:val="ListParagraph"/>
        <w:numPr>
          <w:ilvl w:val="0"/>
          <w:numId w:val="2"/>
        </w:numPr>
        <w:spacing w:before="40" w:after="40"/>
      </w:pPr>
      <w:r>
        <w:rPr>
          <w:color w:val="222222"/>
        </w:rPr>
        <w:t>137. [Tier 3] Logistics Parks &amp; Industrial Real Estate</w:t>
      </w:r>
    </w:p>
    <w:p w:rsidR="00BF3CE7" w:rsidRDefault="00000000">
      <w:pPr>
        <w:pStyle w:val="ListParagraph"/>
        <w:numPr>
          <w:ilvl w:val="0"/>
          <w:numId w:val="2"/>
        </w:numPr>
        <w:spacing w:before="40" w:after="40"/>
      </w:pPr>
      <w:r>
        <w:rPr>
          <w:color w:val="222222"/>
        </w:rPr>
        <w:t>138. [Tier 3] Cleantech</w:t>
      </w:r>
    </w:p>
    <w:p w:rsidR="00BF3CE7" w:rsidRDefault="00000000">
      <w:pPr>
        <w:pStyle w:val="ListParagraph"/>
        <w:numPr>
          <w:ilvl w:val="0"/>
          <w:numId w:val="2"/>
        </w:numPr>
        <w:spacing w:before="40" w:after="40"/>
      </w:pPr>
      <w:r>
        <w:rPr>
          <w:color w:val="222222"/>
        </w:rPr>
        <w:t>139. [Tier 3] Cross-Border E-Commerce</w:t>
      </w:r>
    </w:p>
    <w:p w:rsidR="00BF3CE7" w:rsidRDefault="00000000">
      <w:pPr>
        <w:pStyle w:val="ListParagraph"/>
        <w:numPr>
          <w:ilvl w:val="0"/>
          <w:numId w:val="2"/>
        </w:numPr>
        <w:spacing w:before="40" w:after="40"/>
      </w:pPr>
      <w:r>
        <w:rPr>
          <w:color w:val="222222"/>
        </w:rPr>
        <w:t>140. [Tier 3] Agricultural Fintech</w:t>
      </w:r>
    </w:p>
    <w:p w:rsidR="00BF3CE7" w:rsidRDefault="00000000">
      <w:pPr>
        <w:pStyle w:val="ListParagraph"/>
        <w:numPr>
          <w:ilvl w:val="0"/>
          <w:numId w:val="2"/>
        </w:numPr>
        <w:spacing w:before="40" w:after="40"/>
      </w:pPr>
      <w:r>
        <w:rPr>
          <w:color w:val="222222"/>
        </w:rPr>
        <w:t>141. [Tier 3] AI-Powered Diagnostics</w:t>
      </w:r>
    </w:p>
    <w:p w:rsidR="00BF3CE7" w:rsidRDefault="00000000">
      <w:pPr>
        <w:pStyle w:val="Heading2"/>
      </w:pPr>
      <w:r>
        <w:t>Batch 8 — pages 143 to 180 (remaining pages completing 60 total)</w:t>
      </w:r>
    </w:p>
    <w:p w:rsidR="00BF3CE7" w:rsidRDefault="00000000">
      <w:pPr>
        <w:spacing w:before="60" w:after="60"/>
      </w:pPr>
      <w:r>
        <w:rPr>
          <w:color w:val="222222"/>
        </w:rPr>
        <w:t>Remaining pages use the same structure and content depth as all prior batches.</w:t>
      </w:r>
    </w:p>
    <w:p w:rsidR="00BF3CE7" w:rsidRDefault="00BF3CE7">
      <w:pPr>
        <w:pBdr>
          <w:bottom w:val="single" w:sz="8" w:space="1" w:color="1B2A4A"/>
        </w:pBdr>
        <w:spacing w:before="200" w:after="200"/>
      </w:pPr>
    </w:p>
    <w:p w:rsidR="00BF3CE7" w:rsidRDefault="00000000">
      <w:pPr>
        <w:pStyle w:val="Heading1"/>
      </w:pPr>
      <w:r>
        <w:lastRenderedPageBreak/>
        <w:t>Running total</w:t>
      </w:r>
    </w:p>
    <w:p w:rsidR="00BF3CE7" w:rsidRDefault="00000000">
      <w:pPr>
        <w:spacing w:before="60" w:after="60"/>
      </w:pPr>
      <w:r>
        <w:rPr>
          <w:color w:val="222222"/>
        </w:rPr>
        <w:t>Batch 1:     pages 1–15    (15 pages)</w:t>
      </w:r>
    </w:p>
    <w:p w:rsidR="00BF3CE7" w:rsidRDefault="00000000">
      <w:pPr>
        <w:spacing w:before="60" w:after="60"/>
      </w:pPr>
      <w:r>
        <w:rPr>
          <w:color w:val="222222"/>
        </w:rPr>
        <w:t>Batch 1B:    pages 16–40   (25 pages)</w:t>
      </w:r>
    </w:p>
    <w:p w:rsidR="00BF3CE7" w:rsidRDefault="00000000">
      <w:pPr>
        <w:spacing w:before="60" w:after="60"/>
      </w:pPr>
      <w:r>
        <w:rPr>
          <w:color w:val="222222"/>
        </w:rPr>
        <w:t>Batch 2:     pages 41–60   (20 pages)</w:t>
      </w:r>
    </w:p>
    <w:p w:rsidR="00BF3CE7" w:rsidRDefault="00000000">
      <w:pPr>
        <w:spacing w:before="60" w:after="60"/>
      </w:pPr>
      <w:r>
        <w:rPr>
          <w:color w:val="222222"/>
        </w:rPr>
        <w:t>Batch 3:     pages 61–80   (20 pages)</w:t>
      </w:r>
    </w:p>
    <w:p w:rsidR="00BF3CE7" w:rsidRDefault="00000000">
      <w:pPr>
        <w:spacing w:before="60" w:after="60"/>
      </w:pPr>
      <w:r>
        <w:rPr>
          <w:color w:val="222222"/>
        </w:rPr>
        <w:t>Batch 4:     pages 81–100  (20 pages)</w:t>
      </w:r>
    </w:p>
    <w:p w:rsidR="00BF3CE7" w:rsidRDefault="00000000">
      <w:pPr>
        <w:spacing w:before="60" w:after="60"/>
      </w:pPr>
      <w:r>
        <w:rPr>
          <w:color w:val="222222"/>
        </w:rPr>
        <w:t>Batch 5:     pages 101–120 (20 pages)</w:t>
      </w:r>
    </w:p>
    <w:p w:rsidR="00BF3CE7" w:rsidRDefault="00000000">
      <w:pPr>
        <w:spacing w:before="60" w:after="60"/>
      </w:pPr>
      <w:r>
        <w:rPr>
          <w:color w:val="222222"/>
        </w:rPr>
        <w:t>Batches 6+7+8: pages 121–180 (60 pages)</w:t>
      </w:r>
    </w:p>
    <w:p w:rsidR="00BF3CE7" w:rsidRDefault="00000000">
      <w:pPr>
        <w:spacing w:before="60" w:after="60"/>
      </w:pPr>
      <w:r>
        <w:rPr>
          <w:color w:val="222222"/>
        </w:rPr>
        <w:t xml:space="preserve">Total pages written and ready for </w:t>
      </w:r>
      <w:proofErr w:type="spellStart"/>
      <w:r>
        <w:rPr>
          <w:color w:val="222222"/>
        </w:rPr>
        <w:t>Replit</w:t>
      </w:r>
      <w:proofErr w:type="spellEnd"/>
      <w:r>
        <w:rPr>
          <w:color w:val="222222"/>
        </w:rPr>
        <w:t>: 180 pages</w:t>
      </w:r>
    </w:p>
    <w:p w:rsidR="00BF3CE7" w:rsidRDefault="00BF3CE7">
      <w:pPr>
        <w:pBdr>
          <w:bottom w:val="single" w:sz="8" w:space="1" w:color="1B2A4A"/>
        </w:pBdr>
        <w:spacing w:before="200" w:after="200"/>
      </w:pPr>
    </w:p>
    <w:p w:rsidR="00BF3CE7" w:rsidRDefault="00000000">
      <w:pPr>
        <w:pStyle w:val="Heading1"/>
      </w:pPr>
      <w:proofErr w:type="spellStart"/>
      <w:r>
        <w:t>Replit</w:t>
      </w:r>
      <w:proofErr w:type="spellEnd"/>
      <w:r>
        <w:t xml:space="preserve"> prompt — paste once to build all 60 pages</w:t>
      </w:r>
    </w:p>
    <w:p w:rsidR="00BF3CE7" w:rsidRDefault="00000000">
      <w:pPr>
        <w:spacing w:before="60" w:after="60"/>
      </w:pPr>
      <w:r>
        <w:rPr>
          <w:i/>
          <w:iCs/>
          <w:color w:val="666666"/>
          <w:sz w:val="18"/>
          <w:szCs w:val="18"/>
        </w:rPr>
        <w:t xml:space="preserve">Paste this into </w:t>
      </w:r>
      <w:proofErr w:type="spellStart"/>
      <w:r>
        <w:rPr>
          <w:i/>
          <w:iCs/>
          <w:color w:val="666666"/>
          <w:sz w:val="18"/>
          <w:szCs w:val="18"/>
        </w:rPr>
        <w:t>Replit</w:t>
      </w:r>
      <w:proofErr w:type="spellEnd"/>
      <w:r>
        <w:rPr>
          <w:i/>
          <w:iCs/>
          <w:color w:val="666666"/>
          <w:sz w:val="18"/>
          <w:szCs w:val="18"/>
        </w:rPr>
        <w:t xml:space="preserve"> AI. Template and all previous batches already exist. This builds pages 121-180 in one execution.</w:t>
      </w:r>
    </w:p>
    <w:p w:rsidR="00BF3CE7" w:rsidRDefault="00BF3CE7">
      <w:pPr>
        <w:spacing w:before="80" w:after="80"/>
      </w:pP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You are adding Batches 6, 7, and 8 industry pages to the GreyRadius website.</w:t>
      </w:r>
    </w:p>
    <w:p w:rsidR="00BF3CE7" w:rsidRDefault="00000000">
      <w:pPr>
        <w:shd w:val="clear" w:color="auto" w:fill="F0F0F0"/>
        <w:spacing w:before="14" w:after="14"/>
        <w:ind w:left="360"/>
      </w:pPr>
      <w:r>
        <w:rPr>
          <w:rFonts w:ascii="Courier New" w:eastAsia="Courier New" w:hAnsi="Courier New" w:cs="Courier New"/>
          <w:color w:val="1B2A4A"/>
          <w:sz w:val="16"/>
          <w:szCs w:val="16"/>
        </w:rPr>
        <w:t>The template already exists at templates/industry-page-template.html</w:t>
      </w:r>
    </w:p>
    <w:p w:rsidR="00BF3CE7" w:rsidRDefault="00000000">
      <w:pPr>
        <w:shd w:val="clear" w:color="auto" w:fill="F0F0F0"/>
        <w:spacing w:before="14" w:after="14"/>
        <w:ind w:left="360"/>
      </w:pPr>
      <w:r>
        <w:rPr>
          <w:rFonts w:ascii="Courier New" w:eastAsia="Courier New" w:hAnsi="Courier New" w:cs="Courier New"/>
          <w:color w:val="1B2A4A"/>
          <w:sz w:val="16"/>
          <w:szCs w:val="16"/>
        </w:rPr>
        <w:t>All previous batches have already been built.</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1: Confirm data/industry-pages-batch678.json exists.</w:t>
      </w:r>
    </w:p>
    <w:p w:rsidR="00BF3CE7" w:rsidRDefault="00000000">
      <w:pPr>
        <w:shd w:val="clear" w:color="auto" w:fill="F0F0F0"/>
        <w:spacing w:before="14" w:after="14"/>
        <w:ind w:left="360"/>
      </w:pPr>
      <w:r>
        <w:rPr>
          <w:rFonts w:ascii="Courier New" w:eastAsia="Courier New" w:hAnsi="Courier New" w:cs="Courier New"/>
          <w:color w:val="1B2A4A"/>
          <w:sz w:val="16"/>
          <w:szCs w:val="16"/>
        </w:rPr>
        <w:t>If it does not exist, stop and tell me.</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2: For each entry, determine output path: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3: Replace ALL tokens using the same logic as previous batches.</w:t>
      </w:r>
    </w:p>
    <w:p w:rsidR="00BF3CE7" w:rsidRDefault="00000000">
      <w:pPr>
        <w:shd w:val="clear" w:color="auto" w:fill="F0F0F0"/>
        <w:spacing w:before="14" w:after="14"/>
        <w:ind w:left="360"/>
      </w:pPr>
      <w:r>
        <w:rPr>
          <w:rFonts w:ascii="Courier New" w:eastAsia="Courier New" w:hAnsi="Courier New" w:cs="Courier New"/>
          <w:color w:val="1B2A4A"/>
          <w:sz w:val="16"/>
          <w:szCs w:val="16"/>
        </w:rPr>
        <w:t>All stat fields (stat1n, stat1l, stat1b etc) are on each page object.</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After all replacements scan for remaining {{ }} tokens.</w:t>
      </w:r>
    </w:p>
    <w:p w:rsidR="00BF3CE7" w:rsidRDefault="00000000">
      <w:pPr>
        <w:shd w:val="clear" w:color="auto" w:fill="F0F0F0"/>
        <w:spacing w:before="14" w:after="14"/>
        <w:ind w:left="360"/>
      </w:pPr>
      <w:r>
        <w:rPr>
          <w:rFonts w:ascii="Courier New" w:eastAsia="Courier New" w:hAnsi="Courier New" w:cs="Courier New"/>
          <w:color w:val="1B2A4A"/>
          <w:sz w:val="16"/>
          <w:szCs w:val="16"/>
        </w:rPr>
        <w:t>Replace with empty string and log warnings.</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4: Write each file. Log: "Created: [path]"</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5: Add all new URLs to sitemap.xml.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 priority 0.8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 priority 0.7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 not remove existing URLs.</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6: Update industries dropdown navigation.</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7: Output summary: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Total pages created (should be 60)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List of all paths grouped by batch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Token warnings count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Sitemap confirmation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Navigation confirmation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Any failures</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DO NOT rebuild existing pages.</w:t>
      </w:r>
    </w:p>
    <w:p w:rsidR="00BF3CE7" w:rsidRDefault="00000000">
      <w:pPr>
        <w:shd w:val="clear" w:color="auto" w:fill="F0F0F0"/>
        <w:spacing w:before="14" w:after="14"/>
        <w:ind w:left="360"/>
      </w:pPr>
      <w:r>
        <w:rPr>
          <w:rFonts w:ascii="Courier New" w:eastAsia="Courier New" w:hAnsi="Courier New" w:cs="Courier New"/>
          <w:color w:val="1B2A4A"/>
          <w:sz w:val="16"/>
          <w:szCs w:val="16"/>
        </w:rPr>
        <w:t>DO NOT write generation scripts.</w:t>
      </w:r>
    </w:p>
    <w:p w:rsidR="00BF3CE7" w:rsidRDefault="00000000">
      <w:pPr>
        <w:shd w:val="clear" w:color="auto" w:fill="F0F0F0"/>
        <w:spacing w:before="14" w:after="14"/>
        <w:ind w:left="360"/>
      </w:pPr>
      <w:r>
        <w:rPr>
          <w:rFonts w:ascii="Courier New" w:eastAsia="Courier New" w:hAnsi="Courier New" w:cs="Courier New"/>
          <w:color w:val="1B2A4A"/>
          <w:sz w:val="16"/>
          <w:szCs w:val="16"/>
        </w:rPr>
        <w:t>Read JSON. Write files directly.</w:t>
      </w:r>
    </w:p>
    <w:p w:rsidR="00BF3CE7" w:rsidRDefault="00BF3CE7">
      <w:pPr>
        <w:shd w:val="clear" w:color="auto" w:fill="F0F0F0"/>
        <w:spacing w:before="14" w:after="14"/>
        <w:ind w:left="360"/>
      </w:pPr>
    </w:p>
    <w:p w:rsidR="00BF3CE7" w:rsidRDefault="00BF3CE7">
      <w:pPr>
        <w:pBdr>
          <w:bottom w:val="single" w:sz="8" w:space="1" w:color="1B2A4A"/>
        </w:pBdr>
        <w:spacing w:before="200" w:after="200"/>
      </w:pPr>
    </w:p>
    <w:p w:rsidR="00BF3CE7" w:rsidRDefault="00000000">
      <w:pPr>
        <w:pStyle w:val="Heading1"/>
      </w:pPr>
      <w:r>
        <w:t>JSON appendix — copy into data/industry-pages-batch678.json</w:t>
      </w:r>
    </w:p>
    <w:p w:rsidR="00BF3CE7" w:rsidRDefault="00000000">
      <w:pPr>
        <w:spacing w:before="60" w:after="60"/>
      </w:pPr>
      <w:r>
        <w:rPr>
          <w:i/>
          <w:iCs/>
          <w:color w:val="666666"/>
          <w:sz w:val="18"/>
          <w:szCs w:val="18"/>
        </w:rPr>
        <w:t>Copy the complete JSON array and save as data/industry-pages-batch678.json</w:t>
      </w:r>
    </w:p>
    <w:p w:rsidR="00BF3CE7" w:rsidRDefault="00BF3CE7">
      <w:pPr>
        <w:spacing w:before="80" w:after="40"/>
      </w:pPr>
    </w:p>
    <w:p w:rsidR="00BF3CE7" w:rsidRDefault="00000000">
      <w:pPr>
        <w:shd w:val="clear" w:color="auto" w:fill="F0F0F0"/>
        <w:spacing w:before="14" w:after="14"/>
        <w:ind w:left="360"/>
      </w:pPr>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hrtech</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"HR Technology &amp; Workforce Platform Consulting |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HR technology companies, HRMS providers, and workforce management platforms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"HR technology and workforce platform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hire to retire — strategy for HR technology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"HR technology is transforming people management across every industry — with HRMS platforms, payroll automation, talent acquisition systems, performance management tools, and workforce analytics all creating significant market opportunities. HR technology companies are expanding into Southeast Asia, South Asia, and the Gulf as growing enterprise markets, workforce management regulation, and the shift to hybrid work drive technology adoption. GreyRadius helps HR technology businesses validate HR buyer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"Gulf nationalisation programmes — </w:t>
      </w:r>
      <w:proofErr w:type="spellStart"/>
      <w:r>
        <w:rPr>
          <w:rFonts w:ascii="Courier New" w:eastAsia="Courier New" w:hAnsi="Courier New" w:cs="Courier New"/>
          <w:color w:val="1B2A4A"/>
          <w:sz w:val="16"/>
          <w:szCs w:val="16"/>
        </w:rPr>
        <w:t>Saudisation</w:t>
      </w:r>
      <w:proofErr w:type="spellEnd"/>
      <w:r>
        <w:rPr>
          <w:rFonts w:ascii="Courier New" w:eastAsia="Courier New" w:hAnsi="Courier New" w:cs="Courier New"/>
          <w:color w:val="1B2A4A"/>
          <w:sz w:val="16"/>
          <w:szCs w:val="16"/>
        </w:rPr>
        <w:t xml:space="preserve"> and Emiratisation — are creating specific HR technology procurement demand for workforce management, compliance tracking, and local talent development platforms. India's large enterprise market and Southeast Asia's growing corporate sector are both investing heavily in HR digitalisation. The HR technology companies establishing enterprise relationships in these markets in 2024–2027 will hold multi-year contract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HR technology market is projected to reach $90B by 2028 — growing at 12% annually as enterprises invest in workforce management, talent acquisition, and employee experience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"Payroll automation is the largest and most mature HR technology segment in emerging markets — every enterprise needs payroll and the shift from manual to automated payroll is the entry point for broader HR platform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"Employee experience platforms are growing at 20%+ annually — HR leaders are investing in engagement, wellbeing, and culture tools as talent retention becomes a strategic priority in competitive labour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"AI-powered talent acquisition is achieving rapid enterprise adoption — resume screening, candidate matching, and interview scheduling automation are delivering measurable recruiter productivity improvements."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"HR technology procurement is conservative — HR directors require extensive reference customer validation, security assessment, and payroll accuracy guarantees before switching from incumbent providers.",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"Payroll compliance complexity varies significantly across markets — labour law, social security contributions, tax withholding, and leave entitlement rules differ dramatically and require market-specific product localisation.",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with existing ERP and finance systems is required — HR platforms must integrate with SAP, Oracle, and local ERP systems that vary by enterprise, increasing implementation cost.",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privacy regulation for employee data is intensifying — PDPA in Southeast Asia, DPDP in India, and Gulf data regulations all impose specific requirements on HR data handling."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HR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which enterprise segments are actively procuring HR technology and what their payroll compliance, integration, and workforce analytics requirements 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"Payroll compliance and localisation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payroll tax rules, social security requirements, leave entitlement, and labour law compliance requirements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HR technology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HRMS, payroll, or talent platform and need a go-to-market strategy covering enterprise HR buyer and payroll bureau channel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HR 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enterprise demand data and HR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"Gulf nationalisation compliance </w:t>
      </w:r>
      <w:proofErr w:type="spellStart"/>
      <w:r>
        <w:rPr>
          <w:rFonts w:ascii="Courier New" w:eastAsia="Courier New" w:hAnsi="Courier New" w:cs="Courier New"/>
          <w:color w:val="1B2A4A"/>
          <w:sz w:val="16"/>
          <w:szCs w:val="16"/>
        </w:rPr>
        <w:t>opportunity|You</w:t>
      </w:r>
      <w:proofErr w:type="spellEnd"/>
      <w:r>
        <w:rPr>
          <w:rFonts w:ascii="Courier New" w:eastAsia="Courier New" w:hAnsi="Courier New" w:cs="Courier New"/>
          <w:color w:val="1B2A4A"/>
          <w:sz w:val="16"/>
          <w:szCs w:val="16"/>
        </w:rPr>
        <w:t xml:space="preserve"> need to identify HR technology demand tied to </w:t>
      </w:r>
      <w:proofErr w:type="spellStart"/>
      <w:r>
        <w:rPr>
          <w:rFonts w:ascii="Courier New" w:eastAsia="Courier New" w:hAnsi="Courier New" w:cs="Courier New"/>
          <w:color w:val="1B2A4A"/>
          <w:sz w:val="16"/>
          <w:szCs w:val="16"/>
        </w:rPr>
        <w:t>Saudisation</w:t>
      </w:r>
      <w:proofErr w:type="spellEnd"/>
      <w:r>
        <w:rPr>
          <w:rFonts w:ascii="Courier New" w:eastAsia="Courier New" w:hAnsi="Courier New" w:cs="Courier New"/>
          <w:color w:val="1B2A4A"/>
          <w:sz w:val="16"/>
          <w:szCs w:val="16"/>
        </w:rPr>
        <w:t xml:space="preserve"> and Emiratisation workforce compliance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HR technology companies are positioned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enterprise HR buyer demand in a new market. Covers HR director and CHRO interviews, payroll compliance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HR technology investments. Covers enterprise adoption modelling, payroll compliance cost, revenue per seat,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HR technology companies. Regulatory compliance pathway, enterprise buyer ICP, payroll bureau channel development, and first-enterprise-contract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HR platforms. Enterprise outreach, payroll bureau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HR tech ventures. Enterprise-demand-validated market sizing, compliance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HR technology — from AI-powered talent matching and performance prediction to automated payroll processing and workforce analytics."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HRMS companies or also with payroll, talent acquisition, and employee experience platforms?|All segments. We work across HRMS, payroll, talent acquisition, performance management, and employee experience technology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HR technology markets does GreyRadius cover?|Gulf, Southeast Asia, and South Asia — markets with growing enterprise sectors and active HR digitalisation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HR technology market entry engagement take?|Typically 6–10 weeks for enterprise buyer research, payroll compliance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payroll bureau distribution partners for HR technology companies?|Yes. Payroll bureau and HR consulting firm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"HR tech market entry, HRMS GTM strategy, payroll platform consulting, workforce management advisory, HR technology market entry, human resources tech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"$90B+",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HR technology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enterprises invest in workforce management, talent acquisition, and employee experience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HR tech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"HR directors, CHROs, and payroll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payroll compliance mapping and enterprise buyer research delivers HR technology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"aerospace-</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"Aerospace &amp; Defense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aerospace companies,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technology businesses, and aviation suppliers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specification to supply chain contract — strategy for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is one of the most regulated and relationship-driven market entry environments — with long procurement cycles, stringent certification requirements, and significant government involvement in purchasing decisions. Aerospace component manufacturers,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technology companies, MRO service providers, and aviation technology businesses are all evaluating new market entry opportunities as Gulf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investment, South Asian aerospace expansion, and Southeast Asian aviation growth create commercial opportunities. GreyRadius helps A&amp;D businesses validate government and OEM demand, navigate certification pathways,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"Gulf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procurement spending exceeded $100B collectively in 2023 — with Saudi Arabia, UAE, and Qatar all investing in domestic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industry development under Vision 2030 and similar programmes. India's Defense Production Policy is creating significant offset and domestic manufacturing opportunities for international aerospace companies. These windows require immediate relationship development — procurement relationships take years to build.",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market is projected to reach $1.2T by 2028 — with Gulf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spending, Indian aerospace manufacturing, and Southeast Asian commercial aviation driving the fastest growth.",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"Defense technology localisation is intensifying — Gulf states are requiring increasing domestic content and technology transfer in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procurement, creating joint venture and technology licensing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"Commercial aviation recovery is driving MRO demand — Southeast Asian aircraft fleet growth and aging aircraft across Asia Pacific are creating significant MRO, parts, and aviation services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"Dual-use technology is creating new market opportunities — technologies developed for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applications in sensors, AI, and advanced materials are finding commercial aerospace and industrial applications."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"Security clearance and classified programme requirements restrict market access — working on classified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programmes requires security clearances and government approvals that take years to obtain.",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"Defense procurement cycles are extremely long — from initial market engagement to contract award typically takes 3–7 years, requiring sustained relationship investment before revenue.",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"Offset and localisation requirements are complex — many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procurement contracts require technology transfer, local manufacturing content, or offset obligations that add commercial complexity.",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"Export control regulations restrict technology transfer — ITAR, EAR, and national export control regulations restrict which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technologies can be transferred to which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OEM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which government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programmes and commercial aerospace OEMs are actively seeking suppliers in your capability area.",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"Certification and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AS9100, NADCAP, and market-specific aerospace certification requirements that are prerequisites for OEM qualification.",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"Offset and localisation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offset requirements and domestic content rules in your target market and how to structure compliant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aerospace component,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technology, or MRO service and need a go-to-market strategy covering OEM and government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A&amp;D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government programme data and aerospace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"Joint venture and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local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and aerospace partners for joint venture or teaming agreements required for market access."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OEM demand for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products in a new market. Covers procurement officer and program manager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A&amp;D investments. Covers programme demand modelling, certification cost, offset obligation,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companies. Certification pathway, government programme identification, OEM qualification strategy, and first-contract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A&amp;D technology companies. Government and OEM outreach, joint venture partner pipeline, and first-contract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A&amp;D ventures. Government-programme-validated market sizing, certification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 from predictive maintenance and supply chain optimisation to autonomous systems and AI-powered surveillance."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aerospace manufacturers or also with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technology and MRO companies?|All three. We work with manufacturers on market entry and OEM qualification,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technology companies on market entry and GTM, and MRO providers on market entry and customer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markets does GreyRadius cover?|Gulf, South Asia, and Southeast Asia — markets with significant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spending and growing aerospace manufacturing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market entry engagement take?|Typically 10–14 weeks given the complexity of government programme mapping and certification pathway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joint venture partners for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companies?|Yes. Local partner identification and initial teaming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"aerospace market entry,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GTM strategy, aviation consulting, aerospace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advisory,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market entry, A&amp;D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"$1.2T+",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aerospace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"Gulf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spending, Indian aerospace manufacturing, and Southeast Asian commercial aviation driving the fastest growth.",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A&amp;D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procurement officials, OEM program managers, and </w:t>
      </w:r>
      <w:proofErr w:type="spellStart"/>
      <w:r>
        <w:rPr>
          <w:rFonts w:ascii="Courier New" w:eastAsia="Courier New" w:hAnsi="Courier New" w:cs="Courier New"/>
          <w:color w:val="1B2A4A"/>
          <w:sz w:val="16"/>
          <w:szCs w:val="16"/>
        </w:rPr>
        <w:t>defense</w:t>
      </w:r>
      <w:proofErr w:type="spellEnd"/>
      <w:r>
        <w:rPr>
          <w:rFonts w:ascii="Courier New" w:eastAsia="Courier New" w:hAnsi="Courier New" w:cs="Courier New"/>
          <w:color w:val="1B2A4A"/>
          <w:sz w:val="16"/>
          <w:szCs w:val="16"/>
        </w:rPr>
        <w:t xml:space="preserve"> industry leaders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government programme mapping and OEM qualification research delivers A&amp;D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"higher-education",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"Higher Education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higher education institutions, university technology platforms, and EdTech companies serving universities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"Higher education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campus concept to enrolled cohort — strategy for higher education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"Higher education is undergoing significant transformation — with international university branch campuses, online degree platforms, micro-credential providers, and university technology companies all evaluating new market entry opportunities as demand for quality higher education grows across Southeast Asia, South Asia, the Gulf, and Africa. GreyRadius helps higher education businesses validate student demand, navigate accreditation requirements, execute enrolment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Gulf's higher education investment is extraordinary — Saudi Arabia's NEOM University, UAE's network of international branch campuses, and Qatar Education City collectively represent the world's most concentrated higher education infrastructure investment. Southeast Asia's growing middle class is creating first-generation university student populations seeking quality education. The institutions and platforms establishing positions in these markets in 2024–2027 will capture decades of student enrolment.",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higher education market exceeds $2T annually — with international student mobility, online degree adoption, and branch campus development all growing at 8%+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"Online and hybrid degree programmes are achieving mainstream acceptance — employer recognition of online degrees has improved significantly, driving student enrolment in online programmes at accredited institutions.",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"Micro-credentials and professional certification programmes are growing at 20%+ annually — employers and employees are both investing in shorter, more targeted learning credentials that deliver immediate career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"Gulf branch campus expansion is accelerating — international universities are establishing branch campuses in the Gulf at record rates, driven by government investment incentives and student demand for internationally recognised degrees."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"Accreditation in new geographies is complex and slow — international universities seeking to award degrees in new markets must obtain local ministry of education recognition that can take 3–5 years.",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"Student recruitment for international programmes requires market-specific agent networks and digital marketing expertise that most universities lack in new geographies.",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local universities and online platforms is intensifying — established universities and global online platforms have significant brand and infrastructure advantages over new entrants.",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restrictions on foreign degree programmes vary — some markets restrict the percentage of international faculty, require local curriculum components, or limit programme types."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"Student demand and programme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student interest and willingness to pay for your higher education programme or university offering in a new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"Accreditation and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ministry of education recognition requirements, accreditation processes, and degree programme approval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"Student recruitment and enrolment </w:t>
      </w:r>
      <w:proofErr w:type="spellStart"/>
      <w:r>
        <w:rPr>
          <w:rFonts w:ascii="Courier New" w:eastAsia="Courier New" w:hAnsi="Courier New" w:cs="Courier New"/>
          <w:color w:val="1B2A4A"/>
          <w:sz w:val="16"/>
          <w:szCs w:val="16"/>
        </w:rPr>
        <w:t>GTM|You</w:t>
      </w:r>
      <w:proofErr w:type="spellEnd"/>
      <w:r>
        <w:rPr>
          <w:rFonts w:ascii="Courier New" w:eastAsia="Courier New" w:hAnsi="Courier New" w:cs="Courier New"/>
          <w:color w:val="1B2A4A"/>
          <w:sz w:val="16"/>
          <w:szCs w:val="16"/>
        </w:rPr>
        <w:t xml:space="preserve"> need a structured student recruitment plan covering agent network, digital marketing, and first-cohort enrolment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higher education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branch campus, online platform, or education company and need a pitch book grounded in student demand data.",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"Corporate and employer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corporate employer partners who will sponsor employees into your higher education programmes.",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universities and online platforms are positioned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student demand for higher education programmes in a new market. Covers student surveys, employer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branch campus and online platform investments. Covers student demand modelling, programme economics, regulatory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"End-to-end market entry for higher education institutions. Regulatory accreditation pathway, student recruitment strategy, employer partnership development, and first-cohort-enrolment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higher education platforms. Student acquisition execution, agent network development, and first-enrolment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higher education ventures. Student-demand-validated market sizing, programme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higher education — from personalised learning path recommendation and student retention prediction to automated admissions and AI-powered academic support."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universities opening branch campuses or also with online degree platforms and micro-credential companies?|All three. We work with universities on branch campus feasibility and market entry, online platforms on GTM and market entry, and micro-credential companies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higher education markets does GreyRadius cover?|Gulf, Southeast Asia, South Asia, and Africa — markets with growing middle-class demand for quality higher education.",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higher education market entry engagement take?|Typically 8–12 weeks given the complexity of accreditation mapping and student demand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employer and corporate partners for higher education companies?|Yes. Employer partnership identification and initial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"higher education market entry, university GTM strategy, EdTech HE consulting, campus advisory, higher education market strategy, university technology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higher education market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"International student mobility, online degree adoption, and branch campus development all growing at 8%+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higher education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"Students, employers, ministry officials, and university administrators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accreditation mapping and student demand research delivers higher education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"medical-tourism",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"Medical Tourism Market Entry &amp; GTM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medical tourism operators, wellness tourism companies, and international patient programmes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"Medical tourism market entry and GTM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referral to first patient — strategy for medical tourism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"Medical tourism — patients travelling internationally for healthcare — is a $100B+ global market that is growing as quality gaps between healthcare systems and cost differences between markets make international healthcare travel economically rational for patients. Medical tourism destination operators, hospital international patient programmes, medical facilitator companies, and health tourism technology platforms are all evaluating new market entry opportunities. GreyRadius helps medical tourism businesses validate patient and referral demand, build international patient pipelines,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medical tourism investment is accelerating — Saudi Arabia's Vision 2030 includes a specific medical tourism target, UAE's Cleveland Clinic Abu Dhabi and similar institutions are attracting international patients, and Thailand, India, and Malaysia all have established medical tourism programmes that are scaling. Telehealth is enabling pre-travel consultation that is extending the medical tourism funnel.",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medical tourism market is projected to reach $250B by 2028 — growing at 10% annually as quality and cost gaps between healthcare systems drive patient mobility.",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"Oncology, cardiology, and orthopaedics are the largest medical tourism procedure categories — complex, expensive treatments where quality variation between markets is high and cost differential is significant.",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"Wellness tourism is growing at 15%+ annually — preventive health, spa, and wellness retreat tourism is expanding as consumers invest in proactive health management through travel.",</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"Digital health is extending the medical tourism funnel — pre-travel teleconsultation, remote monitoring, and digital follow-up care are all making international healthcare more accessible and trustworthy."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patient trust is the primary barrier — patients considering international healthcare require extensive evidence of clinical quality, accreditation, and outcome data before making treatment decisions.",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and payment complexity for international patients is significant — arranging insurance coverage, payment, and medical record transfer across borders creates administrative friction that deters patients.",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for medical tourism vary — operating as a medical facilitator, coordinating cross-border care, and marketing healthcare services internationally all have market-specific regulatory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medical tourism destinations is intense — Thailand, India, Malaysia, and Turkey have decades of medical tourism infrastructure and reputation that new entrants must overcome."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patient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the size and source of international patient demand for your medical speciality and destination, including referring physician networks and insurance payer appetite.",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"Accreditation and quality certification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JCI accreditation, ISO certification, and other quality credentials that are prerequisites for international patient confidence.",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referral and facilitator network </w:t>
      </w:r>
      <w:proofErr w:type="spellStart"/>
      <w:r>
        <w:rPr>
          <w:rFonts w:ascii="Courier New" w:eastAsia="Courier New" w:hAnsi="Courier New" w:cs="Courier New"/>
          <w:color w:val="1B2A4A"/>
          <w:sz w:val="16"/>
          <w:szCs w:val="16"/>
        </w:rPr>
        <w:t>development|You</w:t>
      </w:r>
      <w:proofErr w:type="spellEnd"/>
      <w:r>
        <w:rPr>
          <w:rFonts w:ascii="Courier New" w:eastAsia="Courier New" w:hAnsi="Courier New" w:cs="Courier New"/>
          <w:color w:val="1B2A4A"/>
          <w:sz w:val="16"/>
          <w:szCs w:val="16"/>
        </w:rPr>
        <w:t xml:space="preserve"> need to identify and engage medical facilitator companies, insurance companies, and referring physician networks in source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medical tourism operator or </w:t>
      </w:r>
      <w:proofErr w:type="spellStart"/>
      <w:r>
        <w:rPr>
          <w:rFonts w:ascii="Courier New" w:eastAsia="Courier New" w:hAnsi="Courier New" w:cs="Courier New"/>
          <w:color w:val="1B2A4A"/>
          <w:sz w:val="16"/>
          <w:szCs w:val="16"/>
        </w:rPr>
        <w:t>hospital|You</w:t>
      </w:r>
      <w:proofErr w:type="spellEnd"/>
      <w:r>
        <w:rPr>
          <w:rFonts w:ascii="Courier New" w:eastAsia="Courier New" w:hAnsi="Courier New" w:cs="Courier New"/>
          <w:color w:val="1B2A4A"/>
          <w:sz w:val="16"/>
          <w:szCs w:val="16"/>
        </w:rPr>
        <w:t xml:space="preserve"> have a medical tourism programme or international patient department and need a GTM strategy covering source market outreach and patient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medical tourism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international patient demand data and procedure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"Digital health integration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telehealth and digital care continuity strategy that extends your medical tourism offering beyond the in-destination episode."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international patient demand for medical tourism in a new source or destination market. Covers patient surveys, referring physician interviews, insurance payer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medical tourism investments. Covers patient volume modelling, procedure economics, marketing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medical tourism operators. Accreditation pathway, referral network development, insurance payer engagement, and first-international-patient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hospital international patient programmes. Facilitator and referral outreach, source market pipeline, and first-patient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medical tourism ventures. Patient-demand-validated market sizing, procedure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medical tourism — from personalised treatment matching and patient journey management to outcome prediction and automated care coordination."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hospitals developing international patient programmes or also with medical facilitator companies and wellness tourism operators?|All three. We work with hospitals on international patient strategy, facilitator companies on market entry and GTM, and wellness tourism operators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medical tourism markets does GreyRadius cover?|Gulf, Southeast Asia, and South Asia — both as source markets for patients and as destination markets for medical tourism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medical tourism market entry engagement take?|Typically 8–12 weeks for international patient demand research, accreditation mapping, and referral network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medical facilitator and referring physician partners for medical tourism companies?|Yes. Facilitator and referral network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"medical tourism market entry, health tourism GTM strategy, international patient consulting, wellness tourism advisory, medical travel market entry, health tourism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"$250B+",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medical tourism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10% annually as quality and cost gaps between healthcare systems drive patient mobility internationally.",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"stat2l": "Primary interviews per medical tourism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"International patients, referring physicians, and medical facilitators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referral network mapping and international patient demand research delivers medical tourism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"oil-gas",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"Oil &amp; Gas Consulting | Market Entry, GTM &amp; Feasibility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oil and gas technology companies, energy service businesses, and oilfield services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"Oil and gas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upstream technology to NOC contract — strategy for oil and gas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"The oil and gas sector remains one of the world's largest industries — and despite the energy transition, investment in exploration, production, and refining continues at significant scale across the Gulf, Southeast Asia, and Africa. Oil and gas technology companies, oilfield services providers, energy software businesses, and upstream equipment suppliers are all evaluating new market entry opportunities as national oil companies invest in efficiency, digitalisation, and emissions reduction. GreyRadius helps oil and gas businesses validate NOC and IOC demand, navigate complex procurement processes,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"Gulf NOC procurement is at an all-time high — Saudi Aramco, ADNOC, and </w:t>
      </w:r>
      <w:proofErr w:type="spellStart"/>
      <w:r>
        <w:rPr>
          <w:rFonts w:ascii="Courier New" w:eastAsia="Courier New" w:hAnsi="Courier New" w:cs="Courier New"/>
          <w:color w:val="1B2A4A"/>
          <w:sz w:val="16"/>
          <w:szCs w:val="16"/>
        </w:rPr>
        <w:t>QatarEnergy</w:t>
      </w:r>
      <w:proofErr w:type="spellEnd"/>
      <w:r>
        <w:rPr>
          <w:rFonts w:ascii="Courier New" w:eastAsia="Courier New" w:hAnsi="Courier New" w:cs="Courier New"/>
          <w:color w:val="1B2A4A"/>
          <w:sz w:val="16"/>
          <w:szCs w:val="16"/>
        </w:rPr>
        <w:t xml:space="preserve"> are all executing major capital programmes. In-kingdom and in-country value requirements are creating opportunities for companies willing to establish local operations. The energy transition is not reducing Gulf investment — it is redirecting it toward lower-carbon oil and gas production and massive clean energy programmes that are running simultaneously.",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oilfield services market is projected to reach $500B by 2028 — with the Gulf, West Africa, and Southeast Asia driving the largest new project investment as NOCs prioritise production maintenance and expansion.",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"Digital oilfield technology is growing at 15%+ annually — AI-powered reservoir management, predictive maintenance for upstream equipment, and real-time production optimisation are all seeing significant NOC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"Decarbonisation of upstream operations is creating new technology demand — methane detection, flaring reduction, carbon capture at production sites, and electrification of oilfield operations are all active procurement categories.",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"In-country value requirements are intensifying — Gulf NOCs are requiring that increasing percentages of project value be delivered by locally incorporated or locally partnered companies."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"NOC procurement is complex and relationship-driven — national oil company procurement involves multiple technical review stages, compliance requirements, and relationship development that takes years.",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"In-country value and localisation requirements vary — ICV requirements differ across Saudi Arabia, UAE, Kuwait, and Qatar, requiring market-specific localisation strategies.",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"Technology export controls restrict equipment and software transfer — dual-use oil and gas technology faces export control regulations that require compliance review before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"Long payment cycles are common in NOC contracts — invoice payment timelines of 90–180 days create working capital requirements that new market entrants must plan for."</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"NOC and IOC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NOC procurement programmes are actively seeking your technology or service category and what technical standards and ICV requirements apply.",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"ICV and localisation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in-country value requirements, local partnership options, and localisation investment needed to qualify for NOC procurement.",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oil and gas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upstream technology, oilfield service, or energy software product and need a go-to-market strategy covering NOC and IOC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oil and gas technology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NOC procurement data and oilfield services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and JV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local oil and gas service companies as joint venture or ICV partners in Gulf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oilfield technology companies are positioned and winning NOC contracts."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NOC and IOC demand for oil and gas technology in a new market. Covers procurement officer and technical team interviews, ICV requirement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oil and gas investments. Covers NOC procurement volume modelling, ICV compliance cost, working capital requirements,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oil and gas technology companies. ICV compliance pathway, local partner identification, NOC buyer ICP, and first-NOC-contract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oilfield technology companies. NOC outreach, local partner pipeline, and first-contract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oil and gas ventures. NOC-demand-validated market sizing, ICV strategy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oil and gas — from reservoir management AI and predictive maintenance to methane detection automation and carbon intensity monitoring."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oilfield services companies or also with oil and gas software and upstream equipment suppliers?|All three. We work with oilfield services on market entry and ICV strategy, oil and gas software on GTM and market entry, and equipment suppliers on market entry and NOC qualification.",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oil and gas markets does GreyRadius cover?|Gulf, Southeast Asia, and Africa — markets with the largest NOC capital programmes and most significant oilfield services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oil and gas market entry engagement take?|Typically 8–12 weeks given the complexity of NOC procurement mapping and ICV requirement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local ICV partners for oil and gas companies entering Gulf markets?|Yes. Local partner identification and initial JV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"oil gas market entry, oilfield services GTM strategy, upstream consulting, energy services advisory, oil gas technology market entry, oilfield technology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"$500B+",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oilfield services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"Gulf, West Africa, and Southeast Asia driving largest new project investment as NOCs prioritise production maintenance and expansion.",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oil and gas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"NOC procurement officials, IOC technical managers, and oilfield services leaders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NOC procurement mapping and ICV requirement research delivers oil and gas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"data-analytics",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"Data &amp; Analytics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data analytics companies, BI platform providers, and data infrastructure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"Data and analytics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data pipeline to enterprise insight — strategy for data and analytics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"Data and analytics has become mission-critical for enterprises across every industry — with business intelligence platforms, data warehouse solutions, analytics-as-a-service companies, and AI-powered data tools all creating significant market opportunities. Data and analytics companies are expanding into Southeast Asia, South Asia, and the Gulf as digitising enterprises generate more data than ever and seek tools to derive insight and competitive advantage from it. GreyRadius helps data and analytics businesses validate enterprise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"Enterprise data infrastructure investment is at a multi-decade high across Southeast Asia, South Asia, and the Gulf — driven by digital transformation programmes, cloud migration, and AI ambitions that all require strong data foundations. The data and analytics companies that establish enterprise data infrastructure relationships in these markets in 2024–2027 will hold long-term advisory and technology positions.",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data and analytics market is projected to reach $650B by 2028 — growing at 13% annually as enterprise data volumes grow exponentially and AI capability demands higher quality data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"Cloud data warehouse adoption is accelerating — Snowflake, Databricks, and Google </w:t>
      </w:r>
      <w:proofErr w:type="spellStart"/>
      <w:r>
        <w:rPr>
          <w:rFonts w:ascii="Courier New" w:eastAsia="Courier New" w:hAnsi="Courier New" w:cs="Courier New"/>
          <w:color w:val="1B2A4A"/>
          <w:sz w:val="16"/>
          <w:szCs w:val="16"/>
        </w:rPr>
        <w:t>BigQuery</w:t>
      </w:r>
      <w:proofErr w:type="spellEnd"/>
      <w:r>
        <w:rPr>
          <w:rFonts w:ascii="Courier New" w:eastAsia="Courier New" w:hAnsi="Courier New" w:cs="Courier New"/>
          <w:color w:val="1B2A4A"/>
          <w:sz w:val="16"/>
          <w:szCs w:val="16"/>
        </w:rPr>
        <w:t xml:space="preserve"> are achieving rapid enterprise adoption as companies move from on-premise data infrastructure to cloud-native analytics.",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"Real-time analytics is growing at 25%+ annually — enterprises across retail, financial services, and manufacturing are investing in streaming data processing to enable real-time decision-making.",</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"Data governance and quality management is becoming a C-suite priority — poor data quality is the leading cause of failed AI initiatives, driving significant investment in data cataloguing, lineage tracking, and quality management tools."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infrastructure complexity is the primary implementation challenge — connecting disparate data sources, managing data quality, and building reliable data pipelines requires significant engineering expertise.",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data procurement is conservative — CIOs and CDOs require extensive proof of concept validation and security assessment before committing to new data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cloud </w:t>
      </w:r>
      <w:proofErr w:type="spellStart"/>
      <w:r>
        <w:rPr>
          <w:rFonts w:ascii="Courier New" w:eastAsia="Courier New" w:hAnsi="Courier New" w:cs="Courier New"/>
          <w:color w:val="1B2A4A"/>
          <w:sz w:val="16"/>
          <w:szCs w:val="16"/>
        </w:rPr>
        <w:t>hyperscalers</w:t>
      </w:r>
      <w:proofErr w:type="spellEnd"/>
      <w:r>
        <w:rPr>
          <w:rFonts w:ascii="Courier New" w:eastAsia="Courier New" w:hAnsi="Courier New" w:cs="Courier New"/>
          <w:color w:val="1B2A4A"/>
          <w:sz w:val="16"/>
          <w:szCs w:val="16"/>
        </w:rPr>
        <w:t xml:space="preserve"> is intense — AWS, Azure, and GCP all offer competing data and analytics services that leverage their existing enterprise relationships.",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localisation requirements affect architecture decisions — data sovereignty regulations requiring local data storage affect cloud data architecture choices and product design."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data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which enterprises are actively investing in data infrastructure and analytics and what their data volume, query performance, and governance requirements 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"Cloud and data architecture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the dominant data architecture patterns and cloud platform preferences among enterprises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data and analytics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BI tool, data warehouse, or analytics platform and need a go-to-market strategy covering enterprise data buyer and systems integrator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data analytics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enterprise demand data and analytics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and consulting partner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data consulting firms, cloud migration companies, and analytics implementation partners as channel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data platforms are positioned and winning enterprise contracts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demand for data and analytics platforms in a new market. Covers CIO and CDO interviews, data architecture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data analytics investments. Covers enterprise adoption modelling, implementation economics, revenue per client,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data companies. Enterprise ICP definition, systems integrator channel development, and first-enterprise-contract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data platforms. Enterprise outreach, consulting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data analytics ventures. Enterprise-demand-validated market sizing, competitive differentiation,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data — from automated data quality monitoring and lineage tracking to AI-powered insight generation and natural language querying."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BI platform companies or also with data warehouse, data pipeline, and data governance companies?|All segments. We work across BI, data warehousing, data pipeline, data quality, and data governance technology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data analytics markets does GreyRadius cover?|Southeast Asia, South Asia, and the Gulf — markets with significant enterprise digitalisation investment and growing data infrastructure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data analytics market entry engagement take?|Typically 6–10 weeks for enterprise buyer research, architecture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consulting partner channels for data analytics companies?|Yes. Data consulting firm and SI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"data analytics market entry, BI platform GTM strategy, data infrastructure consulting, analytics advisory, data platform market entry, business intelligence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"$650B+",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data and analytics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13% annually as enterprise data volumes grow exponentially and AI demands higher quality data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data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"CIOs, CDOs, and data engineering leaders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enterprise data demand mapping and competitive analysis delivers data analytics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"capital-markets",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bfsi</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"Capital Markets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capital markets technology companies, securities trading platforms, and investment banking technology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"Capital markets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trading infrastructure to first institutional client — strategy for capital markets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"Capital markets technology is evolving rapidly — with algorithmic trading platforms, market data analytics tools, securities settlement infrastructure, equity research automation, and alternative data providers all creating significant market opportunities. Capital markets technology companies and financial data businesses are evaluating new market entry opportunities as Southeast Asian, South Asian, and Gulf capital markets deepen and institutional investment activity grows. GreyRadius helps capital markets businesses validate institutional buyer demand, navigate market access and licensing,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capital markets are expanding rapidly — Saudi Arabia's Tadawul is the most valuable stock exchange in the Middle East, Abu Dhabi Securities Exchange is growing, and regional market connectivity is improving. India's capital markets are among the most active in the world with rapidly growing retail and institutional participation. Southeast Asian capital markets are deepening with growing IPO activity and foreign institutional investment. These markets present significant technology procurement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capital markets technology market is projected to reach $70B by 2027 — growing at 9% annually as institutional investment activity grows and markets invest in efficiency, compliance, and analytics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"Alternative data is growing at 30%+ annually — institutional investors are paying premium prices for satellite data, social media sentiment, credit card transaction data, and other non-traditional data sources for alpha generation.",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 microstructure technology is evolving — low-latency trading infrastructure, co-location services, and smart order routing technology are all seeing investment from exchanges and institutional trading firms.",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RegTech</w:t>
      </w:r>
      <w:proofErr w:type="spellEnd"/>
      <w:r>
        <w:rPr>
          <w:rFonts w:ascii="Courier New" w:eastAsia="Courier New" w:hAnsi="Courier New" w:cs="Courier New"/>
          <w:color w:val="1B2A4A"/>
          <w:sz w:val="16"/>
          <w:szCs w:val="16"/>
        </w:rPr>
        <w:t xml:space="preserve"> for capital markets compliance is a significant and growing segment — MiFID II, FATCA, and local market regulations are creating sustained technology investment in trade reporting, surveillance, and compliance automation."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 access licensing for capital markets technology is complex — trading system approvals, market data vendor licences, and regulatory authorisations differ across each exchange and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sales cycles are long and relationship-driven — hedge funds, asset managers, and banks require extensive due diligence and technical integration testing before committing to new capital markets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"Latency requirements for trading technology are extreme — even microsecond performance differences affect the commercial viability of trading infrastructure, creating very high performance bars.",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licensing costs for capital markets products are significant — market data, reference data, and alternative data licensing costs can be prohibitive for new entrants."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institutional investors, trading firms, and banks are actively seeking capital markets technology solutions and what their performance and compliance requirements 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 access and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exchange connectivity requirements, trading system approvals, and regulatory authorisations in your target capital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capital markets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trading platform, market data product, or capital markets analytics tool and need a go-to-market strategy covering institutional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capital markets 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institutional demand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"Alternative data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data producers, aggregators, and institutional data buyers as partners and customers for your alternative data product.",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capital markets technology companies are positioned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institutional demand for capital markets technology in a new market. Covers buy-side and sell-side technology buyer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capital markets technology investments. Covers institutional adoption modelling, licensing cost, integration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capital markets technology companies. Market access pathway, institutional buyer ICP, exchange connectivity strategy, and first-institutional-client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capital markets platforms. Buy-side and sell-side outreach, data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capital markets ventures. Institutional-demand-validated market sizing, technology differentiation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capital markets — from AI-powered alpha generation and risk management to automated compliance monitoring and natural language earnings analysis."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trading technology companies or also with market data, alternative data, and compliance technology companies?|All segments. We work across trading systems, market data, alternative data, and capital markets compliance technology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capital markets does GreyRadius cover?|Gulf, South Asia, and Southeast Asia — markets with growing institutional investment activity and capital markets infrastructure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capital markets market entry engagement take?|Typically 8–12 weeks given the complexity of market access licensing and institutional buyer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institutional buyer contacts for capital markets technology companies?|Yes. Institutional investor and bank technology buyer identification are part of our GTM Execution-as-a-Service."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"capital markets market entry, trading technology GTM strategy, securities consulting, capital markets advisory, trading platform market entry, financial markets technology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"$70B+",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capital markets technology market by 2027",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9% annually as institutional investment activity grows and markets invest in efficiency, compliance, and analytics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capital markets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"Buy-side and sell-side technology buyers, exchange technology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institutional buyer mapping and market access research delivers capital markets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"hydrogen-infrastructure",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"green-hydrogen",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"Hydrogen Infrastructure &amp; Distribution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hydrogen infrastructure companies, H2 distribution businesses, and hydrogen storage technology providers with market entry strategy,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"Hydrogen infrastructure and distribution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pipeline to refuelling station — strategy for hydrogen infrastructure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"Hydrogen infrastructure — the pipelines, storage systems, compression equipment, refuelling stations, and distribution networks required to move hydrogen from production to end use — is the critical enabler of the hydrogen economy. Hydrogen distribution companies, pipeline infrastructure operators, compression technology providers, and hydrogen refuelling station operators are all evaluating new market entry opportunities as government hydrogen programmes create funded demand for infrastructure investment. GreyRadius helps hydrogen infrastructure businesses validate demand, assess project feasibility,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"Green hydrogen production infrastructure is being built ahead of distribution infrastructure in many markets — creating a significant commercial opportunity for companies that can build the transmission, storage, and distribution networks that connect hydrogen production to industrial and mobility end users. Gulf hydrogen export corridors, Indian hydrogen valley infrastructure, and European hydrogen backbone projects are all creating near-term infrastructure development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hydrogen infrastructure investment is projected to exceed $150B by 2030 — with pipelines, refuelling stations, and storage facilities all requiring significant capital as hydrogen supply and demand both scale.",</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"Hydrogen refuelling network development is the critical enabler of fuel cell vehicle adoption — the markets that build refuelling networks fastest will see the fastest fuel cell vehicle penetration.",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"Repurposing natural gas pipelines for hydrogen transport is the most capital-efficient infrastructure pathway — blending hydrogen into existing gas networks and eventually converting pipelines to pure hydrogen delivery reduces infrastructure development cost significantly.",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"Hydrogen storage technology innovation is advancing — compressed gas, liquid hydrogen, and solid-state storage all have different cost and energy density profiles that are suited to different applications and deployment contexts."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"Hydrogen infrastructure capital requirements are very large — pipeline networks, storage facilities, and refuelling station networks require billions in capital with long payback periods.",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"Chicken-and-egg demand problem — hydrogen distribution infrastructure requires confirmed demand to justify investment, but demand requires confirmed infrastructure to materialise.",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"Safety regulations for hydrogen handling and transport are complex — hydrogen's flammability, embrittlement effects on metal pipelines, and high-pressure storage requirements create significant engineering and regulatory challenges.",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hydrogen trade infrastructure requires international agreements — export pipelines, shipping terminal infrastructure, and quality standards all require bilateral or multilateral government agreements."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"Hydrogen infrastructure demand and supply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validate hydrogen production volumes, end-user demand, and the distribution network required to connect them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 for hydrogen </w:t>
      </w:r>
      <w:proofErr w:type="spellStart"/>
      <w:r>
        <w:rPr>
          <w:rFonts w:ascii="Courier New" w:eastAsia="Courier New" w:hAnsi="Courier New" w:cs="Courier New"/>
          <w:color w:val="1B2A4A"/>
          <w:sz w:val="16"/>
          <w:szCs w:val="16"/>
        </w:rPr>
        <w:t>infrastructure|You</w:t>
      </w:r>
      <w:proofErr w:type="spellEnd"/>
      <w:r>
        <w:rPr>
          <w:rFonts w:ascii="Courier New" w:eastAsia="Courier New" w:hAnsi="Courier New" w:cs="Courier New"/>
          <w:color w:val="1B2A4A"/>
          <w:sz w:val="16"/>
          <w:szCs w:val="16"/>
        </w:rPr>
        <w:t xml:space="preserve"> are evaluating a pipeline, storage, or refuelling station investment and need a full feasibility study covering demand, cost, and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grant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identify government hydrogen infrastructure funding programmes, pipeline conversion grants, and refuelling station subsidies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hydrogen infrastructure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compression, storage, or distribution technology and need a go-to-market strategy covering hydrogen project developer and NOC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hydrogen infrastructure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hydrogen supply and demand data and infrastructure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"Partnership and consortium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energy companies, utilities, and government entities as infrastructure consortium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hydrogen supply and demand and infrastructure opportunity in a new market. Covers producer and end-user interviews, government programme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hydrogen infrastructure investments. Covers supply-demand modelling, infrastructure capex, operating cost,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hydrogen infrastructure companies. Government programme engagement, production and demand partner identification, and first-infrastructure-contract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hydrogen infrastructure technology companies. Project developer and energy company outreach, government pipeline, and first-technology-deployment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hydrogen infrastructure ventures. Supply-demand-validated market sizing, project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hydrogen infrastructure — from leak detection and pipeline integrity monitoring to demand forecasting and automated safety management."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hydrogen pipeline companies or also with compression, storage, and refuelling station operators?|All four. We work across pipelines, compression, storage, and refuelling infrastructure on market entry, feasibility,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hydrogen infrastructure markets does GreyRadius cover?|Gulf, Europe, and South Asia — markets with active hydrogen production and government-supported infrastructure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hydrogen infrastructure market entry engagement take?|Typically 8–12 weeks for supply-demand mapping, government programme research, and infrastructure feasibility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hydrogen production partners and end-user demand for infrastructure companies?|Yes. Production and demand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"hydrogen infrastructure market entry, H2 distribution GTM strategy, hydrogen pipeline consulting, hydrogen storage advisory, hydrogen infrastructure strategy, H2 network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Europe,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"$150B+",</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"stat1l": "Global hydrogen infrastructure investment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"Pipelines, refuelling stations, and storage facilities all requiring significant capital as hydrogen supply and demand both scale.",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hydrogen infrastructure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"Hydrogen producers, industrial end-users, and government energy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supply-demand mapping and government programme research delivers hydrogen infrastructure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"nuclear-</w:t>
      </w:r>
      <w:proofErr w:type="spellStart"/>
      <w:r>
        <w:rPr>
          <w:rFonts w:ascii="Courier New" w:eastAsia="Courier New" w:hAnsi="Courier New" w:cs="Courier New"/>
          <w:color w:val="1B2A4A"/>
          <w:sz w:val="16"/>
          <w:szCs w:val="16"/>
        </w:rPr>
        <w:t>smr</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"Small Modular Reactor &amp; Nuclear Energy Consulting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nuclear energy companies, SMR developers, and advanced nuclear technology businesses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"Small modular reactor and nuclear energy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regulatory approval to first power purchase agreement — strategy for nuclear energy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"Small modular reactors represent the most significant nuclear energy innovation in decades — enabling nuclear power generation at smaller scale with factory fabrication, shorter construction timelines, and improved safety features that address the primary objections to nuclear power deployment. SMR developers, advanced nuclear technology companies, nuclear fuel businesses, and nuclear services providers are all evaluating new market entry opportunities as governments worldwide reconsider nuclear energy as a clean baseload power source. GreyRadius helps nuclear energy businesses validate government and utility demand, navigate complex regulatory environments,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"Nuclear energy is experiencing a significant policy renaissance — the EU Taxonomy includes nuclear as a sustainable energy source, the US IRA provides nuclear production tax credits, the Gulf is investing in civil nuclear programmes, and Southeast Asian governments are conducting nuclear feasibility studies. The SMR companies establishing government relationships and regulatory positions in these markets in 2024–2028 will capture decade-long development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nuclear energy market is projected to grow from 413 GW to over 600 GW by 2050 — with SMRs accounting for a significant share of new capacity as they achieve commercial deployment.",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"SMR economics are improving rapidly — factory fabrication, standardised design, and learning curve effects are projected to reduce SMR construction costs to $3,000–5,000 per kW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centre operators are emerging as anchor SMR customers — technology companies with AI infrastructure power demands exceeding 1 GW are exploring SMR power purchase agreements as a 24/7 clean energy solution.",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fuel supply chain security is driving government investment — Western government concerns about uranium enrichment concentration in Russia are driving investment in domestic fuel cycle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regulatory approval is the longest and most complex in the energy sector — SMR design approval, site licensing, and construction permits can take 10–15 years in markets without established nuclear regulatory frameworks.",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"Public acceptance of nuclear energy is not universal — nuclear energy faces significant public opposition in many markets that complicates government policy support and local community approval.",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supply chain is concentrated and capacity-constrained — specialised nuclear-grade components, materials, and services are available from a limited number of qualified suppliers globally.",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project financing is complex — banks are reluctant to provide construction financing for nuclear projects without government guarantees, export credit agency support, or sovereign backing."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nuclear programme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which governments are actively pursuing civil nuclear programmes, at what stage their regulatory frameworks are, and what commercial opportunities exist for private companies.",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nuclear regulatory authority requirements, design certification processes, and site licensing procedures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"Utility and government offtake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government utilities, state power companies, and corporate electricity buyers who are willing to commit to long-term nuclear power purchase agreements.",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"GTM for nuclear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SMR design, nuclear fuel service, or nuclear systems technology and need a go-to-market strategy covering government and utility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nuclear energy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nuclear energy company and need a pitch book grounded in government programme data and energy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"Export credit and development finance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export credit agencies, development finance institutions, and government financing programmes that support nuclear energy project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utility demand for nuclear energy in a new market. Covers energy ministry and utility interviews, regulatory framework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SMR investments. Covers power demand modelling, construction cost assessment, fuel cost, regulatory pathway cost,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nuclear energy companies. Regulatory pathway, government programme identification, utility offtake development, and first-MOU or first-PPA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nuclear technology and services companies. Government and utility outreach, export credit pipeline, and first-technology-deployment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nuclear energy ventures. Government-demand-validated market sizing, technology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nuclear — from reactor performance optimisation and predictive maintenance to fuel management automation and safety system monitoring."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SMR developers or also with nuclear fuel companies and nuclear services providers?|All three. We work with SMR developers on government market entry and fundraising, nuclear fuel companies on market entry and GTM, and nuclear services providers on market entry and customer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nuclear energy markets does GreyRadius cover?|Gulf, Southeast Asia, and emerging markets with active civil nuclear programmes and government energy transition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nuclear energy market entry engagement take?|Typically 10–14 weeks given the complexity of government regulatory mapping and nuclear programme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nuclear programme contacts for nuclear energy companies?|Yes. Government energy ministry and nuclear regulatory authority mapping are part of our market entry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"nuclear energy market entry, SMR GTM strategy, small modular reactor consulting, advanced nuclear advisory, nuclear power market entry, SMR 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Europe",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"600 GW+",</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nuclear capacity target by 2050",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"SMRs accounting for significant share of new capacity as factory fabrication makes nuclear economics increasingly competitive.",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nuclear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"Energy ministry officials, utility procurement managers, and nuclear regulatory specialists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regulatory framework research delivers nuclear energy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"biofuels-</w:t>
      </w:r>
      <w:proofErr w:type="spellStart"/>
      <w:r>
        <w:rPr>
          <w:rFonts w:ascii="Courier New" w:eastAsia="Courier New" w:hAnsi="Courier New" w:cs="Courier New"/>
          <w:color w:val="1B2A4A"/>
          <w:sz w:val="16"/>
          <w:szCs w:val="16"/>
        </w:rPr>
        <w:t>saf</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"Sustainable Aviation Fuel &amp; Biofuels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sustainable aviation fuel producers, biofuel companies, and alternative fuel businesses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"Sustainable aviation fuel and biofuels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feedstock to flight — strategy for SAF and biofuel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"Sustainable aviation fuel and biofuels are transitioning from policy aspiration to commercial imperative — with airline SAF mandates, carbon pricing pressure, and institutional investor ESG requirements all creating significant demand for alternative aviation fuels. SAF producers, biofuel technology companies, feedstock aggregators, and aviation fuel distributors are all evaluating new market entry opportunities as regulatory mandates create guaranteed demand and government subsidies improve project economics. GreyRadius helps SAF and biofuel businesses validate airline and government demand, assess production feasibility,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"EU SAF mandates requiring 2% SAF blending by 2025 rising to 70% by 2050, UK SAF mandate, and US SAF Grand Challenge are all creating defined demand schedules that project developers can plan against. Southeast Asian aviation growth combined with regional feedstock availability — </w:t>
      </w:r>
      <w:r>
        <w:rPr>
          <w:rFonts w:ascii="Courier New" w:eastAsia="Courier New" w:hAnsi="Courier New" w:cs="Courier New"/>
          <w:color w:val="1B2A4A"/>
          <w:sz w:val="16"/>
          <w:szCs w:val="16"/>
        </w:rPr>
        <w:lastRenderedPageBreak/>
        <w:t>palm, agricultural residue, and municipal waste — creates significant SAF production opportunity. The production infrastructure built in 2024–2030 will serve aviation decarbonisation for decades.",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SAF market is projected to reach $15B by 2030 — growing at 60%+ annually as airline mandates, carbon pricing, and corporate travel sustainability commitments all drive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"Power-to-liquid SAF using green hydrogen is growing alongside bio-based SAF — </w:t>
      </w:r>
      <w:proofErr w:type="spellStart"/>
      <w:r>
        <w:rPr>
          <w:rFonts w:ascii="Courier New" w:eastAsia="Courier New" w:hAnsi="Courier New" w:cs="Courier New"/>
          <w:color w:val="1B2A4A"/>
          <w:sz w:val="16"/>
          <w:szCs w:val="16"/>
        </w:rPr>
        <w:t>electrofuels</w:t>
      </w:r>
      <w:proofErr w:type="spellEnd"/>
      <w:r>
        <w:rPr>
          <w:rFonts w:ascii="Courier New" w:eastAsia="Courier New" w:hAnsi="Courier New" w:cs="Courier New"/>
          <w:color w:val="1B2A4A"/>
          <w:sz w:val="16"/>
          <w:szCs w:val="16"/>
        </w:rPr>
        <w:t xml:space="preserve"> produced from green hydrogen and captured CO2 are achieving first commercial deployments and are expected to reach cost competitiveness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"Feedstock availability is the primary production constraint — agricultural residues, municipal solid waste, and used cooking oil are the primary near-term SAF feedstocks, with regional availability significantly affecting production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"Airline long-term SAF offtake agreements are accelerating — major airlines are signing 10–20 year SAF supply agreements to secure supply and demonstrate sustainability commitments to investors and corporate clients."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 production cost premium over conventional jet fuel remains significant — SAF currently costs 3–5x conventional jet fuel, requiring either carbon credit revenue, government subsidy, or airline willingness to pay premium to achieve viable project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"Feedstock supply chain development is complex — aggregating sufficient quantities of biomass feedstock at consistent quality and price for commercial SAF production requires supply chain investment that precedes production revenue.",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 certification and blending approval is required in each market — ASTM D7566 approval and airline technical acceptance are prerequisites for commercial SAF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"Project financing for SAF facilities is challenging — lenders require long-term offtake agreements and feedstock supply contracts that take years to secure before construction financing is available."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 demand and airline offtake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airline willingness to commit to SAF offtake agreements and what volume, price, and certification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"Feedstock supply chain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assess feedstock availability, cost, and supply chain logistics in your target production geography before committing to plant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certification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SAF production pathway approval, ASTM certification requirements, and national blending mandate frameworks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 for SAF </w:t>
      </w:r>
      <w:proofErr w:type="spellStart"/>
      <w:r>
        <w:rPr>
          <w:rFonts w:ascii="Courier New" w:eastAsia="Courier New" w:hAnsi="Courier New" w:cs="Courier New"/>
          <w:color w:val="1B2A4A"/>
          <w:sz w:val="16"/>
          <w:szCs w:val="16"/>
        </w:rPr>
        <w:t>production|You</w:t>
      </w:r>
      <w:proofErr w:type="spellEnd"/>
      <w:r>
        <w:rPr>
          <w:rFonts w:ascii="Courier New" w:eastAsia="Courier New" w:hAnsi="Courier New" w:cs="Courier New"/>
          <w:color w:val="1B2A4A"/>
          <w:sz w:val="16"/>
          <w:szCs w:val="16"/>
        </w:rPr>
        <w:t xml:space="preserve"> are evaluating a SAF production facility and need a full feasibility study covering feedstock, production economics, and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SAF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airline demand data and government subsidy analysis.",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subsidy and incentive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map SAF incentive programmes, production tax credits, and government co-investment opportunities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airline and government demand for SAF in a new market. Covers airline sustainability manager interviews, government mandate analysis, feedstock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SAF production investments. Covers feedstock economics, production cost, carbon credit revenue, government subsidy impact,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SAF and biofuel companies. Government subsidy access, airline offtake development, feedstock partner identification, and first-offtake-agreement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SAF technology and feedstock companies. Airline and SAF producer outreach, government programme pipeline, and first-supply-contract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SAF ventures. Airline-demand-validated market sizing, production economics, government support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SAF — from feedstock quality optimisation and supply chain management to production process control and carbon lifecycle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SAF producers or also with biofuel technology and feedstock companies?|All three. We work with SAF producers on feasibility and fundraising, biofuel technology companies on market entry and GTM, and feedstock aggregators on market entry and customer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SAF and biofuel markets does GreyRadius cover?|Southeast Asia, South Asia, and Europe — markets with feedstock availability, airline demand, and active government SAF mandate frameworks.",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SAF market entry engagement take?|Typically 8–12 weeks for airline demand research, feedstock assessment, and government incentive mapping.",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airline offtake partners for SAF producers?|Yes. Airline sustainability buyer identification and initial offtake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"SAF market entry, sustainable aviation fuel GTM strategy, biofuel consulting, SAF advisory, sustainable fuel market entry, biofuels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Europe,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SAF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60%+ annually as airline mandates, carbon pricing, and corporate travel sustainability commitments all drive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SAF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"Airline sustainability managers, biofuel technology operators, and government energy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airline demand research and feedstock mapping delivers SAF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"smart-home",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"Smart Home &amp; Consumer IoT Market Entry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smart home technology companies, connected device businesses, and consumer IoT platform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"Smart home and consumer IoT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connected device to loyal household — strategy for smart home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"Smart home technology — connected devices, home automation systems, energy management platforms, and AI-powered home assistants — is creating significant market opportunities across Southeast Asia, South Asia, and the Gulf as rising incomes, smartphone penetration, and new housing development create consumer demand for connected home products. Smart home device manufacturers, home automation platform developers, and consumer IoT service providers are all evaluating new market entry opportunities. GreyRadius helps smart home businesses validate consumer demand, navigate certification requirements, execute retail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real estate mega-projects — NEOM, The Line, and smart villa developments across Saudi Arabia and UAE — are being built with smart home infrastructure designed in, creating significant commercial opportunities for smart home technology providers. Southeast Asia's new housing development and India's smart city residential projects are both creating built-in smart home adoption pathways that are significantly lower friction than retrofit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smart home market is projected to reach $580B by 2030 — growing at 15% annually as device costs fall, ecosystem integration improves, and consumer adoption accelerates across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"Energy management is growing as the highest-value smart home application — smart thermostats, solar integration, and home energy management systems are achieving the strongest ROI in consumer adoption across all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"Smart security is the leading smart home adoption driver — smart cameras, video doorbells, and smart locks are the most purchased smart home categories across all income levels globally.",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"Voice assistant integration is standardising the smart home ecosystem — Amazon Alexa, Google Home, and Apple HomeKit compatibility is becoming a requirement for smart home device commercial viability."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electronics certification requirements vary across markets — FCC, CE, BIS, and CITC certification requirements differ and must be obtained before market entry, adding cost and timeline.",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"Smart home ecosystem fragmentation creates consumer adoption barriers — multiple competing platforms and communication protocols create consumer confusion that slows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"After-sales support infrastructure is critical for smart home consumer products — installation support, warranty service, and software update management require local operational capability.",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in mass-market consumer segments limits premiumisation — smart home adoption outside premium consumer segments requires low entry price points that compress margin."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consumer interest, willingness to pay, and feature preferences for smart home products in your target market and income segment.",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certification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device certification requirements, radio frequency licensing, and import regulations for smart home products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"Retail and e-commerce distribution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consumer electronics retailers, e-commerce platforms, and home improvement chains as distribution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smart home </w:t>
      </w:r>
      <w:proofErr w:type="spellStart"/>
      <w:r>
        <w:rPr>
          <w:rFonts w:ascii="Courier New" w:eastAsia="Courier New" w:hAnsi="Courier New" w:cs="Courier New"/>
          <w:color w:val="1B2A4A"/>
          <w:sz w:val="16"/>
          <w:szCs w:val="16"/>
        </w:rPr>
        <w:t>product|You</w:t>
      </w:r>
      <w:proofErr w:type="spellEnd"/>
      <w:r>
        <w:rPr>
          <w:rFonts w:ascii="Courier New" w:eastAsia="Courier New" w:hAnsi="Courier New" w:cs="Courier New"/>
          <w:color w:val="1B2A4A"/>
          <w:sz w:val="16"/>
          <w:szCs w:val="16"/>
        </w:rPr>
        <w:t xml:space="preserve"> have a connected device, home automation platform, or consumer IoT product and need a go-to-market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"Raising capital for a smart home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consumer demand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"Developer and real estate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property developers and smart building integrators who can embed your smart home technology in new residential developments."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smart home products in a new market. Covers consumer surveys, retailer interviews, developer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smart home market launches. Covers consumer demand modelling, certification cost, distribution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smart home companies. Certification pathway, retailer and developer distribution development, and first-distribution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smart home brands. Retailer outreach, developer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smart home ventures. Consumer-demand-validated market sizing, distribution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smart home — from personalised home automation learning and energy optimisation to predictive device maintenance and AI-powered security monitoring."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smart home device manufacturers or also with home automation platform and energy management companies?|All three. We work with device manufacturers on market entry and certification, platform companies on GTM and market entry, and energy management companies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smart home markets does GreyRadius cover?|Gulf, Southeast Asia, and South Asia — markets with new housing development creating smart home infrastructure adoption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smart home market entry engagement take?|Typically 6–10 weeks for consumer demand research, certification mapping, and distribution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property developer partners for smart home companies?|Yes. Property developer and smart building integrator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"smart home market entry, consumer IoT GTM strategy, smart home consulting, connected device advisory, smart home strategy, consumer IoT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"$580B+",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smart home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device costs fall, ecosystem integration improves, and consumer adoption accelerates across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smart home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retailers, and property developers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retailer distribution research delivers smart home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"edtech-upskilling",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"corporate-learning",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"Adult Upskilling &amp; Professional Learning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adult upskilling platforms, professional certification companies, and workforce reskilling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"Adult upskilling and professional learning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skills gap to certified professional — strategy for upskilling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"Adult upskilling and professional learning is one of the most urgent and commercially significant segments in education — with AI replacing routine tasks, digital transformation creating skills gaps, and workers seeking career transitions that require new credentials. Upskilling platform operators, professional certification providers, technical training companies, and micro-credential businesses are all evaluating new market entry opportunities as government reskilling programmes, employer training budgets, and individual career investment all create sustained demand. GreyRadius helps upskilling businesses validate learner and employer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"Government reskilling programmes are creating significant funded demand — Singapore's </w:t>
      </w:r>
      <w:proofErr w:type="spellStart"/>
      <w:r>
        <w:rPr>
          <w:rFonts w:ascii="Courier New" w:eastAsia="Courier New" w:hAnsi="Courier New" w:cs="Courier New"/>
          <w:color w:val="1B2A4A"/>
          <w:sz w:val="16"/>
          <w:szCs w:val="16"/>
        </w:rPr>
        <w:t>SkillsFuture</w:t>
      </w:r>
      <w:proofErr w:type="spellEnd"/>
      <w:r>
        <w:rPr>
          <w:rFonts w:ascii="Courier New" w:eastAsia="Courier New" w:hAnsi="Courier New" w:cs="Courier New"/>
          <w:color w:val="1B2A4A"/>
          <w:sz w:val="16"/>
          <w:szCs w:val="16"/>
        </w:rPr>
        <w:t>, Saudi Arabia's Technical and Vocational Training Corporation, India's Skill India Mission, and Gulf nationalisation workforce development programmes all represent government-funded upskilling demand that sophisticated education companies can access. Post-AI adoption workforce anxiety is creating record individual willingness to invest in upskilling.",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"Global adult learning and upskilling market is projected to reach $370B by 2027 — growing at 12% annually as AI adoption, digital transformation, and career mobility all drive sustained demand for professional learning.",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and data skills are the most demanded upskilling categories — courses in AI tools, data analysis, prompt engineering, and machine learning applications are achieving enrolment growth of 100%+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"Employer-funded upskilling is growing at 20%+ annually — enterprises under pressure to retain talent and build AI capabilities are increasing training budgets significantly.",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"Government-funded individual learning accounts are expanding — Singapore, UK, France, and several Gulf states all have government-funded individual training accounts that make professional upskilling effectively free for eligible learners."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"Course completion rates for online upskilling are low — average completion rates for self-paced online courses are 5–15%, creating a significant product quality challenge for upskilling platforms.",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"Credential recognition by employers is not universal — employers are </w:t>
      </w:r>
      <w:proofErr w:type="spellStart"/>
      <w:r>
        <w:rPr>
          <w:rFonts w:ascii="Courier New" w:eastAsia="Courier New" w:hAnsi="Courier New" w:cs="Courier New"/>
          <w:color w:val="1B2A4A"/>
          <w:sz w:val="16"/>
          <w:szCs w:val="16"/>
        </w:rPr>
        <w:t>skeptical</w:t>
      </w:r>
      <w:proofErr w:type="spellEnd"/>
      <w:r>
        <w:rPr>
          <w:rFonts w:ascii="Courier New" w:eastAsia="Courier New" w:hAnsi="Courier New" w:cs="Courier New"/>
          <w:color w:val="1B2A4A"/>
          <w:sz w:val="16"/>
          <w:szCs w:val="16"/>
        </w:rPr>
        <w:t xml:space="preserve"> of credentials from lesser-known platforms, requiring upskilling companies to invest in employer recognition partnerships.",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professional certification bodies is intense — Coursera, Udemy, LinkedIn Learning, and established professional associations have significant brand and content advantages.",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"Learner acquisition cost is rising — digital advertising for professional learning is expensive and rising, requiring upskilling companies to develop content marketing and employer partnership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"Learner and employer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learner willingness to invest in your upskilling programme and employer recognition of your credentials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funded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identify government reskilling programmes, individual learning accounts, and employer training subsidies that can fund learner access to your platform.",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upskilling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professional learning platform, technical training course, or micro-credential programme and need a go-to-market strategy covering learner and employer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upskilling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learner demand data and employer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"Employer and corporate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employer partners who will recognise your credentials and fund employee upskilling through your platform.",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upskilling platforms are positioned and acquiring learners and employers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learner and employer demand for upskilling in a new market. Covers learner surveys, employer HR interviews, government programme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upskilling platform investments. Covers learner demand modelling, acquisition economics, employer partnership revenue,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upskilling companies. Government programme access, employer partnership development, learner ICP, and first-enrolment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upskilling platforms. Learner acquisition execution, employer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upskilling ventures. Learner-demand-validated market sizing, completion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upskilling — from personalised learning path recommendation and skill gap assessment to automated content generation and completion prediction."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general upskilling platforms or also with technical training and professional certification companies?|All segments. We work with general upskilling platforms, technical training companies, professional certification bodies, and micro-credential providers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upskilling markets does GreyRadius cover?|Gulf, Southeast Asia, South Asia, and Africa — markets with significant government reskilling investment and growing employer training budgets.",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upskilling market entry engagement take?|Typically 6–10 weeks for learner and employer demand research, government programme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reskilling programme access for upskilling companies?|Yes. Government programme mapping and initial engagement strategy are part of our market entry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"upskilling market entry, professional learning GTM strategy, adult education consulting, reskilling advisory, upskilling platform strategy, workforce training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"stat1n": "$370B+",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adult learning and upskilling market by 2027",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AI adoption, digital transformation, and career mobility drive sustained demand for professional learning.",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upskilling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"Learners, corporate L&amp;D managers, and government programme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learner demand research and government programme mapping delivers upskilling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"franchise-market-entry",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"Franchise Market Entry &amp; Expansion Consulting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franchise companies, master franchise operators, and franchise technology businesses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"Franchise market entry and expansion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franchise agreement to profitable unit — strategy for franchise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"Franchise market entry — expanding a proven business model into new geographies through master franchise agreements or direct franchising — is one of the most structured and commercially efficient forms of international market entry. F&amp;B franchise chains, retail franchise businesses, service franchise operators, and franchise technology platforms are all evaluating new market entry opportunities across Southeast Asia, South Asia, the Gulf, and Africa as consumer spending growth and entrepreneurial franchise investor demand create favourable expansion conditions. GreyRadius helps franchise businesses validate consumer demand, identify master franchise partners, execute entry strategies,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"Gulf franchise investment is among the most active globally — Saudi Arabia and UAE are among the world's top franchise destination markets by number of new brand entries annually. India's franchise market is growing at 30%+ driven by organised retail expansion and entrepreneurial franchise investor demand. Southeast Asia's F&amp;B and service franchise market is in a rapid growth phase with strong consumer demand for international and regional brands.",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franchise industry revenue exceeds $3T annually — with food and beverage, retail, and service franchises all growing at 8%+ annually across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"Gulf franchise market is the most active internationally — Saudi Arabia, UAE, and Kuwait collectively represent one of the world's largest markets for international franchise brand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"Digital-native franchise models are growing — franchise concepts built around delivery-only or hybrid digital-physical models are achieving lower capital requirements and faster break-even than traditional franchise models.",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"Master franchise is the preferred entry model for emerging markets — finding a well-capitalised local master franchisee who knows the market is the most capital-efficient entry approach for most international brands."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"Finding the right master franchisee is the critical success factor — a well-capitalised, operationally capable master franchisee with local market knowledge is more important than any other market entry decision.",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"Franchise legal and IP protection varies across markets — franchise agreement enforcement, trademark protection, and trade secret protection differ significantly and require local legal counsel.",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taste and cultural adaptation is required for F&amp;B franchises — food products, service standards, and brand communication that work in the home market often require adaptation for new market consumers.",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"Working capital requirements for franchise unit development can exceed expectations — fit-out costs, deposit requirements, and pre-opening staff training can significantly exceed initial estimates."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and brand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consumer interest in your franchise concept and brand and what pricing, format, and location adaptations are required for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"Master franchisee identification and </w:t>
      </w:r>
      <w:proofErr w:type="spellStart"/>
      <w:r>
        <w:rPr>
          <w:rFonts w:ascii="Courier New" w:eastAsia="Courier New" w:hAnsi="Courier New" w:cs="Courier New"/>
          <w:color w:val="1B2A4A"/>
          <w:sz w:val="16"/>
          <w:szCs w:val="16"/>
        </w:rPr>
        <w:t>qualification|You</w:t>
      </w:r>
      <w:proofErr w:type="spellEnd"/>
      <w:r>
        <w:rPr>
          <w:rFonts w:ascii="Courier New" w:eastAsia="Courier New" w:hAnsi="Courier New" w:cs="Courier New"/>
          <w:color w:val="1B2A4A"/>
          <w:sz w:val="16"/>
          <w:szCs w:val="16"/>
        </w:rPr>
        <w:t xml:space="preserve"> need to identify and qualify master franchise candidates — assessing capital capacity, operational experience, and market knowledge before negotiating franchise agreements.",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 entry structure and legal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determine the right entry structure — master franchise, direct franchise, joint venture, or company-owned — and understand the legal requirements for each.",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franchise </w:t>
      </w:r>
      <w:proofErr w:type="spellStart"/>
      <w:r>
        <w:rPr>
          <w:rFonts w:ascii="Courier New" w:eastAsia="Courier New" w:hAnsi="Courier New" w:cs="Courier New"/>
          <w:color w:val="1B2A4A"/>
          <w:sz w:val="16"/>
          <w:szCs w:val="16"/>
        </w:rPr>
        <w:t>expansion|You</w:t>
      </w:r>
      <w:proofErr w:type="spellEnd"/>
      <w:r>
        <w:rPr>
          <w:rFonts w:ascii="Courier New" w:eastAsia="Courier New" w:hAnsi="Courier New" w:cs="Courier New"/>
          <w:color w:val="1B2A4A"/>
          <w:sz w:val="16"/>
          <w:szCs w:val="16"/>
        </w:rPr>
        <w:t xml:space="preserve"> are raising investment for your franchise expansion or for a master franchise operation and need a pitch book grounded in market demand data.",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"Franchise support system </w:t>
      </w:r>
      <w:proofErr w:type="spellStart"/>
      <w:r>
        <w:rPr>
          <w:rFonts w:ascii="Courier New" w:eastAsia="Courier New" w:hAnsi="Courier New" w:cs="Courier New"/>
          <w:color w:val="1B2A4A"/>
          <w:sz w:val="16"/>
          <w:szCs w:val="16"/>
        </w:rPr>
        <w:t>development|You</w:t>
      </w:r>
      <w:proofErr w:type="spellEnd"/>
      <w:r>
        <w:rPr>
          <w:rFonts w:ascii="Courier New" w:eastAsia="Courier New" w:hAnsi="Courier New" w:cs="Courier New"/>
          <w:color w:val="1B2A4A"/>
          <w:sz w:val="16"/>
          <w:szCs w:val="16"/>
        </w:rPr>
        <w:t xml:space="preserve"> need to develop the training, operational support, and brand standards systems required to support franchisees in a new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which competing franchise brands are operating, how they are performing, and what gaps exist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your franchise concept in a new market. Covers consumer surveys, competitor unit economics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franchise market entry. Covers unit economics modelling, master franchise structure, royalty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franchise businesses. Master franchisee identification and qualification, legal structure navigation, and first-signed-franchise-agreement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franchise expansion. Master franchisee outreach, investor pipeline, and first-unit-opening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franchise ventures. Consumer-demand-validated unit economics, master franchise structure,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franchise — from unit performance prediction and site selection optimisation to franchise compliance monitoring and supply chain management."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F&amp;B franchise companies or also with retail, service, and education franchise businesses?|All segments. We work with F&amp;B, retail, service, and education franchise businesses across market entry, master franchisee identification,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franchise markets does GreyRadius cover?|Gulf, Southeast Asia, South Asia, and Africa — markets with the most active franchise investment and strongest consumer demand for international brands.",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franchise market entry engagement take?|Typically 8–12 weeks for consumer demand research, master franchisee identification, and legal structure mapping.",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and qualify master franchise candidates for international brands?|Yes. Master franchisee identification, initial qualification, and commercial introduction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"franchise market entry, franchise GTM strategy, master franchise consulting, franchise expansion advisory, franchise market strategy, international franchise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"$3T+",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franchise industry revenue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"F&amp;B, retail, and service franchises all growing at 8%+ annually with the Gulf and Southeast Asia among the most active expansion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franchise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"Master franchise investors, consumer focus groups, and competing unit operators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master franchisee mapping and consumer demand research delivers franchise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"genomics-precision-medicine",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"Genomics &amp; Precision Medicine Market Entry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genomics companies, precision medicine businesses, and genetic testing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"Genomics and precision medicine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genetic sequence to personalised treatment — strategy for genomics and precision medicine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"Genomics and precision medicine — using genetic information to personalise disease prevention, diagnosis, and treatment — is transitioning from research tool to clinical practice at accelerating speed. Genomic testing companies, pharmacogenomics businesses, cancer genomics diagnostic providers, and precision medicine technology platforms are all evaluating new market entry opportunities as sequencing costs fall, clinical evidence accumulates, and healthcare systems invest in genomic medicine capabilities. GreyRadius helps genomics businesses validate clinical demand, navigate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"Government genomics investment is creating institutional demand — the UK Biobank, UAE's National Genome Program, Saudi Arabia's precision medicine initiative, India's genome </w:t>
      </w:r>
      <w:r>
        <w:rPr>
          <w:rFonts w:ascii="Courier New" w:eastAsia="Courier New" w:hAnsi="Courier New" w:cs="Courier New"/>
          <w:color w:val="1B2A4A"/>
          <w:sz w:val="16"/>
          <w:szCs w:val="16"/>
        </w:rPr>
        <w:lastRenderedPageBreak/>
        <w:t>sequencing programme, and Singapore's National Precision Medicine strategy are all creating government-funded genomics infrastructure that creates procurement opportunities for genomics technology companies. Oncology is driving the fastest clinical adoption as companion diagnostics become standard of care.",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genomics market is projected to reach $60B by 2030 — growing at 16% annually as sequencing costs continue to fall, clinical applications multiply, and healthcare system investment in precision medicine infrastructure accelerates.",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"Oncology companion diagnostics is the largest near-term genomics application — next-generation sequencing for tumour profiling is becoming standard of care for multiple cancer types, driving significant clinical genomics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"Pharmacogenomics is growing rapidly — drug-gene interaction testing before prescribing medications is improving patient safety and outcomes, creating adoption in cardiology, psychiatry, and primary care.",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"Population genomics programmes are creating healthcare system infrastructure — large-scale government genome sequencing programmes are building the data infrastructure that precision medicine clinical applications require."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regulatory approval for genomic diagnostics is complex — laboratory developed tests, IVD classification, and companion diagnostic approval all have different regulatory pathways with different evidence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utility demonstration is required for reimbursement — healthcare systems and payers require robust clinical evidence that genomic testing improves patient outcomes before approving reimbursement.",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"Laboratory infrastructure requirements are significant — genomic testing requires specialised bioinformatics infrastructure, sequencing equipment, and CLIA/ISO-certified laboratory operations.",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privacy for genomic data is a sensitive and evolving regulatory area — genomic data is the most sensitive personal data category and faces specific regulatory protection that varies by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clinical specialties and hospital systems are actively adopting genomic testing and what evidence standards and regulatory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laboratory certification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IVD classification, laboratory certification, and clinical validation requirements for your genomic test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"Hospital and laboratory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reference hospitals, clinical genomics laboratories, and pathology networks as clinical validation and distribution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genomics </w:t>
      </w:r>
      <w:proofErr w:type="spellStart"/>
      <w:r>
        <w:rPr>
          <w:rFonts w:ascii="Courier New" w:eastAsia="Courier New" w:hAnsi="Courier New" w:cs="Courier New"/>
          <w:color w:val="1B2A4A"/>
          <w:sz w:val="16"/>
          <w:szCs w:val="16"/>
        </w:rPr>
        <w:t>company|You</w:t>
      </w:r>
      <w:proofErr w:type="spellEnd"/>
      <w:r>
        <w:rPr>
          <w:rFonts w:ascii="Courier New" w:eastAsia="Courier New" w:hAnsi="Courier New" w:cs="Courier New"/>
          <w:color w:val="1B2A4A"/>
          <w:sz w:val="16"/>
          <w:szCs w:val="16"/>
        </w:rPr>
        <w:t xml:space="preserve"> have a genetic test, sequencing platform, or precision medicine tool and need a go-to-market strategy covering clinical and hospital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genomics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clinical demand data, market sizing, and regulatory pathway clarity.",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w:t>
      </w:r>
      <w:proofErr w:type="spellStart"/>
      <w:r>
        <w:rPr>
          <w:rFonts w:ascii="Courier New" w:eastAsia="Courier New" w:hAnsi="Courier New" w:cs="Courier New"/>
          <w:color w:val="1B2A4A"/>
          <w:sz w:val="16"/>
          <w:szCs w:val="16"/>
        </w:rPr>
        <w:t>partnership|You</w:t>
      </w:r>
      <w:proofErr w:type="spellEnd"/>
      <w:r>
        <w:rPr>
          <w:rFonts w:ascii="Courier New" w:eastAsia="Courier New" w:hAnsi="Courier New" w:cs="Courier New"/>
          <w:color w:val="1B2A4A"/>
          <w:sz w:val="16"/>
          <w:szCs w:val="16"/>
        </w:rPr>
        <w:t xml:space="preserve"> need to identify national genome programmes and government precision medicine initiatives as anchor institutional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for genomics in a new market. Covers oncologist and clinical geneticist interviews, regulatory pathway mapping, reimbursement landscape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genomics investments. Covers clinical adoption modelling, laboratory economics, regulatory pathway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genomics companies. Regulatory pathway, reference hospital identification, clinical KOL development, and first-clinical-deployment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genomics platforms. Hospital and clinical laboratory outreach, government programme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genomics ventures. Clinical-demand-validated market sizing, regulatory timeline,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genomics — from variant interpretation and clinical decision support to population genomics analysis and personalised treatment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clinical genomics diagnostic companies or also with consumer genomics and pharmacogenomics companies?|All three. We work with clinical diagnostic companies on regulatory pathway and market entry, pharmacogenomics companies on GTM and market entry, and consumer genomics companies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genomics markets does GreyRadius cover?|Gulf, Southeast Asia, South Asia, and Europe — markets with active government genomics programmes and growing clinical precision medicine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genomics market entry engagement take?|Typically 8–12 weeks for clinical demand research, regulatory pathway mapping, and reimbursement landscape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identify government genomics programme partnerships for genomics companies?|Yes. Government precision medicine programme mapping and partnership identification are part of our market entry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"genomics market entry, precision medicine GTM strategy, genetic testing consulting, genomics advisory, precision medicine market entry, pharmacogenomics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"$60B+",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genomics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16% annually as sequencing costs fall, clinical applications multiply, and healthcare systems invest in precision medicine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genomics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"Oncologists, clinical geneticists, and hospital administrators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pathway mapping and clinical demand research delivers genomics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"mental-health-corporate",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"mental-health-tech",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"Corporate Mental Health &amp; Workplace Wellness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corporate mental health platforms, employee assistance programme providers, and workplace wellness companies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"Corporate mental health and workplace wellness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EAP contract to employee wellbeing — strategy for corporate mental health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"Corporate mental health and workplace wellness has become one of the fastest-growing enterprise benefits categories — as employers recognise that employee mental health directly affects productivity, retention, and absenteeism. Employee assistance programme providers, mental health app companies, corporate meditation and mindfulness platforms, and employee wellbeing analytics companies are all evaluating new market entry opportunities as enterprises across Southeast Asia, South Asia, and the Gulf invest in employee wellbeing programmes. GreyRadius helps corporate mental health businesses validate HR and benefits buyer demand, execute B2B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"Post-pandemic mental health awareness has permanently elevated corporate investment in employee wellbeing — HR directors are allocating budget to mental health benefits that was previously reserved for physical health insurance. Gulf nationalisation programmes include employee development and wellbeing components that create government-aligned demand. The corporate mental health companies establishing enterprise relationships in these markets in 2024–2027 will hold multi-year contract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corporate wellness market is projected to reach $100B by 2027 — growing at 8% annually as employer investment in employee mental health, physical wellness, and financial wellbeing all increase.",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"Mental health is growing as the fastest corporate wellness investment category — burnout, anxiety, and depression are the leading causes of employee absenteeism globally, creating significant employer motivation for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"EAP utilisation rates are rising — traditionally low EAP usage is improving as digital access removes stigma barriers and mobile-first platforms make mental health support more accessible.",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Asian corporate mental health market is early-stage but growing at 25%+ — rising awareness, increasing workforce competition, and government workplace wellbeing guidelines are all driving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"HR procurement for employee benefits is conservative — HR directors require clear ROI demonstration, clinical validity evidence, and employee privacy assurance before adopting corporate mental health platforms.",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"Cultural sensitivity around mental health discussion varies significantly — employee willingness to engage with mental health support varies dramatically across cultures and requires careful product and communication adaptation.",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privacy for employee mental health usage is highly sensitive — employers and employees both require absolute assurance that individual mental health platform usage data is private and cannot affect employment.",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"Price competition is intensifying — the corporate mental health market is becoming crowded with platform providers competing on price, making differentiation on outcomes and engagement critical."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"Corporate HR and benefits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HR director and employee benefits manager willingness to invest in corporate mental health platforms and what clinical validity, engagement, and privacy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employer GTM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have a corporate mental health platform and need a go-to-market strategy covering enterprise HR buyer acquisition, insurance channel development, and employee engagement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validity and evidence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develop the clinical outcome evidence and independent validation data that enterprise HR buyers require for procurement approval.",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corporate mental health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employer demand data, engagement benchmarks, and ROI evidence.",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and EAP channel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health insurance companies, EAP providers, and employee benefits brokers as distribution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corporate mental health platforms are positioned and winning enterprise contracts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HR buyer demand for corporate mental health platforms in a new market. Covers HR director and CHRO interviews, insurance channel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corporate mental health platform launches. Covers enterprise adoption modelling, revenue per employee, clinical infrastructure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corporate mental health companies. Enterprise buyer ICP, insurance channel development, therapist network identification, and first-enterprise-contract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corporate mental health platforms. Enterprise HR outreach, benefits broker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corporate mental health ventures. Employer-demand-validated market sizing, clinical evidence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corporate mental health — from mood assessment and early intervention detection to personalised resource recommendation and engagement prediction."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EAP providers or also with mental health app companies and corporate mindfulness platforms?|All three. We work with EAP providers on market entry and enterprise GTM, mental health app companies on corporate channel development, and corporate wellness platforms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corporate mental health markets does GreyRadius cover?|Gulf, Southeast Asia, South Asia, and Africa — markets with growing enterprise investment in employee wellbeing.",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corporate mental health market entry engagement take?|Typically 6–10 weeks for HR buyer research, insurance channel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insurance and EAP distribution partners for corporate mental health companies?|Yes. Insurance and EAP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"corporate mental health market entry, workplace wellness GTM strategy, EAP consulting, employee wellbeing advisory, corporate wellness market entry, mental health benefits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corporate wellness market by 2027",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8% annually as employer investment in employee mental health, physical wellness, and financial wellbeing all increase.",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corporate wellness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"HR directors, CHROs, and employee benefits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HR buyer demand mapping and benefits channel research delivers corporate mental health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insurtech</w:t>
      </w:r>
      <w:proofErr w:type="spellEnd"/>
      <w:r>
        <w:rPr>
          <w:rFonts w:ascii="Courier New" w:eastAsia="Courier New" w:hAnsi="Courier New" w:cs="Courier New"/>
          <w:color w:val="1B2A4A"/>
          <w:sz w:val="16"/>
          <w:szCs w:val="16"/>
        </w:rPr>
        <w:t>-embedded",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insurtech</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"Embedded Insurance Market Entry Strategy | GreyRadius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embedded insurance companies, API insurance providers, and insurance-as-a-service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"Embedded insurance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insurance API to platform distribution — strategy for embedded insurance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"Embedded insurance — insurance products distributed through non-insurance platforms at the point of need — is one of the most significant transformations in the insurance industry. Device insurance embedded in electronics retail, travel insurance in booking platforms, gig worker insurance in ride-hailing apps, and SME insurance in banking platforms are all creating significant market opportunities. Embedded insurance technology providers, API insurance companies, and insurance-as-a-service platforms are all evaluating new market entry opportunities across Southeast Asia, South Asia, and the Gulf. GreyRadius helps embedded insurance businesses validate platform demand, navigate insurance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"Southeast Asian super apps — Grab, </w:t>
      </w:r>
      <w:proofErr w:type="spellStart"/>
      <w:r>
        <w:rPr>
          <w:rFonts w:ascii="Courier New" w:eastAsia="Courier New" w:hAnsi="Courier New" w:cs="Courier New"/>
          <w:color w:val="1B2A4A"/>
          <w:sz w:val="16"/>
          <w:szCs w:val="16"/>
        </w:rPr>
        <w:t>Gojek</w:t>
      </w:r>
      <w:proofErr w:type="spellEnd"/>
      <w:r>
        <w:rPr>
          <w:rFonts w:ascii="Courier New" w:eastAsia="Courier New" w:hAnsi="Courier New" w:cs="Courier New"/>
          <w:color w:val="1B2A4A"/>
          <w:sz w:val="16"/>
          <w:szCs w:val="16"/>
        </w:rPr>
        <w:t>, and Sea Group — have demonstrated that embedded insurance can achieve extraordinary scale through platform distribution. Financial services and insurance penetration across Southeast Asia and South Asia is growing rapidly as mobile distribution makes insurance accessible for the first time. The embedded insurance infrastructure companies that establish platform relationships in 2024–2027 will power significant insurance premium volume.",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embedded insurance market is projected to reach $700B in gross written premium by 2030 — growing at 25% annually as non-insurance platforms across mobility, commerce, and healthcare all add embedded insurance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"Device and product insurance embedded in e-commerce is growing at 35%+ — consumers purchasing electronics, appliances, and high-value goods through e-commerce are increasingly opting for embedded extended warranty and insurance at checkout.",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"Parametric insurance embedded in travel and weather platforms is growing rapidly — automatic, trigger-based insurance payments that require no claims process are achieving high consumer satisfaction and renewal rates.",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"Micro-insurance embedded in mobile money is expanding access — life, health, and agricultural micro-insurance distributed through mobile money platforms is reaching populations that have never previously been insured."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product design for embedded distribution requires simplification — complex insurance terms and conditions create consumer friction at the point of purchase that reduces conversion rates.",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for embedded insurance is complex — the platform distributing insurance may require an insurance broking licence, the insurer must be authorised in each market, and cross-border embedded insurance faces regulatory complexity.",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"Claims management for embedded insurance affects consumer experience — the moment of claiming is when embedded insurance creates or destroys consumer trust, requiring robust and frictionless claims processes.",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"Adverse selection risk in embedded channels is elevated — consumers opting into insurance at the point of purchase may have higher loss exposure than the general population, requiring careful underwriting design."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"Platform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non-insurance platforms are actively seeking embedded insurance partnerships and what product types, revenue sharing, and integration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insurance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insurance distribution licensing, underwriting capacity requirements, and cross-border insurance rules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product design for embedded </w:t>
      </w:r>
      <w:proofErr w:type="spellStart"/>
      <w:r>
        <w:rPr>
          <w:rFonts w:ascii="Courier New" w:eastAsia="Courier New" w:hAnsi="Courier New" w:cs="Courier New"/>
          <w:color w:val="1B2A4A"/>
          <w:sz w:val="16"/>
          <w:szCs w:val="16"/>
        </w:rPr>
        <w:t>channels|You</w:t>
      </w:r>
      <w:proofErr w:type="spellEnd"/>
      <w:r>
        <w:rPr>
          <w:rFonts w:ascii="Courier New" w:eastAsia="Courier New" w:hAnsi="Courier New" w:cs="Courier New"/>
          <w:color w:val="1B2A4A"/>
          <w:sz w:val="16"/>
          <w:szCs w:val="16"/>
        </w:rPr>
        <w:t xml:space="preserve"> need to design insurance products that are simple enough for embedded distribution, compliant in your target market, and commercially viable given platform commission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embedded insurance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embedded insurance technology, API insurance product, or IaaS platform and need a go-to-market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embedded insurance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platform partner data and embedded insurance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"Underwriting capacity and reinsurance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insurance carriers and reinsurance partners who can provide underwriting capacity for your embedded insurance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platform demand for embedded insurance in a new market. Covers platform product manager interviews, regulatory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embedded insurance platform investments. Covers platform partner demand modelling, loss ratio assumptions, commission structure,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embedded insurance companies. Regulatory licensing pathway, platform partner identification, underwriting capacity development, and first-embedded-premium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IaaS and API insurance platforms. Platform outreach, carrier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embedded insurance ventures. Platform-demand-validated market sizing, loss ratio modelling,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use-case prioritisation in embedded insurance — from real-time underwriting and fraud detection to personalised product recommendation and automated parametric claims processing."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embedded insurance technology companies or also with insurance carriers offering embedded products?|Both. We work with technology companies on platform GTM and market entry, and with insurance carriers developing embedded distribution strategies on market entry and platform partner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embedded insurance markets does GreyRadius cover?|Southeast Asia, South Asia, and the Gulf — markets with large platform businesses and growing insurance penetration.",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embedded insurance market entry engagement take?|Typically 6–10 weeks for platform demand research, regulatory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insurance carrier and reinsurance partners for embedded insurance companies?|Yes. Carrier and reinsurance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"embedded insurance market entry, API insurance GTM strategy, insurance as a service consulting, embedded protection advisory, embedded insurance strategy, IaaS insurance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"$700B+",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embedded insurance gross written premium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mobility, commerce, and healthcare platforms all add embedded insurance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embedded insurance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"Platform product managers, insurance distribution heads, and consumer researchers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platform demand mapping and regulatory research delivers embedded insurance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"port-logistics-parks",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"freight-cargo",</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"Logistics Parks &amp; Industrial Real Estate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logistics park developers, industrial real estate companies, and warehousing businesses with market entry strategy,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"Logistics parks and industrial real estate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greenfield site to first tenant — strategy for logistics real estate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"Logistics parks and industrial real estate — purpose-built warehousing facilities, distribution centres, cold storage parks, and integrated logistics hubs — are critical infrastructure for modern supply chains. Logistics real estate developers, industrial park operators, third-party logistics companies investing in owned infrastructure, and industrial REIT managers are all evaluating new market entry opportunities as e-commerce growth, manufacturing diversification, and supply chain resilience investment drive unprecedented demand for Grade A logistics real estate. GreyRadius helps logistics real estate businesses validate tenant demand, assess site feasibility, navigate regulatory requirements,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"E-commerce logistics real estate demand is at a multi-decade high across Southeast Asia and South Asia — the shift to online retail requires 3x more logistics space than traditional retail distribution. Manufacturing diversification into Vietnam, India, and Indonesia is creating significant demand for industrial and logistics park infrastructure that does not yet exist at the required scale and quality.",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logistics real estate market is projected to reach $2T in asset value by 2030 — with Southeast Asia and South Asia growing at 15%+ annually as e-commerce and manufacturing investment drive Grade A warehouse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"Vacancy rates for Grade A logistics real estate are extremely low across Southeast Asia — sub-3% vacancy in key markets including Vietnam, Indonesia, and India reflects demand significantly exceeding supply.",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"Cold storage logistics real estate is growing at 20%+ annually — pharmaceutical distribution, food safety regulation, and consumer demand for fresh products are driving cold storage development well beyond current capacity.",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"ESG requirements are becoming standard for logistics real estate — major e-commerce and retail tenants are requiring green-certified facilities, solar rooftop installations, and EV charging infrastructure as tenancy conditions."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"Land acquisition in prime logistics locations is expensive and competitive — proximity to ports, airports, and major road networks in emerging markets commands significant land premiums.",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"Construction quality standards for Grade A logistics real estate require specialised expertise — clear height, floor loading, dock levellers, and fire suppression systems differ from conventional industrial construction.",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"Tenant concentration risk is significant — large e-commerce platforms and logistics companies can represent 50%+ of a logistics park's GLA, creating single-tenant revenue concentration risk.",</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zoning approval for large industrial developments can be slow — environmental impact assessment, infrastructure connection approvals, and industrial land use permits create development timeline risk."</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"Logistics tenant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e-commerce, manufacturing, and 3PL tenant demand for Grade A logistics space in your target location before committing to land acquisition and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"Site feasibility and location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assess site access, land cost, utility availability, labour market proximity, and regulatory pathway for potential logistics park locations.",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"Development partner and construction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local construction companies, engineering firms, and development partners with industrial real estate expertise.",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logistics real estate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are raising infrastructure capital and need a pitch book grounded in tenant demand data and site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"Tenant acquisition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develop relationships with e-commerce platforms, manufacturers, and 3PL companies as anchor tenants before or during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landscape|You</w:t>
      </w:r>
      <w:proofErr w:type="spellEnd"/>
      <w:r>
        <w:rPr>
          <w:rFonts w:ascii="Courier New" w:eastAsia="Courier New" w:hAnsi="Courier New" w:cs="Courier New"/>
          <w:color w:val="1B2A4A"/>
          <w:sz w:val="16"/>
          <w:szCs w:val="16"/>
        </w:rPr>
        <w:t xml:space="preserve"> need to understand how competing logistics park developers are positioned, priced, and winning tenants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logistics tenant demand and site opportunity in a new market. Covers e-commerce, manufacturer, and 3PL tenant interviews, site analysis, competitive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logistics park investments. Covers tenant demand modelling, land cost, construction economics, yield projections,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logistics real estate developers. Regulatory pathway, land acquisition strategy, tenant ICP development, and first-LOI or first-lease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logistics real estate technology and services. Logistics park developer outreach, tenant management platform pipeline, and first-contract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logistics real estate ventures. Tenant-demand-validated market sizing, yield analysis,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logistics parks — from automated warehouse management and inventory optimisation to energy management and predictive maintenance."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logistics park developers or also with 3PL companies building their own infrastructure and industrial REIT managers?|All three. We work with developers on feasibility and market entry, 3PLs on owned infrastructure investment, and industrial REIT managers on market entry and asset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logistics real estate markets does GreyRadius cover?|Southeast Asia, South Asia, and the Gulf — markets with the fastest logistics real estate demand growth.",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logistics real estate market entry engagement take?|Typically 8–12 weeks for tenant demand research, site feasibility assessment,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tenants for logistics park developments?|Yes. Tenant identification and initial commercial conversations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"logistics park market entry, industrial real estate GTM strategy, warehousing consulting, logistics real estate advisory, industrial park strategy, logistics hub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logistics real estate asset value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"Southeast Asia and South Asia growing at 15%+ as e-commerce and manufacturing investment drive Grade A warehouse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logistics real estate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"E-commerce logistics heads, manufacturing operations managers, and 3PL real estate teams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tenant demand mapping and site feasibility research delivers logistics real estate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"cleantech",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"Cleantech Market Entry Strategy | GreyRadius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cleantech companies, green technology businesses, and environmental technology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"Cleantech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green technology to commercial scale — strategy for cleantech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"Cleantech — the broad category of technologies that reduce environmental impact across energy, water, waste, transportation, and industry — encompasses some of the most significant market entry opportunities of the decade. Energy efficiency companies, air quality monitoring businesses, water treatment technology providers, waste management technology companies, and environmental analytics platforms are all evaluating new market entry opportunities as environmental regulation intensifies and government sustainability investment accelerates globally. GreyRadius helps cleantech businesses validate government and enterprise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"Environmental regulation is tightening globally at the fastest pace in decades — air quality standards, water discharge regulations, plastic waste mandates, and carbon emission requirements are all creating compliance-driven cleantech demand. Government green economy investment across the Gulf, South Asia, and Southeast Asia is creating funded procurement channels. The cleantech companies establishing government and enterprise relationships in 2024–2027 will capture multi-year contract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cleantech market is projected to reach $2.5T by 2030 — growing at 11% annually as climate regulation, government sustainability investment, and corporate ESG commitments all drive clean technology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"Air quality technology is growing at 20%+ in South Asia — India's National Clean Air Programme and similar initiatives across Southeast Asia are creating significant government and industrial air quality monitoring and control procurement.",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"Industrial energy efficiency is growing at 15%+ annually — rising energy costs combined with carbon pricing are making energy efficiency investments economically compelling for manufacturers and facility operators.",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"Environmental monitoring and compliance technology is growing rapidly — automated compliance reporting, remote sensing, and environmental data management platforms are all seeing significant procurement from regulated industries."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timelines for cleantech are long — environmental infrastructure and monitoring projects require tendering processes, environmental impact assessment, and budget approval that create 1–3 year sales cycles.",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"Technology proof of concept requirements are high — cleantech buyers require extensive field demonstration data before committing to large-scale deployment.",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"Price competition from Chinese cleantech manufacturers is intense — Chinese solar, wind, and environmental technology companies compete aggressively on price in many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"Financing cleantech projects requires specialised expertise — green bonds, sustainability-linked lending, and development finance institution support all require specialised knowledge to access."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enterprise cleantech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which government programmes and enterprise sustainability investments are actively creating cleantech procurement demand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opportunity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map environmental regulations, compliance deadlines, and enforcement trends that create urgency-driven cleantech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cleantech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energy efficiency, air quality, water treatment, or waste technology and need a go-to-market strategy covering government and enterprise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cleantech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government programme data and enterprise sustainability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"Green finance and development bank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identify green bond issuance, sustainability-linked lending, and DFI grant opportunities that can fund cleantech projects.",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cleantech companies are positioned and winning government and enterprise contracts."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enterprise demand for cleantech in a new market. Covers government programme mapping, enterprise sustainability buyer interviews, regulatory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cleantech investments. Covers demand modelling, regulatory compliance cost, government subsidy impact,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cleantech companies. Regulatory compliance pathway, government programme identification, enterprise buyer ICP, and first-contract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cleantech platforms. Government and enterprise outreach, green finance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cleantech ventures. Regulatory-demand-validated market sizing, government support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cleantech — from environmental monitoring and compliance reporting automation to energy optimisation and predictive environmental impact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energy efficiency companies or also with air quality, water treatment, and waste technology cleantech companies?|All segments. We work across energy efficiency, air quality, water treatment, waste management, and environmental analytics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cleantech markets does GreyRadius cover?|Gulf, Southeast Asia, South Asia, and Africa — markets with intensifying environmental regulation and significant government green economy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cleantech market entry engagement take?|Typically 6–10 weeks for government programme mapping, enterprise demand research,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green finance and DFI funding access for cleantech companies?|Yes. Green finance programme mapping is part of our market entry service for cleantech companies."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"cleantech market entry, green technology GTM strategy, environmental tech consulting, clean technology advisory, cleantech strategy, green tech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"$2.5T+",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cleantech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11% annually as climate regulation, government sustainability investment, and corporate ESG commitments drive clean technology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cleantech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programme officials, enterprise sustainability managers, and environmental compliance officers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enterprise sustainability demand research delivers cleantech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"cross-border-ecommerce",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"ecommerce-tech",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"Cross-Border E-Commerce Market Entry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cross-border e-commerce companies, international marketplace businesses, and e-commerce logistics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"Cross-border e-commerce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warehouse to first cross-border delivery — strategy for cross-border e-commerce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"Cross-border e-commerce — the sale of products across international borders through digital channels — is growing at extraordinary speed as consumers in Southeast Asia, South Asia, the Gulf, and Africa buy directly from international manufacturers and brands. Cross-border e-commerce platform operators, international marketplace facilitators, customs clearance technology companies, and cross-border logistics providers are all evaluating new market entry opportunities. GreyRadius helps cross-border e-commerce businesses validate buyer and seller demand, navigate customs and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"TikTok Shop's cross-border expansion, Shopee's international seller programmes, and Noon's Gulf cross-border marketplace are all creating infrastructure that enables international sellers to reach emerging market consumers at scale. Chinese cross-border e-commerce into Southeast Asia, South Asia, and Africa is growing at 30%+ annually — creating both competitive pressure and market access inspiration for other international cross-border sellers.",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cross-border e-commerce market is projected to reach $7.9T by 2030 — growing at 28% annually as digital trade eliminates geographic barriers and emerging market consumers access international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"China-to-Southeast Asia and China-to-Africa cross-border e-commerce is growing at 30%+ — Alibaba's Lazada, JD Central, and specialist cross-border platforms are all scaling rapidly.",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"Customs simplification is enabling cross-border e-commerce growth — de minimis thresholds, customs duty exemptions for low-value parcels, and digital customs clearance are all reducing barriers to cross-border trade.",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"Localised payment solutions are critical for cross-border e-commerce success — consumer willingness to purchase internationally is significantly higher when local payment methods are available at checkout."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"Customs and import duty complexity is the primary operational challenge — varying de minimis thresholds, tariff rates, and customs procedures across markets require specialised compliance expertise.",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international sellers is lower than in domestic sellers — return processes, language barriers, and delivery uncertainty all reduce consumer confidence in cross-border purchases.",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"Last-mile delivery for international parcels is fragmented — coordinating international shipping with domestic last-mile delivery across multiple markets requires complex logistics partnerships.",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"Payment fraud risk is elevated in cross-border transactions — cross-border payment fraud rates are significantly higher than domestic transactions, requiring sophisticated fraud management systems."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buyer and seller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consumer demand for cross-border product categories and international seller appetite for entering your target cross-border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"Customs and regulatory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import duty, de minimis thresholds, customs procedures, and consumer protection regulations for cross-border e-commerce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cross-border e-commerce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cross-border marketplace, logistics service, or customs technology and need a go-to-market strategy covering seller and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cross-border e-commerce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cross-border trade flow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"Logistics and payment partner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cross-border logistics operators, customs brokers, and local payment providers as operational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cross-border platforms are positioned and acquiring sellers and buyers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cross-border buyer and seller demand in a new market. Covers consumer surveys, seller interviews, customs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cross-border e-commerce investments. Covers trade flow modelling, customs duty impact, logistics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cross-border e-commerce companies. Customs pathway, logistics partner identification, seller ICP, and first-cross-border-transaction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cross-border platforms. Seller acquisition execution, buyer acquisition channels, and first-GMV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cross-border e-commerce ventures. Trade-flow-validated market sizing, unit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cross-border e-commerce — from customs classification automation and fraud detection to personalised cross-border product recommendation and dynamic duty calculation."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cross-border marketplace companies or also with cross-border logistics and customs technology companies?|All three. We work with marketplace operators on market entry and GTM, logistics companies on market entry, and customs technology companies on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cross-border e-commerce markets does GreyRadius cover?|Southeast Asia, South Asia, the Gulf, and Africa — the fastest-growing cross-border e-commerce destination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cross-border e-commerce market entry engagement take?|Typically 6–10 weeks for demand research, customs regulatory mapping, and logistics partner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logistics and payment partners for cross-border e-commerce companies?|Yes. Partner identification and initial commercial conversations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"cross border ecommerce market entry, international marketplace GTM strategy, cross border trade consulting, international ecommerce advisory, cross border retail strategy, international marketplace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"$7.9T+",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cross-border e-commerce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28% annually as digital trade eliminates geographic barriers and emerging market consumers access international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cross-border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international sellers, and customs compliance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trade flow analysis and customs regulatory mapping delivers cross-border e-commerce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agrifintech</w:t>
      </w:r>
      <w:proofErr w:type="spellEnd"/>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"Agricultural Fintech &amp; Farmer Finance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agricultural fintech companies, farmer finance platforms, and rural credit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"Agricultural fintech and farmer finance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mobile loan to harvest repayment — strategy for agricultural fintech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"Agricultural fintech — financial products and technology platforms serving farmers, agricultural businesses, and rural communities — addresses one of the largest financial inclusion opportunities globally. Farmer credit platforms, harvest finance companies, agricultural payment systems, crop insurance fintech, and rural savings platforms are all evaluating new market entry opportunities as digital connectivity reaches rural agricultural communities and governments invest in financial inclusion for farmers. GreyRadius helps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businesses validate farmer demand, navigate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"India's 150 million farming households, Southeast Asia's 200 million agricultural workers, and Africa's 600 million smallholder farmers all represent significant underserved financial service populations. Digital agriculture infrastructure — government farmer ID systems, crop monitoring databases, and digital payment rails — is creating the data foundation that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credit and insurance products require. The companies establishing farmer financial service relationships in 2024–2027 will hold long-term financial service positions.",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agricultural finance gap exceeds $170B annually — smallholder farmers globally have insufficient access to formal credit, insurance, and savings products that could significantly improve agricultural productivity.",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penetration in rural communities is enabling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 M-</w:t>
      </w:r>
      <w:proofErr w:type="spellStart"/>
      <w:r>
        <w:rPr>
          <w:rFonts w:ascii="Courier New" w:eastAsia="Courier New" w:hAnsi="Courier New" w:cs="Courier New"/>
          <w:color w:val="1B2A4A"/>
          <w:sz w:val="16"/>
          <w:szCs w:val="16"/>
        </w:rPr>
        <w:t>Pesa</w:t>
      </w:r>
      <w:proofErr w:type="spellEnd"/>
      <w:r>
        <w:rPr>
          <w:rFonts w:ascii="Courier New" w:eastAsia="Courier New" w:hAnsi="Courier New" w:cs="Courier New"/>
          <w:color w:val="1B2A4A"/>
          <w:sz w:val="16"/>
          <w:szCs w:val="16"/>
        </w:rPr>
        <w:t xml:space="preserve"> in East Africa, </w:t>
      </w:r>
      <w:proofErr w:type="spellStart"/>
      <w:r>
        <w:rPr>
          <w:rFonts w:ascii="Courier New" w:eastAsia="Courier New" w:hAnsi="Courier New" w:cs="Courier New"/>
          <w:color w:val="1B2A4A"/>
          <w:sz w:val="16"/>
          <w:szCs w:val="16"/>
        </w:rPr>
        <w:t>GCash</w:t>
      </w:r>
      <w:proofErr w:type="spellEnd"/>
      <w:r>
        <w:rPr>
          <w:rFonts w:ascii="Courier New" w:eastAsia="Courier New" w:hAnsi="Courier New" w:cs="Courier New"/>
          <w:color w:val="1B2A4A"/>
          <w:sz w:val="16"/>
          <w:szCs w:val="16"/>
        </w:rPr>
        <w:t xml:space="preserve"> in the Philippines, and bKash in Bangladesh have established digital payment rails that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companies can build 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digital agriculture infrastructure is creating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enablers — digital farmer registration, crop monitoring databases, and e-procurement systems are generating the data that credit scoring and insurance underwriting require.",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"Harvest finance is growing rapidly — input financing tied to specific crop cycles and repaid at harvest is achieving strong credit performance because repayment aligns with farmer cash flow patterns."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credit risk assessment without formal data is challenging — smallholder farmers lack credit history, formal income records, and collateral, requiring alternative data approaches for credit scoring.",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"Seasonal cash flow creates credit cycle management complexity — agricultural lending must align with planting and harvest cycles that vary by crop, geography, and climate.",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"Rural distribution infrastructure is fragmented — reaching smallholder farmers across dispersed rural geographies requires field agent networks, cooperative partnerships, or digital-only distribution that each have different reach and cost profiles.",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"Climate risk is increasing agricultural credit default rates — extreme weather events are creating crop failures that affect farmer repayment ability, requiring sophisticated climate risk integration into credit models."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"Farmer demand and credit behaviour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farmer willingness to use digital financial services and what credit, insurance, and payment products they need and will repay.",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lending licence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agricultural lending licensing, microfinance regulatory requirements, and rural credit regulations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partner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agricultural cooperatives, input suppliers, microfinance institutions, and mobile money providers as farmer distribution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agricultural fintech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farmer credit, harvest finance, or rural financial services product and need a go-to-market strategy covering farmer and agribusiness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 xml:space="preserve">-fintech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farmer demand data, credit performance benchmarks,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subsidy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identify government agricultural credit programmes, rural financial inclusion schemes, and digital agriculture investments that support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deployment."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farmer demand for agricultural financial services in a new market. Covers farmer surveys, cooperative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investments. Covers farmer adoption modelling, credit loss assumptions, distribution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companies. Regulatory licensing pathway, distribution partner identification, farmer ICP, and first-loan-disbursement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platforms. Cooperative and input supplier outreach, government programme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ventures. Farmer-demand-validated market sizing, credit performance benchmarks,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agricultural fintech — from satellite-based credit scoring and crop health monitoring to dynamic credit limit management and automated repayment collection."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farmer credit companies or also with agricultural payment systems and rural savings platforms?|All three. We work with farmer credit and harvest finance companies on market entry, agricultural payment systems on GTM and market entry, and rural savings platforms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markets does GreyRadius cover?|South Asia, Southeast Asia, and Africa — markets with the largest smallholder farmer populations and most significant agricultural finance gaps.",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market entry engagement take?|Typically 8–12 weeks for farmer demand research, regulatory mapping, and distribution partner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agricultural cooperative and government programme partners for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companies?|Yes. Distribution partner and government programme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"agricultural fintech market entry, farmer finance GTM strategy, rural credit consulting,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 xml:space="preserve"> fintech advisory, farm lending market entry, agricultural finance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 Asia, Southeast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"$170B+",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agricultural finance gap globally",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"Smallholder farmers worldwide lack sufficient access to formal credit, insurance, and savings that could significantly improve agricultural productivity.",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w:t>
      </w:r>
      <w:proofErr w:type="spellStart"/>
      <w:r>
        <w:rPr>
          <w:rFonts w:ascii="Courier New" w:eastAsia="Courier New" w:hAnsi="Courier New" w:cs="Courier New"/>
          <w:color w:val="1B2A4A"/>
          <w:sz w:val="16"/>
          <w:szCs w:val="16"/>
        </w:rPr>
        <w:t>agri</w:t>
      </w:r>
      <w:proofErr w:type="spellEnd"/>
      <w:r>
        <w:rPr>
          <w:rFonts w:ascii="Courier New" w:eastAsia="Courier New" w:hAnsi="Courier New" w:cs="Courier New"/>
          <w:color w:val="1B2A4A"/>
          <w:sz w:val="16"/>
          <w:szCs w:val="16"/>
        </w:rPr>
        <w:t>-fintech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"Farmers, cooperative managers, and government agricultural programme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farmer demand research and distribution mapping delivers agricultural fintech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medtech</w:t>
      </w:r>
      <w:proofErr w:type="spellEnd"/>
      <w:r>
        <w:rPr>
          <w:rFonts w:ascii="Courier New" w:eastAsia="Courier New" w:hAnsi="Courier New" w:cs="Courier New"/>
          <w:color w:val="1B2A4A"/>
          <w:sz w:val="16"/>
          <w:szCs w:val="16"/>
        </w:rPr>
        <w:t>-diagnostics-ai",</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"diagnostics",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"AI-Powered Diagnostics &amp; Pathology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AI diagnostics companies, computational pathology businesses, and medical AI platform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"AI-powered diagnostics and pathology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trained model to clinical deployment — strategy for AI diagnostics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"AI-powered diagnostics is transforming clinical medicine — with computational pathology, AI radiology, AI dermatology, and AI ophthalmology all demonstrating clinical performance comparable to specialists in specific diagnostic tasks. AI diagnostics companies are expanding into Southeast Asia, South Asia, and the Gulf as healthcare system staffing shortfalls, AI regulatory approval acceleration, and hospital technology investment create commercial deployment conditions. GreyRadius helps AI diagnostics businesses validate clinical demand, navigate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regulatory pathways,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"Diagnostic workforce shortages are the primary AI diagnostics driver — the WHO estimates a shortage of 2.4 million healthcare workers by 2030, with pathologists and radiologists among the most acutely shortage-affected specialties. Markets with the largest diagnostic staffing gaps offer the most compelling AI diagnostics value propositions. Regulatory approval for AI medical devices is accelerating — CDSCO in India, HSA in Singapore, and Gulf health authorities are all establishing clearer AI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pathways.",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diagnostics market is projected to reach $45B by 2030 — growing at 45% annually as clinical validation accumulates, regulatory approvals accelerate, and hospital technology investment increases.",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radiology is achieving clinical deployment scale — AI systems for chest X-ray, CT scan, and MRI interpretation are commercially deployed in thousands of hospitals globally and achieving reimbursement in multiple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"Computational pathology is reaching commercial deployment — whole slide imaging combined with AI analysis is reducing pathology turnaround time by 50%+ and improving diagnostic consistency.",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ophthalmology is achieving remarkable commercial success — AI systems for diabetic retinopathy screening are commercially deployed at scale in India, China, and several Southeast Asian markets with strong clinical evidence."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regulatory pathway varies by market — AI diagnostic tools face different classification, clinical evidence, and approval requirements across FDA, CE, CDSCO, NMPA, and other regulatory frameworks.",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"Hospital EMR and PACS integration is complex — AI diagnostic tools must integrate with hospital information systems that vary significantly by institution and vendor.",</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champion development is critical — AI diagnostics adoption requires clinician champions who have validated the technology and advocate for it within hospital networks.",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for AI diagnostics is still developing — while clinical evidence is accumulating, insurance and government payer coverage for AI-interpreted diagnostics is not yet established in most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and hospital system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clinical specialties and hospital systems are actively seeking AI diagnostic tools and what evidence and integration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regulatory classification and </w:t>
      </w:r>
      <w:proofErr w:type="spellStart"/>
      <w:r>
        <w:rPr>
          <w:rFonts w:ascii="Courier New" w:eastAsia="Courier New" w:hAnsi="Courier New" w:cs="Courier New"/>
          <w:color w:val="1B2A4A"/>
          <w:sz w:val="16"/>
          <w:szCs w:val="16"/>
        </w:rPr>
        <w:t>approval|You</w:t>
      </w:r>
      <w:proofErr w:type="spellEnd"/>
      <w:r>
        <w:rPr>
          <w:rFonts w:ascii="Courier New" w:eastAsia="Courier New" w:hAnsi="Courier New" w:cs="Courier New"/>
          <w:color w:val="1B2A4A"/>
          <w:sz w:val="16"/>
          <w:szCs w:val="16"/>
        </w:rPr>
        <w:t xml:space="preserve"> need to understand how your AI diagnostic tool is classified and what clinical performance data and regulatory approval processes apply in each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KOL and hospital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radiology departments, pathology networks, and clinical AI champions as validation and early adoption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AI diagnostics </w:t>
      </w:r>
      <w:proofErr w:type="spellStart"/>
      <w:r>
        <w:rPr>
          <w:rFonts w:ascii="Courier New" w:eastAsia="Courier New" w:hAnsi="Courier New" w:cs="Courier New"/>
          <w:color w:val="1B2A4A"/>
          <w:sz w:val="16"/>
          <w:szCs w:val="16"/>
        </w:rPr>
        <w:t>company|You</w:t>
      </w:r>
      <w:proofErr w:type="spellEnd"/>
      <w:r>
        <w:rPr>
          <w:rFonts w:ascii="Courier New" w:eastAsia="Courier New" w:hAnsi="Courier New" w:cs="Courier New"/>
          <w:color w:val="1B2A4A"/>
          <w:sz w:val="16"/>
          <w:szCs w:val="16"/>
        </w:rPr>
        <w:t xml:space="preserve"> have an AI radiology, pathology, or diagnostic tool and need a go-to-market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AI diagnostics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clinical validation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and payer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develop a reimbursement pathway strategy for each target market to enable payer-supported hospital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for AI diagnostics in a new market. Covers specialist physician and hospital administrator interviews,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regulatory mapping, reimbursement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AI diagnostics investments. Covers hospital adoption modelling, integration cost, revenue model,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AI diagnostics companies. Regulatory pathway, KOL identification, hospital ICP, and first-clinical-deployment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AI diagnostics platforms. Hospital and laboratory outreach, clinical champion engagement, and first-commercial-deployment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AI diagnostics ventures. Clinical-demand-validated market sizing, regulatory approval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 identifying which diagnostic applications offer the fastest path to regulatory approval, clinical adoption, and commercial deployment in each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radiology companies or also with AI pathology, AI ophthalmology, and AI dermatology companies?|All diagnostic specialties. We work with AI radiology, pathology, ophthalmology, dermatology, and multi-modal AI diagnostics companies across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AI diagnostics markets does GreyRadius cover?|Southeast Asia, South Asia, and the Gulf — markets with significant diagnostic workforce shortages and growing hospital AI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AI diagnostics market entry engagement take?|Typically 8–12 weeks for clinical demand research,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regulatory mapping, and reimbursement landscape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clinical champion hospitals for AI diagnostics companies?|Yes. Clinical KOL and reference hospital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"AI diagnostics market entry, computational pathology GTM strategy, AI radiology consulting, medical AI advisory, AI medical device market entry, clinical AI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"$45B+",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"AI diagnostics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45% annually as clinical validation accumulates, regulatory approvals accelerate, and hospital AI investment increases.",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AI diagnostics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"Radiologists, pathologists, and hospital administrators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regulatory mapping and clinical demand research delivers AI diagnostics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w:t>
      </w:r>
    </w:p>
    <w:p w:rsidR="00BF3CE7" w:rsidRDefault="00BF3CE7">
      <w:pPr>
        <w:pBdr>
          <w:bottom w:val="single" w:sz="8" w:space="1" w:color="1B2A4A"/>
        </w:pBdr>
        <w:spacing w:before="200" w:after="200"/>
      </w:pPr>
    </w:p>
    <w:p w:rsidR="00BF3CE7" w:rsidRDefault="00000000">
      <w:pPr>
        <w:pStyle w:val="Heading1"/>
      </w:pPr>
      <w:r>
        <w:t>Milestone reached — 180 pages complete</w:t>
      </w:r>
    </w:p>
    <w:p w:rsidR="00BF3CE7" w:rsidRDefault="00000000">
      <w:pPr>
        <w:spacing w:before="60" w:after="60"/>
      </w:pPr>
      <w:r>
        <w:rPr>
          <w:color w:val="222222"/>
        </w:rPr>
        <w:t>With this batch the GreyRadius SEO architecture reaches 180 fully written pages. This represents:</w:t>
      </w:r>
    </w:p>
    <w:p w:rsidR="00BF3CE7" w:rsidRDefault="00000000">
      <w:pPr>
        <w:pStyle w:val="ListParagraph"/>
        <w:numPr>
          <w:ilvl w:val="0"/>
          <w:numId w:val="2"/>
        </w:numPr>
        <w:spacing w:before="40" w:after="40"/>
      </w:pPr>
      <w:r>
        <w:rPr>
          <w:color w:val="222222"/>
        </w:rPr>
        <w:t>12 Tier 1 industry vertical pages</w:t>
      </w:r>
    </w:p>
    <w:p w:rsidR="00BF3CE7" w:rsidRDefault="00000000">
      <w:pPr>
        <w:pStyle w:val="ListParagraph"/>
        <w:numPr>
          <w:ilvl w:val="0"/>
          <w:numId w:val="2"/>
        </w:numPr>
        <w:spacing w:before="40" w:after="40"/>
      </w:pPr>
      <w:r>
        <w:rPr>
          <w:color w:val="222222"/>
        </w:rPr>
        <w:t>51+ Tier 2 sub-sector pages</w:t>
      </w:r>
    </w:p>
    <w:p w:rsidR="00BF3CE7" w:rsidRDefault="00000000">
      <w:pPr>
        <w:pStyle w:val="ListParagraph"/>
        <w:numPr>
          <w:ilvl w:val="0"/>
          <w:numId w:val="2"/>
        </w:numPr>
        <w:spacing w:before="40" w:after="40"/>
      </w:pPr>
      <w:r>
        <w:rPr>
          <w:color w:val="222222"/>
        </w:rPr>
        <w:t>117+ Tier 3 long-tail market pages</w:t>
      </w:r>
    </w:p>
    <w:p w:rsidR="00BF3CE7" w:rsidRDefault="00000000">
      <w:pPr>
        <w:spacing w:before="60" w:after="60"/>
      </w:pPr>
      <w:r>
        <w:rPr>
          <w:color w:val="222222"/>
        </w:rPr>
        <w:t>To continue toward the 300-400 page target, start a new session and say Batch 9. Remaining high-priority pages include:</w:t>
      </w:r>
    </w:p>
    <w:p w:rsidR="00BF3CE7" w:rsidRDefault="00000000">
      <w:pPr>
        <w:pStyle w:val="ListParagraph"/>
        <w:numPr>
          <w:ilvl w:val="0"/>
          <w:numId w:val="2"/>
        </w:numPr>
        <w:spacing w:before="40" w:after="40"/>
      </w:pPr>
      <w:r>
        <w:rPr>
          <w:color w:val="222222"/>
        </w:rPr>
        <w:t xml:space="preserve">Tier 3 additions: Digital Payments Infrastructure, B2B SaaS for Emerging Markets, Healthcare AI Platforms, </w:t>
      </w:r>
      <w:proofErr w:type="spellStart"/>
      <w:r>
        <w:rPr>
          <w:color w:val="222222"/>
        </w:rPr>
        <w:t>GovTech</w:t>
      </w:r>
      <w:proofErr w:type="spellEnd"/>
      <w:r>
        <w:rPr>
          <w:color w:val="222222"/>
        </w:rPr>
        <w:t>, Community Solar, Battery Recycling, Agricultural Drones, Sports Tech, Creator Commerce, Islamic Economy Platforms</w:t>
      </w:r>
    </w:p>
    <w:p w:rsidR="00BF3CE7" w:rsidRDefault="00000000">
      <w:pPr>
        <w:pStyle w:val="ListParagraph"/>
        <w:numPr>
          <w:ilvl w:val="0"/>
          <w:numId w:val="2"/>
        </w:numPr>
        <w:spacing w:before="40" w:after="40"/>
      </w:pPr>
      <w:r>
        <w:rPr>
          <w:color w:val="222222"/>
        </w:rPr>
        <w:t>Tier 3 additions: Regional entry pages — India market entry, Southeast Asia market entry, Gulf market entry, Africa market entry — high search volume, high commercial intent</w:t>
      </w:r>
    </w:p>
    <w:p w:rsidR="00BF3CE7" w:rsidRDefault="00000000">
      <w:pPr>
        <w:spacing w:before="400"/>
      </w:pPr>
      <w:r>
        <w:rPr>
          <w:i/>
          <w:iCs/>
          <w:color w:val="666666"/>
          <w:sz w:val="16"/>
          <w:szCs w:val="16"/>
        </w:rPr>
        <w:t>GreyRadius Consulting | SEO Build Pack Batches 6-7-8 | May 2026 | Confidential</w:t>
      </w:r>
    </w:p>
    <w:sectPr w:rsidR="00BF3CE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E5F30"/>
    <w:multiLevelType w:val="hybridMultilevel"/>
    <w:tmpl w:val="15CC9BF4"/>
    <w:lvl w:ilvl="0" w:tplc="7A20AB2E">
      <w:start w:val="1"/>
      <w:numFmt w:val="bullet"/>
      <w:lvlText w:val="●"/>
      <w:lvlJc w:val="left"/>
      <w:pPr>
        <w:ind w:left="720" w:hanging="360"/>
      </w:pPr>
    </w:lvl>
    <w:lvl w:ilvl="1" w:tplc="B3263912">
      <w:start w:val="1"/>
      <w:numFmt w:val="bullet"/>
      <w:lvlText w:val="○"/>
      <w:lvlJc w:val="left"/>
      <w:pPr>
        <w:ind w:left="1440" w:hanging="360"/>
      </w:pPr>
    </w:lvl>
    <w:lvl w:ilvl="2" w:tplc="C4DA8700">
      <w:start w:val="1"/>
      <w:numFmt w:val="bullet"/>
      <w:lvlText w:val="■"/>
      <w:lvlJc w:val="left"/>
      <w:pPr>
        <w:ind w:left="2160" w:hanging="360"/>
      </w:pPr>
    </w:lvl>
    <w:lvl w:ilvl="3" w:tplc="907686CE">
      <w:start w:val="1"/>
      <w:numFmt w:val="bullet"/>
      <w:lvlText w:val="●"/>
      <w:lvlJc w:val="left"/>
      <w:pPr>
        <w:ind w:left="2880" w:hanging="360"/>
      </w:pPr>
    </w:lvl>
    <w:lvl w:ilvl="4" w:tplc="F1D66536">
      <w:start w:val="1"/>
      <w:numFmt w:val="bullet"/>
      <w:lvlText w:val="○"/>
      <w:lvlJc w:val="left"/>
      <w:pPr>
        <w:ind w:left="3600" w:hanging="360"/>
      </w:pPr>
    </w:lvl>
    <w:lvl w:ilvl="5" w:tplc="226AC0A8">
      <w:start w:val="1"/>
      <w:numFmt w:val="bullet"/>
      <w:lvlText w:val="■"/>
      <w:lvlJc w:val="left"/>
      <w:pPr>
        <w:ind w:left="4320" w:hanging="360"/>
      </w:pPr>
    </w:lvl>
    <w:lvl w:ilvl="6" w:tplc="5F501184">
      <w:start w:val="1"/>
      <w:numFmt w:val="bullet"/>
      <w:lvlText w:val="●"/>
      <w:lvlJc w:val="left"/>
      <w:pPr>
        <w:ind w:left="5040" w:hanging="360"/>
      </w:pPr>
    </w:lvl>
    <w:lvl w:ilvl="7" w:tplc="7526C964">
      <w:start w:val="1"/>
      <w:numFmt w:val="bullet"/>
      <w:lvlText w:val="●"/>
      <w:lvlJc w:val="left"/>
      <w:pPr>
        <w:ind w:left="5760" w:hanging="360"/>
      </w:pPr>
    </w:lvl>
    <w:lvl w:ilvl="8" w:tplc="B262D706">
      <w:start w:val="1"/>
      <w:numFmt w:val="bullet"/>
      <w:lvlText w:val="●"/>
      <w:lvlJc w:val="left"/>
      <w:pPr>
        <w:ind w:left="6480" w:hanging="360"/>
      </w:pPr>
    </w:lvl>
  </w:abstractNum>
  <w:abstractNum w:abstractNumId="1" w15:restartNumberingAfterBreak="0">
    <w:nsid w:val="67BE285A"/>
    <w:multiLevelType w:val="hybridMultilevel"/>
    <w:tmpl w:val="695C8A70"/>
    <w:lvl w:ilvl="0" w:tplc="4DC4DA6A">
      <w:start w:val="1"/>
      <w:numFmt w:val="bullet"/>
      <w:lvlText w:val="•"/>
      <w:lvlJc w:val="left"/>
      <w:pPr>
        <w:ind w:left="720" w:hanging="360"/>
      </w:pPr>
    </w:lvl>
    <w:lvl w:ilvl="1" w:tplc="95125988">
      <w:numFmt w:val="decimal"/>
      <w:lvlText w:val=""/>
      <w:lvlJc w:val="left"/>
    </w:lvl>
    <w:lvl w:ilvl="2" w:tplc="2474EB9E">
      <w:numFmt w:val="decimal"/>
      <w:lvlText w:val=""/>
      <w:lvlJc w:val="left"/>
    </w:lvl>
    <w:lvl w:ilvl="3" w:tplc="B27A7A7E">
      <w:numFmt w:val="decimal"/>
      <w:lvlText w:val=""/>
      <w:lvlJc w:val="left"/>
    </w:lvl>
    <w:lvl w:ilvl="4" w:tplc="B2CE29AE">
      <w:numFmt w:val="decimal"/>
      <w:lvlText w:val=""/>
      <w:lvlJc w:val="left"/>
    </w:lvl>
    <w:lvl w:ilvl="5" w:tplc="61BCE6E4">
      <w:numFmt w:val="decimal"/>
      <w:lvlText w:val=""/>
      <w:lvlJc w:val="left"/>
    </w:lvl>
    <w:lvl w:ilvl="6" w:tplc="7F06A21A">
      <w:numFmt w:val="decimal"/>
      <w:lvlText w:val=""/>
      <w:lvlJc w:val="left"/>
    </w:lvl>
    <w:lvl w:ilvl="7" w:tplc="55FE53C0">
      <w:numFmt w:val="decimal"/>
      <w:lvlText w:val=""/>
      <w:lvlJc w:val="left"/>
    </w:lvl>
    <w:lvl w:ilvl="8" w:tplc="75803A00">
      <w:numFmt w:val="decimal"/>
      <w:lvlText w:val=""/>
      <w:lvlJc w:val="left"/>
    </w:lvl>
  </w:abstractNum>
  <w:num w:numId="1" w16cid:durableId="834958803">
    <w:abstractNumId w:val="0"/>
    <w:lvlOverride w:ilvl="0">
      <w:startOverride w:val="1"/>
    </w:lvlOverride>
  </w:num>
  <w:num w:numId="2" w16cid:durableId="1971085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CE7"/>
    <w:rsid w:val="002F37DE"/>
    <w:rsid w:val="00690152"/>
    <w:rsid w:val="00BF3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23CB643C-02E9-5E4F-AB6A-16DC3145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24368</Words>
  <Characters>138899</Characters>
  <Application>Microsoft Office Word</Application>
  <DocSecurity>0</DocSecurity>
  <Lines>1157</Lines>
  <Paragraphs>325</Paragraphs>
  <ScaleCrop>false</ScaleCrop>
  <Company/>
  <LinksUpToDate>false</LinksUpToDate>
  <CharactersWithSpaces>162942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2026-06-03T05:20:00Z</dcterms:created>
  <dcterms:modified xsi:type="dcterms:W3CDTF">2026-06-03T05:20:00Z</dcterms:modified>
</cp:coreProperties>
</file>