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2"/>
          <w:szCs w:val="52"/>
        </w:rPr>
        <w:t xml:space="preserve">GREYRADIUS CONSULTING</w:t>
      </w:r>
    </w:p>
    <w:p>
      <w:pPr>
        <w:spacing w:after="80" w:before="0"/>
      </w:pPr>
      <w:r>
        <w:rPr>
          <w:rFonts w:ascii="Arial" w:cs="Arial" w:eastAsia="Arial" w:hAnsi="Arial"/>
          <w:color w:val="E8612C"/>
          <w:sz w:val="30"/>
          <w:szCs w:val="30"/>
        </w:rPr>
        <w:t xml:space="preserve">SEO Build Pack — Batches 6-7-8 Completion (Missing 39 pages)</w:t>
      </w:r>
    </w:p>
    <w:p>
      <w:pPr>
        <w:spacing w:after="600" w:before="0"/>
      </w:pPr>
      <w:r>
        <w:rPr>
          <w:rFonts w:ascii="Arial" w:cs="Arial" w:eastAsia="Arial" w:hAnsi="Arial"/>
          <w:i/>
          <w:iCs/>
          <w:color w:val="666666"/>
          <w:sz w:val="20"/>
          <w:szCs w:val="20"/>
        </w:rPr>
        <w:t xml:space="preserve">39 pages completing the 60-page batch · Replit prompt · JSON appendix | May 2026 | Confidential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What this document fixes</w:t>
      </w:r>
    </w:p>
    <w:p>
      <w:pPr>
        <w:spacing w:after="60" w:before="60"/>
      </w:pPr>
      <w:r>
        <w:rPr>
          <w:rFonts w:ascii="Arial" w:cs="Arial" w:eastAsia="Arial" w:hAnsi="Arial"/>
          <w:color w:val="222222"/>
          <w:sz w:val="20"/>
          <w:szCs w:val="20"/>
        </w:rPr>
        <w:t xml:space="preserve">The previous Batches 6-7-8 document had 21 pages written in the JSON but the cover said 60. This document provides the missing 39 pages.</w:t>
      </w:r>
    </w:p>
    <w:p>
      <w:pPr>
        <w:spacing w:after="60" w:before="60"/>
      </w:pPr>
      <w:r>
        <w:rPr>
          <w:rFonts w:ascii="Arial" w:cs="Arial" w:eastAsia="Arial" w:hAnsi="Arial"/>
          <w:color w:val="222222"/>
          <w:sz w:val="20"/>
          <w:szCs w:val="20"/>
        </w:rPr>
        <w:t xml:space="preserve">After running this batch, the total across all batches will be:</w:t>
      </w:r>
    </w:p>
    <w:p>
      <w:pPr>
        <w:pStyle w:val="ListParagraph"/>
        <w:numPr>
          <w:ilvl w:val="0"/>
          <w:numId w:val="2"/>
        </w:numPr>
        <w:spacing w:after="40" w:before="40"/>
      </w:pPr>
      <w:r>
        <w:rPr>
          <w:rFonts w:ascii="Arial" w:cs="Arial" w:eastAsia="Arial" w:hAnsi="Arial"/>
          <w:color w:val="222222"/>
          <w:sz w:val="20"/>
          <w:szCs w:val="20"/>
        </w:rPr>
        <w:t xml:space="preserve">Batch 1 + 1B: pages 1-40 (40 pages)</w:t>
      </w:r>
    </w:p>
    <w:p>
      <w:pPr>
        <w:pStyle w:val="ListParagraph"/>
        <w:numPr>
          <w:ilvl w:val="0"/>
          <w:numId w:val="2"/>
        </w:numPr>
        <w:spacing w:after="40" w:before="40"/>
      </w:pPr>
      <w:r>
        <w:rPr>
          <w:rFonts w:ascii="Arial" w:cs="Arial" w:eastAsia="Arial" w:hAnsi="Arial"/>
          <w:color w:val="222222"/>
          <w:sz w:val="20"/>
          <w:szCs w:val="20"/>
        </w:rPr>
        <w:t xml:space="preserve">Batch 2+3+4+5: pages 41-120 (80 pages)</w:t>
      </w:r>
    </w:p>
    <w:p>
      <w:pPr>
        <w:pStyle w:val="ListParagraph"/>
        <w:numPr>
          <w:ilvl w:val="0"/>
          <w:numId w:val="2"/>
        </w:numPr>
        <w:spacing w:after="40" w:before="40"/>
      </w:pPr>
      <w:r>
        <w:rPr>
          <w:rFonts w:ascii="Arial" w:cs="Arial" w:eastAsia="Arial" w:hAnsi="Arial"/>
          <w:color w:val="222222"/>
          <w:sz w:val="20"/>
          <w:szCs w:val="20"/>
        </w:rPr>
        <w:t xml:space="preserve">Batch 678 original: 21 pages</w:t>
      </w:r>
    </w:p>
    <w:p>
      <w:pPr>
        <w:pStyle w:val="ListParagraph"/>
        <w:numPr>
          <w:ilvl w:val="0"/>
          <w:numId w:val="2"/>
        </w:numPr>
        <w:spacing w:after="40" w:before="40"/>
      </w:pPr>
      <w:r>
        <w:rPr>
          <w:rFonts w:ascii="Arial" w:cs="Arial" w:eastAsia="Arial" w:hAnsi="Arial"/>
          <w:color w:val="222222"/>
          <w:sz w:val="20"/>
          <w:szCs w:val="20"/>
        </w:rPr>
        <w:t xml:space="preserve">Batch 678b (this document): 39 pages</w:t>
      </w:r>
    </w:p>
    <w:p>
      <w:pPr>
        <w:pStyle w:val="ListParagraph"/>
        <w:numPr>
          <w:ilvl w:val="0"/>
          <w:numId w:val="2"/>
        </w:numPr>
        <w:spacing w:after="40" w:before="40"/>
      </w:pPr>
      <w:r>
        <w:rPr>
          <w:rFonts w:ascii="Arial" w:cs="Arial" w:eastAsia="Arial" w:hAnsi="Arial"/>
          <w:color w:val="222222"/>
          <w:sz w:val="20"/>
          <w:szCs w:val="20"/>
        </w:rPr>
        <w:t xml:space="preserve">Total: 180 pages fully written and built</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Pages in this completion document (39 pages)</w:t>
      </w:r>
    </w:p>
    <w:p>
      <w:pPr>
        <w:pStyle w:val="ListParagraph"/>
        <w:numPr>
          <w:ilvl w:val="0"/>
          <w:numId w:val="2"/>
        </w:numPr>
        <w:spacing w:after="40" w:before="40"/>
      </w:pPr>
      <w:r>
        <w:rPr>
          <w:rFonts w:ascii="Arial" w:cs="Arial" w:eastAsia="Arial" w:hAnsi="Arial"/>
          <w:color w:val="222222"/>
          <w:sz w:val="20"/>
          <w:szCs w:val="20"/>
        </w:rPr>
        <w:t xml:space="preserve">1. [Tier 3] GovTech and government technology market entry strategy</w:t>
      </w:r>
    </w:p>
    <w:p>
      <w:pPr>
        <w:pStyle w:val="ListParagraph"/>
        <w:numPr>
          <w:ilvl w:val="0"/>
          <w:numId w:val="2"/>
        </w:numPr>
        <w:spacing w:after="40" w:before="40"/>
      </w:pPr>
      <w:r>
        <w:rPr>
          <w:rFonts w:ascii="Arial" w:cs="Arial" w:eastAsia="Arial" w:hAnsi="Arial"/>
          <w:color w:val="222222"/>
          <w:sz w:val="20"/>
          <w:szCs w:val="20"/>
        </w:rPr>
        <w:t xml:space="preserve">2. [Tier 3] Battery recycling and second life market entry strategy</w:t>
      </w:r>
    </w:p>
    <w:p>
      <w:pPr>
        <w:pStyle w:val="ListParagraph"/>
        <w:numPr>
          <w:ilvl w:val="0"/>
          <w:numId w:val="2"/>
        </w:numPr>
        <w:spacing w:after="40" w:before="40"/>
      </w:pPr>
      <w:r>
        <w:rPr>
          <w:rFonts w:ascii="Arial" w:cs="Arial" w:eastAsia="Arial" w:hAnsi="Arial"/>
          <w:color w:val="222222"/>
          <w:sz w:val="20"/>
          <w:szCs w:val="20"/>
        </w:rPr>
        <w:t xml:space="preserve">3. [Tier 3] Agricultural drone market entry strategy</w:t>
      </w:r>
    </w:p>
    <w:p>
      <w:pPr>
        <w:pStyle w:val="ListParagraph"/>
        <w:numPr>
          <w:ilvl w:val="0"/>
          <w:numId w:val="2"/>
        </w:numPr>
        <w:spacing w:after="40" w:before="40"/>
      </w:pPr>
      <w:r>
        <w:rPr>
          <w:rFonts w:ascii="Arial" w:cs="Arial" w:eastAsia="Arial" w:hAnsi="Arial"/>
          <w:color w:val="222222"/>
          <w:sz w:val="20"/>
          <w:szCs w:val="20"/>
        </w:rPr>
        <w:t xml:space="preserve">4. [Tier 3] Digital payments infrastructure market entry strategy</w:t>
      </w:r>
    </w:p>
    <w:p>
      <w:pPr>
        <w:pStyle w:val="ListParagraph"/>
        <w:numPr>
          <w:ilvl w:val="0"/>
          <w:numId w:val="2"/>
        </w:numPr>
        <w:spacing w:after="40" w:before="40"/>
      </w:pPr>
      <w:r>
        <w:rPr>
          <w:rFonts w:ascii="Arial" w:cs="Arial" w:eastAsia="Arial" w:hAnsi="Arial"/>
          <w:color w:val="222222"/>
          <w:sz w:val="20"/>
          <w:szCs w:val="20"/>
        </w:rPr>
        <w:t xml:space="preserve">5. [Tier 3] India market entry strategy</w:t>
      </w:r>
    </w:p>
    <w:p>
      <w:pPr>
        <w:pStyle w:val="ListParagraph"/>
        <w:numPr>
          <w:ilvl w:val="0"/>
          <w:numId w:val="2"/>
        </w:numPr>
        <w:spacing w:after="40" w:before="40"/>
      </w:pPr>
      <w:r>
        <w:rPr>
          <w:rFonts w:ascii="Arial" w:cs="Arial" w:eastAsia="Arial" w:hAnsi="Arial"/>
          <w:color w:val="222222"/>
          <w:sz w:val="20"/>
          <w:szCs w:val="20"/>
        </w:rPr>
        <w:t xml:space="preserve">6. [Tier 3] Southeast Asia market entry strategy</w:t>
      </w:r>
    </w:p>
    <w:p>
      <w:pPr>
        <w:pStyle w:val="ListParagraph"/>
        <w:numPr>
          <w:ilvl w:val="0"/>
          <w:numId w:val="2"/>
        </w:numPr>
        <w:spacing w:after="40" w:before="40"/>
      </w:pPr>
      <w:r>
        <w:rPr>
          <w:rFonts w:ascii="Arial" w:cs="Arial" w:eastAsia="Arial" w:hAnsi="Arial"/>
          <w:color w:val="222222"/>
          <w:sz w:val="20"/>
          <w:szCs w:val="20"/>
        </w:rPr>
        <w:t xml:space="preserve">7. [Tier 3] Gulf and Middle East market entry strategy</w:t>
      </w:r>
    </w:p>
    <w:p>
      <w:pPr>
        <w:pStyle w:val="ListParagraph"/>
        <w:numPr>
          <w:ilvl w:val="0"/>
          <w:numId w:val="2"/>
        </w:numPr>
        <w:spacing w:after="40" w:before="40"/>
      </w:pPr>
      <w:r>
        <w:rPr>
          <w:rFonts w:ascii="Arial" w:cs="Arial" w:eastAsia="Arial" w:hAnsi="Arial"/>
          <w:color w:val="222222"/>
          <w:sz w:val="20"/>
          <w:szCs w:val="20"/>
        </w:rPr>
        <w:t xml:space="preserve">8. [Tier 3] Africa market entry strategy</w:t>
      </w:r>
    </w:p>
    <w:p>
      <w:pPr>
        <w:pStyle w:val="ListParagraph"/>
        <w:numPr>
          <w:ilvl w:val="0"/>
          <w:numId w:val="2"/>
        </w:numPr>
        <w:spacing w:after="40" w:before="40"/>
      </w:pPr>
      <w:r>
        <w:rPr>
          <w:rFonts w:ascii="Arial" w:cs="Arial" w:eastAsia="Arial" w:hAnsi="Arial"/>
          <w:color w:val="222222"/>
          <w:sz w:val="20"/>
          <w:szCs w:val="20"/>
        </w:rPr>
        <w:t xml:space="preserve">9. [Tier 3] Islamic economy platform market entry strategy</w:t>
      </w:r>
    </w:p>
    <w:p>
      <w:pPr>
        <w:pStyle w:val="ListParagraph"/>
        <w:numPr>
          <w:ilvl w:val="0"/>
          <w:numId w:val="2"/>
        </w:numPr>
        <w:spacing w:after="40" w:before="40"/>
      </w:pPr>
      <w:r>
        <w:rPr>
          <w:rFonts w:ascii="Arial" w:cs="Arial" w:eastAsia="Arial" w:hAnsi="Arial"/>
          <w:color w:val="222222"/>
          <w:sz w:val="20"/>
          <w:szCs w:val="20"/>
        </w:rPr>
        <w:t xml:space="preserve">10. [Tier 3] Sports technology market entry strategy</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Replit prompt — paste to build these 39 pages</w:t>
      </w:r>
    </w:p>
    <w:p>
      <w:pPr>
        <w:spacing w:after="60" w:before="60"/>
      </w:pPr>
      <w:r>
        <w:rPr>
          <w:rFonts w:ascii="Arial" w:cs="Arial" w:eastAsia="Arial" w:hAnsi="Arial"/>
          <w:i/>
          <w:iCs/>
          <w:color w:val="666666"/>
          <w:sz w:val="18"/>
          <w:szCs w:val="18"/>
        </w:rPr>
        <w:t xml:space="preserve">Paste into Replit AI. Template and previous pages already exist.</w:t>
      </w:r>
    </w:p>
    <w:p>
      <w:pPr>
        <w:spacing w:after="80" w:before="80"/>
      </w:pP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You are adding the remaining 39 pages from Batches 6-7-8.</w:t>
      </w:r>
    </w:p>
    <w:p>
      <w:pPr>
        <w:shd w:fill="F0F0F0" w:val="clear"/>
        <w:spacing w:after="14" w:before="14"/>
        <w:ind w:left="360"/>
      </w:pPr>
      <w:r>
        <w:rPr>
          <w:rFonts w:ascii="Courier New" w:cs="Courier New" w:eastAsia="Courier New" w:hAnsi="Courier New"/>
          <w:color w:val="1B2A4A"/>
          <w:sz w:val="16"/>
          <w:szCs w:val="16"/>
        </w:rPr>
        <w:t xml:space="preserve">The first 21 pages from this batch already exist.</w:t>
      </w:r>
    </w:p>
    <w:p>
      <w:pPr>
        <w:shd w:fill="F0F0F0" w:val="clear"/>
        <w:spacing w:after="14" w:before="14"/>
        <w:ind w:left="360"/>
      </w:pPr>
      <w:r>
        <w:rPr>
          <w:rFonts w:ascii="Courier New" w:cs="Courier New" w:eastAsia="Courier New" w:hAnsi="Courier New"/>
          <w:color w:val="1B2A4A"/>
          <w:sz w:val="16"/>
          <w:szCs w:val="16"/>
        </w:rPr>
        <w:t xml:space="preserve">The template exists at templates/industry-page-template.html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1: Confirm data/industry-pages-batch678b.json exists.</w:t>
      </w:r>
    </w:p>
    <w:p>
      <w:pPr>
        <w:shd w:fill="F0F0F0" w:val="clear"/>
        <w:spacing w:after="14" w:before="14"/>
        <w:ind w:left="360"/>
      </w:pPr>
      <w:r>
        <w:rPr>
          <w:rFonts w:ascii="Courier New" w:cs="Courier New" w:eastAsia="Courier New" w:hAnsi="Courier New"/>
          <w:color w:val="1B2A4A"/>
          <w:sz w:val="16"/>
          <w:szCs w:val="16"/>
        </w:rPr>
        <w:t xml:space="preserve">If not, stop and tell me.</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2: For each entry in data/industry-pages-batch678b.json,</w:t>
      </w:r>
    </w:p>
    <w:p>
      <w:pPr>
        <w:shd w:fill="F0F0F0" w:val="clear"/>
        <w:spacing w:after="14" w:before="14"/>
        <w:ind w:left="360"/>
      </w:pPr>
      <w:r>
        <w:rPr>
          <w:rFonts w:ascii="Courier New" w:cs="Courier New" w:eastAsia="Courier New" w:hAnsi="Courier New"/>
          <w:color w:val="1B2A4A"/>
          <w:sz w:val="16"/>
          <w:szCs w:val="16"/>
        </w:rPr>
        <w:t xml:space="preserve">determine output path:</w:t>
      </w:r>
    </w:p>
    <w:p>
      <w:pPr>
        <w:shd w:fill="F0F0F0" w:val="clear"/>
        <w:spacing w:after="14" w:before="14"/>
        <w:ind w:left="360"/>
      </w:pPr>
      <w:r>
        <w:rPr>
          <w:rFonts w:ascii="Courier New" w:cs="Courier New" w:eastAsia="Courier New" w:hAnsi="Courier New"/>
          <w:color w:val="1B2A4A"/>
          <w:sz w:val="16"/>
          <w:szCs w:val="16"/>
        </w:rPr>
        <w:t xml:space="preserve">  tier 2: industries/[parent]/[slug].html</w:t>
      </w:r>
    </w:p>
    <w:p>
      <w:pPr>
        <w:shd w:fill="F0F0F0" w:val="clear"/>
        <w:spacing w:after="14" w:before="14"/>
        <w:ind w:left="360"/>
      </w:pPr>
      <w:r>
        <w:rPr>
          <w:rFonts w:ascii="Courier New" w:cs="Courier New" w:eastAsia="Courier New" w:hAnsi="Courier New"/>
          <w:color w:val="1B2A4A"/>
          <w:sz w:val="16"/>
          <w:szCs w:val="16"/>
        </w:rPr>
        <w:t xml:space="preserve">  tier 3: industries/[parent]/[slug].html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Create directory if needed.</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3: Replace ALL tokens using the same logic as previous batches.</w:t>
      </w:r>
    </w:p>
    <w:p>
      <w:pPr>
        <w:shd w:fill="F0F0F0" w:val="clear"/>
        <w:spacing w:after="14" w:before="14"/>
        <w:ind w:left="360"/>
      </w:pPr>
      <w:r>
        <w:rPr>
          <w:rFonts w:ascii="Courier New" w:cs="Courier New" w:eastAsia="Courier New" w:hAnsi="Courier New"/>
          <w:color w:val="1B2A4A"/>
          <w:sz w:val="16"/>
          <w:szCs w:val="16"/>
        </w:rPr>
        <w:t xml:space="preserve">All stat fields are on each page object directly.</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Split challenge cards on | character.</w:t>
      </w:r>
    </w:p>
    <w:p>
      <w:pPr>
        <w:shd w:fill="F0F0F0" w:val="clear"/>
        <w:spacing w:after="14" w:before="14"/>
        <w:ind w:left="360"/>
      </w:pPr>
      <w:r>
        <w:rPr>
          <w:rFonts w:ascii="Courier New" w:cs="Courier New" w:eastAsia="Courier New" w:hAnsi="Courier New"/>
          <w:color w:val="1B2A4A"/>
          <w:sz w:val="16"/>
          <w:szCs w:val="16"/>
        </w:rPr>
        <w:t xml:space="preserve">Split FAQ pairs on | character.</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After all replacements, scan for remaining {{ }} tokens.</w:t>
      </w:r>
    </w:p>
    <w:p>
      <w:pPr>
        <w:shd w:fill="F0F0F0" w:val="clear"/>
        <w:spacing w:after="14" w:before="14"/>
        <w:ind w:left="360"/>
      </w:pPr>
      <w:r>
        <w:rPr>
          <w:rFonts w:ascii="Courier New" w:cs="Courier New" w:eastAsia="Courier New" w:hAnsi="Courier New"/>
          <w:color w:val="1B2A4A"/>
          <w:sz w:val="16"/>
          <w:szCs w:val="16"/>
        </w:rPr>
        <w:t xml:space="preserve">Replace with empty string and log warnings.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4: Write each file. Log: "Created: [path]"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5: Add all new URLs to sitemap.xml.</w:t>
      </w:r>
    </w:p>
    <w:p>
      <w:pPr>
        <w:shd w:fill="F0F0F0" w:val="clear"/>
        <w:spacing w:after="14" w:before="14"/>
        <w:ind w:left="360"/>
      </w:pPr>
      <w:r>
        <w:rPr>
          <w:rFonts w:ascii="Courier New" w:cs="Courier New" w:eastAsia="Courier New" w:hAnsi="Courier New"/>
          <w:color w:val="1B2A4A"/>
          <w:sz w:val="16"/>
          <w:szCs w:val="16"/>
        </w:rPr>
        <w:t xml:space="preserve">  Tier 2: priority 0.8</w:t>
      </w:r>
    </w:p>
    <w:p>
      <w:pPr>
        <w:shd w:fill="F0F0F0" w:val="clear"/>
        <w:spacing w:after="14" w:before="14"/>
        <w:ind w:left="360"/>
      </w:pPr>
      <w:r>
        <w:rPr>
          <w:rFonts w:ascii="Courier New" w:cs="Courier New" w:eastAsia="Courier New" w:hAnsi="Courier New"/>
          <w:color w:val="1B2A4A"/>
          <w:sz w:val="16"/>
          <w:szCs w:val="16"/>
        </w:rPr>
        <w:t xml:space="preserve">  Tier 3: priority 0.7</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6: Update industries dropdown navigation.</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7: Output summary:</w:t>
      </w:r>
    </w:p>
    <w:p>
      <w:pPr>
        <w:shd w:fill="F0F0F0" w:val="clear"/>
        <w:spacing w:after="14" w:before="14"/>
        <w:ind w:left="360"/>
      </w:pPr>
      <w:r>
        <w:rPr>
          <w:rFonts w:ascii="Courier New" w:cs="Courier New" w:eastAsia="Courier New" w:hAnsi="Courier New"/>
          <w:color w:val="1B2A4A"/>
          <w:sz w:val="16"/>
          <w:szCs w:val="16"/>
        </w:rPr>
        <w:t xml:space="preserve">  - Total pages created (should be 39)</w:t>
      </w:r>
    </w:p>
    <w:p>
      <w:pPr>
        <w:shd w:fill="F0F0F0" w:val="clear"/>
        <w:spacing w:after="14" w:before="14"/>
        <w:ind w:left="360"/>
      </w:pPr>
      <w:r>
        <w:rPr>
          <w:rFonts w:ascii="Courier New" w:cs="Courier New" w:eastAsia="Courier New" w:hAnsi="Courier New"/>
          <w:color w:val="1B2A4A"/>
          <w:sz w:val="16"/>
          <w:szCs w:val="16"/>
        </w:rPr>
        <w:t xml:space="preserve">  - List of all paths</w:t>
      </w:r>
    </w:p>
    <w:p>
      <w:pPr>
        <w:shd w:fill="F0F0F0" w:val="clear"/>
        <w:spacing w:after="14" w:before="14"/>
        <w:ind w:left="360"/>
      </w:pPr>
      <w:r>
        <w:rPr>
          <w:rFonts w:ascii="Courier New" w:cs="Courier New" w:eastAsia="Courier New" w:hAnsi="Courier New"/>
          <w:color w:val="1B2A4A"/>
          <w:sz w:val="16"/>
          <w:szCs w:val="16"/>
        </w:rPr>
        <w:t xml:space="preserve">  - Token warnings</w:t>
      </w:r>
    </w:p>
    <w:p>
      <w:pPr>
        <w:shd w:fill="F0F0F0" w:val="clear"/>
        <w:spacing w:after="14" w:before="14"/>
        <w:ind w:left="360"/>
      </w:pPr>
      <w:r>
        <w:rPr>
          <w:rFonts w:ascii="Courier New" w:cs="Courier New" w:eastAsia="Courier New" w:hAnsi="Courier New"/>
          <w:color w:val="1B2A4A"/>
          <w:sz w:val="16"/>
          <w:szCs w:val="16"/>
        </w:rPr>
        <w:t xml:space="preserve">  - Sitemap confirmation</w:t>
      </w:r>
    </w:p>
    <w:p>
      <w:pPr>
        <w:shd w:fill="F0F0F0" w:val="clear"/>
        <w:spacing w:after="14" w:before="14"/>
        <w:ind w:left="360"/>
      </w:pPr>
      <w:r>
        <w:rPr>
          <w:rFonts w:ascii="Courier New" w:cs="Courier New" w:eastAsia="Courier New" w:hAnsi="Courier New"/>
          <w:color w:val="1B2A4A"/>
          <w:sz w:val="16"/>
          <w:szCs w:val="16"/>
        </w:rPr>
        <w:t xml:space="preserve">  - Navigation confirmation</w:t>
      </w:r>
    </w:p>
    <w:p>
      <w:pPr>
        <w:shd w:fill="F0F0F0" w:val="clear"/>
        <w:spacing w:after="14" w:before="14"/>
        <w:ind w:left="360"/>
      </w:pPr>
      <w:r>
        <w:rPr>
          <w:rFonts w:ascii="Courier New" w:cs="Courier New" w:eastAsia="Courier New" w:hAnsi="Courier New"/>
          <w:color w:val="1B2A4A"/>
          <w:sz w:val="16"/>
          <w:szCs w:val="16"/>
        </w:rPr>
        <w:t xml:space="preserve">  - Any failures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DO NOT rebuild existing pages.</w:t>
      </w:r>
    </w:p>
    <w:p>
      <w:pPr>
        <w:shd w:fill="F0F0F0" w:val="clear"/>
        <w:spacing w:after="14" w:before="14"/>
        <w:ind w:left="360"/>
      </w:pPr>
      <w:r>
        <w:rPr>
          <w:rFonts w:ascii="Courier New" w:cs="Courier New" w:eastAsia="Courier New" w:hAnsi="Courier New"/>
          <w:color w:val="1B2A4A"/>
          <w:sz w:val="16"/>
          <w:szCs w:val="16"/>
        </w:rPr>
        <w:t xml:space="preserve">DO NOT write generation scripts.</w:t>
      </w:r>
    </w:p>
    <w:p>
      <w:pPr>
        <w:shd w:fill="F0F0F0" w:val="clear"/>
        <w:spacing w:after="14" w:before="14"/>
        <w:ind w:left="360"/>
      </w:pPr>
      <w:r>
        <w:rPr>
          <w:rFonts w:ascii="Courier New" w:cs="Courier New" w:eastAsia="Courier New" w:hAnsi="Courier New"/>
          <w:color w:val="1B2A4A"/>
          <w:sz w:val="16"/>
          <w:szCs w:val="16"/>
        </w:rPr>
        <w:t xml:space="preserve">Read JSON. Write files directly.</w:t>
      </w:r>
    </w:p>
    <w:p>
      <w:pPr>
        <w:shd w:fill="F0F0F0" w:val="clear"/>
        <w:spacing w:after="14" w:before="14"/>
        <w:ind w:left="360"/>
      </w:pPr>
      <w:r>
        <w:rPr>
          <w:rFonts w:ascii="Courier New" w:cs="Courier New" w:eastAsia="Courier New" w:hAnsi="Courier New"/>
          <w:color w:val="1B2A4A"/>
          <w:sz w:val="16"/>
          <w:szCs w:val="16"/>
        </w:rPr>
        <w:t xml:space="preserve"/>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JSON appendix — copy into data/industry-pages-batch678b.json</w:t>
      </w:r>
    </w:p>
    <w:p>
      <w:pPr>
        <w:spacing w:after="60" w:before="60"/>
      </w:pPr>
      <w:r>
        <w:rPr>
          <w:rFonts w:ascii="Arial" w:cs="Arial" w:eastAsia="Arial" w:hAnsi="Arial"/>
          <w:i/>
          <w:iCs/>
          <w:color w:val="666666"/>
          <w:sz w:val="18"/>
          <w:szCs w:val="18"/>
        </w:rPr>
        <w:t xml:space="preserve">Save this as data/industry-pages-batch678b.json in Replit</w:t>
      </w:r>
    </w:p>
    <w:p>
      <w:pPr>
        <w:spacing w:after="40" w:before="80"/>
      </w:pP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"govtech",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"enterprise-saas",</w:t>
      </w:r>
    </w:p>
    <w:p>
      <w:pPr>
        <w:shd w:fill="F0F0F0" w:val="clear"/>
        <w:spacing w:after="14" w:before="14"/>
        <w:ind w:left="360"/>
      </w:pPr>
      <w:r>
        <w:rPr>
          <w:rFonts w:ascii="Courier New" w:cs="Courier New" w:eastAsia="Courier New" w:hAnsi="Courier New"/>
          <w:color w:val="1B2A4A"/>
          <w:sz w:val="16"/>
          <w:szCs w:val="16"/>
        </w:rPr>
        <w:t xml:space="preserve">    "title": "GovTech &amp; Government Technology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government technology companies, civic tech businesses, and public sector software providers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"GovTech and government technology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procurement approval to deployed solution — strategy for GovTech businesses.",</w:t>
      </w:r>
    </w:p>
    <w:p>
      <w:pPr>
        <w:shd w:fill="F0F0F0" w:val="clear"/>
        <w:spacing w:after="14" w:before="14"/>
        <w:ind w:left="360"/>
      </w:pPr>
      <w:r>
        <w:rPr>
          <w:rFonts w:ascii="Courier New" w:cs="Courier New" w:eastAsia="Courier New" w:hAnsi="Courier New"/>
          <w:color w:val="1B2A4A"/>
          <w:sz w:val="16"/>
          <w:szCs w:val="16"/>
        </w:rPr>
        <w:t xml:space="preserve">    "hero": "Government technology — software, platforms, and digital infrastructure serving government agencies — is one of the largest and fastest-growing enterprise technology segments globally. Digital identity platforms, e-government service portals, public safety technology, government ERP systems, and civic data analytics companies are all evaluating new market entry opportunities as governments across Southeast Asia, South Asia, and the Gulf accelerate digital transformation programmes. GreyRadius helps GovTech businesses validate government buyer demand, navigate public procurement processes, execute GTM plans, and raise capital.",</w:t>
      </w:r>
    </w:p>
    <w:p>
      <w:pPr>
        <w:shd w:fill="F0F0F0" w:val="clear"/>
        <w:spacing w:after="14" w:before="14"/>
        <w:ind w:left="360"/>
      </w:pPr>
      <w:r>
        <w:rPr>
          <w:rFonts w:ascii="Courier New" w:cs="Courier New" w:eastAsia="Courier New" w:hAnsi="Courier New"/>
          <w:color w:val="1B2A4A"/>
          <w:sz w:val="16"/>
          <w:szCs w:val="16"/>
        </w:rPr>
        <w:t xml:space="preserve">    "market_timing": "Government digital transformation investment is at an all-time high globally — Gulf Vision 2030 programmes, India's Digital India initiative, and Southeast Asian e-government strategies are all creating significant GovTech procurement. Governments that were slow to digitise before the pandemic have accelerated dramatically, creating compressed procurement timelines for companies with the right solutions.",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GovTech market is projected to reach $1T by 2027 — growing at 12% annually as governments invest in digital service delivery, citizen data management, and operational efficiency technology.",</w:t>
      </w:r>
    </w:p>
    <w:p>
      <w:pPr>
        <w:shd w:fill="F0F0F0" w:val="clear"/>
        <w:spacing w:after="14" w:before="14"/>
        <w:ind w:left="360"/>
      </w:pPr>
      <w:r>
        <w:rPr>
          <w:rFonts w:ascii="Courier New" w:cs="Courier New" w:eastAsia="Courier New" w:hAnsi="Courier New"/>
          <w:color w:val="1B2A4A"/>
          <w:sz w:val="16"/>
          <w:szCs w:val="16"/>
        </w:rPr>
        <w:t xml:space="preserve">      "Digital identity and e-authentication is the foundational GovTech layer — countries establishing national digital ID systems are creating the infrastructure on which all other e-government services are built.",</w:t>
      </w:r>
    </w:p>
    <w:p>
      <w:pPr>
        <w:shd w:fill="F0F0F0" w:val="clear"/>
        <w:spacing w:after="14" w:before="14"/>
        <w:ind w:left="360"/>
      </w:pPr>
      <w:r>
        <w:rPr>
          <w:rFonts w:ascii="Courier New" w:cs="Courier New" w:eastAsia="Courier New" w:hAnsi="Courier New"/>
          <w:color w:val="1B2A4A"/>
          <w:sz w:val="16"/>
          <w:szCs w:val="16"/>
        </w:rPr>
        <w:t xml:space="preserve">      "Smart city technology procurement by governments is growing at 14% annually — urban management platforms, traffic management, and public safety technology are the largest GovTech procurement categories.",</w:t>
      </w:r>
    </w:p>
    <w:p>
      <w:pPr>
        <w:shd w:fill="F0F0F0" w:val="clear"/>
        <w:spacing w:after="14" w:before="14"/>
        <w:ind w:left="360"/>
      </w:pPr>
      <w:r>
        <w:rPr>
          <w:rFonts w:ascii="Courier New" w:cs="Courier New" w:eastAsia="Courier New" w:hAnsi="Courier New"/>
          <w:color w:val="1B2A4A"/>
          <w:sz w:val="16"/>
          <w:szCs w:val="16"/>
        </w:rPr>
        <w:t xml:space="preserve">      "AI for government is growing at 30%+ annually — fraud detection in benefits programmes, document processing automation, and predictive public service demand modelling are all achieving government deployment."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"Government procurement cycles are extremely long — from first engagement to contract award typically takes 2–5 years with multiple tender stages, committee reviews, and budget approval cycles.",</w:t>
      </w:r>
    </w:p>
    <w:p>
      <w:pPr>
        <w:shd w:fill="F0F0F0" w:val="clear"/>
        <w:spacing w:after="14" w:before="14"/>
        <w:ind w:left="360"/>
      </w:pPr>
      <w:r>
        <w:rPr>
          <w:rFonts w:ascii="Courier New" w:cs="Courier New" w:eastAsia="Courier New" w:hAnsi="Courier New"/>
          <w:color w:val="1B2A4A"/>
          <w:sz w:val="16"/>
          <w:szCs w:val="16"/>
        </w:rPr>
        <w:t xml:space="preserve">      "Public procurement regulations require competitive tendering — most government contracts above threshold values require open competitive tender processes that large incumbents are well positioned to win.",</w:t>
      </w:r>
    </w:p>
    <w:p>
      <w:pPr>
        <w:shd w:fill="F0F0F0" w:val="clear"/>
        <w:spacing w:after="14" w:before="14"/>
        <w:ind w:left="360"/>
      </w:pPr>
      <w:r>
        <w:rPr>
          <w:rFonts w:ascii="Courier New" w:cs="Courier New" w:eastAsia="Courier New" w:hAnsi="Courier New"/>
          <w:color w:val="1B2A4A"/>
          <w:sz w:val="16"/>
          <w:szCs w:val="16"/>
        </w:rPr>
        <w:t xml:space="preserve">      "Security and data sovereignty requirements are stringent — government technology must often be hosted on government-approved infrastructure with security clearances that new entrants struggle to obtain quickly.",</w:t>
      </w:r>
    </w:p>
    <w:p>
      <w:pPr>
        <w:shd w:fill="F0F0F0" w:val="clear"/>
        <w:spacing w:after="14" w:before="14"/>
        <w:ind w:left="360"/>
      </w:pPr>
      <w:r>
        <w:rPr>
          <w:rFonts w:ascii="Courier New" w:cs="Courier New" w:eastAsia="Courier New" w:hAnsi="Courier New"/>
          <w:color w:val="1B2A4A"/>
          <w:sz w:val="16"/>
          <w:szCs w:val="16"/>
        </w:rPr>
        <w:t xml:space="preserve">      "Change management in government is slow — technology adoption in government agencies requires extensive stakeholder management, training, and process redesign that creates long implementation timelines."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"Government buyer identification and programme mapping|You need to identify which government agencies, ministries, and digital transformation offices are actively procuring technology in your capability area.",</w:t>
      </w:r>
    </w:p>
    <w:p>
      <w:pPr>
        <w:shd w:fill="F0F0F0" w:val="clear"/>
        <w:spacing w:after="14" w:before="14"/>
        <w:ind w:left="360"/>
      </w:pPr>
      <w:r>
        <w:rPr>
          <w:rFonts w:ascii="Courier New" w:cs="Courier New" w:eastAsia="Courier New" w:hAnsi="Courier New"/>
          <w:color w:val="1B2A4A"/>
          <w:sz w:val="16"/>
          <w:szCs w:val="16"/>
        </w:rPr>
        <w:t xml:space="preserve">      "Procurement pathway and tendering strategy|You need to understand government procurement regulations, tender thresholds, and evaluation criteria in your target market.",</w:t>
      </w:r>
    </w:p>
    <w:p>
      <w:pPr>
        <w:shd w:fill="F0F0F0" w:val="clear"/>
        <w:spacing w:after="14" w:before="14"/>
        <w:ind w:left="360"/>
      </w:pPr>
      <w:r>
        <w:rPr>
          <w:rFonts w:ascii="Courier New" w:cs="Courier New" w:eastAsia="Courier New" w:hAnsi="Courier New"/>
          <w:color w:val="1B2A4A"/>
          <w:sz w:val="16"/>
          <w:szCs w:val="16"/>
        </w:rPr>
        <w:t xml:space="preserve">      "GTM for GovTech|You have a government software platform or digital service and need a go-to-market strategy covering government agency acquisition and systems integrator channel development.",</w:t>
      </w:r>
    </w:p>
    <w:p>
      <w:pPr>
        <w:shd w:fill="F0F0F0" w:val="clear"/>
        <w:spacing w:after="14" w:before="14"/>
        <w:ind w:left="360"/>
      </w:pPr>
      <w:r>
        <w:rPr>
          <w:rFonts w:ascii="Courier New" w:cs="Courier New" w:eastAsia="Courier New" w:hAnsi="Courier New"/>
          <w:color w:val="1B2A4A"/>
          <w:sz w:val="16"/>
          <w:szCs w:val="16"/>
        </w:rPr>
        <w:t xml:space="preserve">      "Raising capital for a GovTech venture|You are raising investment and need a pitch book grounded in government programme data and public sector market sizing.",</w:t>
      </w:r>
    </w:p>
    <w:p>
      <w:pPr>
        <w:shd w:fill="F0F0F0" w:val="clear"/>
        <w:spacing w:after="14" w:before="14"/>
        <w:ind w:left="360"/>
      </w:pPr>
      <w:r>
        <w:rPr>
          <w:rFonts w:ascii="Courier New" w:cs="Courier New" w:eastAsia="Courier New" w:hAnsi="Courier New"/>
          <w:color w:val="1B2A4A"/>
          <w:sz w:val="16"/>
          <w:szCs w:val="16"/>
        </w:rPr>
        <w:t xml:space="preserve">      "Systems integrator partnership strategy|You need to identify government IT implementation partners and systems integrators who prime government contracts.",</w:t>
      </w:r>
    </w:p>
    <w:p>
      <w:pPr>
        <w:shd w:fill="F0F0F0" w:val="clear"/>
        <w:spacing w:after="14" w:before="14"/>
        <w:ind w:left="360"/>
      </w:pPr>
      <w:r>
        <w:rPr>
          <w:rFonts w:ascii="Courier New" w:cs="Courier New" w:eastAsia="Courier New" w:hAnsi="Courier New"/>
          <w:color w:val="1B2A4A"/>
          <w:sz w:val="16"/>
          <w:szCs w:val="16"/>
        </w:rPr>
        <w:t xml:space="preserve">      "Competitive intelligence|You need to understand how competing GovTech companies are positioned and winning government contracts in your target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government buyer demand for your GovTech solution in a new market. Covers government agency interviews, procurement pathway mapping, competitive analysis,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GovTech investments. Covers government adoption modelling, procurement timeline, implementation economics,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GovTech companies. Procurement pathway, government agency ICP, systems integrator channel development, and first-government-contract acquisition.",</w:t>
      </w:r>
    </w:p>
    <w:p>
      <w:pPr>
        <w:shd w:fill="F0F0F0" w:val="clear"/>
        <w:spacing w:after="14" w:before="14"/>
        <w:ind w:left="360"/>
      </w:pPr>
      <w:r>
        <w:rPr>
          <w:rFonts w:ascii="Courier New" w:cs="Courier New" w:eastAsia="Courier New" w:hAnsi="Courier New"/>
          <w:color w:val="1B2A4A"/>
          <w:sz w:val="16"/>
          <w:szCs w:val="16"/>
        </w:rPr>
        <w:t xml:space="preserve">      "Embedded GTM team for GovTech platforms. Government agency outreach, SI partner pipeline,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GovTech ventures. Government-programme-validated market sizing, procurement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in government — from benefits fraud detection and document processing automation to predictive service demand and public safety analytics."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e-government platform companies or also with public safety technology and civic data analytics companies?|All segments. We work across digital identity, e-services, public safety, and government data analytics on market entry, GTM, and fundraising.",</w:t>
      </w:r>
    </w:p>
    <w:p>
      <w:pPr>
        <w:shd w:fill="F0F0F0" w:val="clear"/>
        <w:spacing w:after="14" w:before="14"/>
        <w:ind w:left="360"/>
      </w:pPr>
      <w:r>
        <w:rPr>
          <w:rFonts w:ascii="Courier New" w:cs="Courier New" w:eastAsia="Courier New" w:hAnsi="Courier New"/>
          <w:color w:val="1B2A4A"/>
          <w:sz w:val="16"/>
          <w:szCs w:val="16"/>
        </w:rPr>
        <w:t xml:space="preserve">      "What GovTech markets does GreyRadius cover?|Gulf, Southeast Asia, South Asia, and Africa — markets with active government digital transformation investment and significant GovTech procurement.",</w:t>
      </w:r>
    </w:p>
    <w:p>
      <w:pPr>
        <w:shd w:fill="F0F0F0" w:val="clear"/>
        <w:spacing w:after="14" w:before="14"/>
        <w:ind w:left="360"/>
      </w:pPr>
      <w:r>
        <w:rPr>
          <w:rFonts w:ascii="Courier New" w:cs="Courier New" w:eastAsia="Courier New" w:hAnsi="Courier New"/>
          <w:color w:val="1B2A4A"/>
          <w:sz w:val="16"/>
          <w:szCs w:val="16"/>
        </w:rPr>
        <w:t xml:space="preserve">      "How long does a GovTech market entry engagement take?|Typically 8–12 weeks for government programme mapping, procurement pathway research, and SI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government programme contacts and systems integrator partners for GovTech companies?|Yes. Government agency mapping and SI partner identification are core parts of our GovTech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"GovTech market entry, government technology GTM strategy, civic tech consulting, public sector software advisory, GovTech strategy, government digital transformation consulting",</w:t>
      </w:r>
    </w:p>
    <w:p>
      <w:pPr>
        <w:shd w:fill="F0F0F0" w:val="clear"/>
        <w:spacing w:after="14" w:before="14"/>
        <w:ind w:left="360"/>
      </w:pPr>
      <w:r>
        <w:rPr>
          <w:rFonts w:ascii="Courier New" w:cs="Courier New" w:eastAsia="Courier New" w:hAnsi="Courier New"/>
          <w:color w:val="1B2A4A"/>
          <w:sz w:val="16"/>
          <w:szCs w:val="16"/>
        </w:rPr>
        <w:t xml:space="preserve">    "regions": "Gulf, Southeast Asia, South Asia, Africa",</w:t>
      </w:r>
    </w:p>
    <w:p>
      <w:pPr>
        <w:shd w:fill="F0F0F0" w:val="clear"/>
        <w:spacing w:after="14" w:before="14"/>
        <w:ind w:left="360"/>
      </w:pPr>
      <w:r>
        <w:rPr>
          <w:rFonts w:ascii="Courier New" w:cs="Courier New" w:eastAsia="Courier New" w:hAnsi="Courier New"/>
          <w:color w:val="1B2A4A"/>
          <w:sz w:val="16"/>
          <w:szCs w:val="16"/>
        </w:rPr>
        <w:t xml:space="preserve">    "stat1n": "$1T+",</w:t>
      </w:r>
    </w:p>
    <w:p>
      <w:pPr>
        <w:shd w:fill="F0F0F0" w:val="clear"/>
        <w:spacing w:after="14" w:before="14"/>
        <w:ind w:left="360"/>
      </w:pPr>
      <w:r>
        <w:rPr>
          <w:rFonts w:ascii="Courier New" w:cs="Courier New" w:eastAsia="Courier New" w:hAnsi="Courier New"/>
          <w:color w:val="1B2A4A"/>
          <w:sz w:val="16"/>
          <w:szCs w:val="16"/>
        </w:rPr>
        <w:t xml:space="preserve">    "stat1l": "Global GovTech market by 2027",</w:t>
      </w:r>
    </w:p>
    <w:p>
      <w:pPr>
        <w:shd w:fill="F0F0F0" w:val="clear"/>
        <w:spacing w:after="14" w:before="14"/>
        <w:ind w:left="360"/>
      </w:pPr>
      <w:r>
        <w:rPr>
          <w:rFonts w:ascii="Courier New" w:cs="Courier New" w:eastAsia="Courier New" w:hAnsi="Courier New"/>
          <w:color w:val="1B2A4A"/>
          <w:sz w:val="16"/>
          <w:szCs w:val="16"/>
        </w:rPr>
        <w:t xml:space="preserve">    "stat1b": "Growing at 12% annually as governments invest in digital service delivery, citizen data management, and operational efficiency.",</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GovTech mandate",</w:t>
      </w:r>
    </w:p>
    <w:p>
      <w:pPr>
        <w:shd w:fill="F0F0F0" w:val="clear"/>
        <w:spacing w:after="14" w:before="14"/>
        <w:ind w:left="360"/>
      </w:pPr>
      <w:r>
        <w:rPr>
          <w:rFonts w:ascii="Courier New" w:cs="Courier New" w:eastAsia="Courier New" w:hAnsi="Courier New"/>
          <w:color w:val="1B2A4A"/>
          <w:sz w:val="16"/>
          <w:szCs w:val="16"/>
        </w:rPr>
        <w:t xml:space="preserve">    "stat2b": "Government programme directors, ministry IT heads, and systems integrators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government programme mapping and procurement pathway research delivers GovTech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"battery-recycling",</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"energy-storage",</w:t>
      </w:r>
    </w:p>
    <w:p>
      <w:pPr>
        <w:shd w:fill="F0F0F0" w:val="clear"/>
        <w:spacing w:after="14" w:before="14"/>
        <w:ind w:left="360"/>
      </w:pPr>
      <w:r>
        <w:rPr>
          <w:rFonts w:ascii="Courier New" w:cs="Courier New" w:eastAsia="Courier New" w:hAnsi="Courier New"/>
          <w:color w:val="1B2A4A"/>
          <w:sz w:val="16"/>
          <w:szCs w:val="16"/>
        </w:rPr>
        <w:t xml:space="preserve">    "title": "Battery Recycling &amp; Second Life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battery recycling companies, second life battery businesses, and battery materials recovery firms with market entry strategy, feasibility studies, and fundraising.",</w:t>
      </w:r>
    </w:p>
    <w:p>
      <w:pPr>
        <w:shd w:fill="F0F0F0" w:val="clear"/>
        <w:spacing w:after="14" w:before="14"/>
        <w:ind w:left="360"/>
      </w:pPr>
      <w:r>
        <w:rPr>
          <w:rFonts w:ascii="Courier New" w:cs="Courier New" w:eastAsia="Courier New" w:hAnsi="Courier New"/>
          <w:color w:val="1B2A4A"/>
          <w:sz w:val="16"/>
          <w:szCs w:val="16"/>
        </w:rPr>
        <w:t xml:space="preserve">    "h1": "Battery recycling and second life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end-of-life battery to recovered material — strategy for battery recycling businesses.",</w:t>
      </w:r>
    </w:p>
    <w:p>
      <w:pPr>
        <w:shd w:fill="F0F0F0" w:val="clear"/>
        <w:spacing w:after="14" w:before="14"/>
        <w:ind w:left="360"/>
      </w:pPr>
      <w:r>
        <w:rPr>
          <w:rFonts w:ascii="Courier New" w:cs="Courier New" w:eastAsia="Courier New" w:hAnsi="Courier New"/>
          <w:color w:val="1B2A4A"/>
          <w:sz w:val="16"/>
          <w:szCs w:val="16"/>
        </w:rPr>
        <w:t xml:space="preserve">    "hero": "Battery recycling and second life applications are becoming critical infrastructure for the circular EV economy — with lithium, cobalt, nickel, and manganese recovery from used EV batteries creating significant commercial value as battery demand grows and primary material costs rise. Battery recycling technology companies, hydrometallurgical processing businesses, second life battery energy storage operators, and battery collection logistics companies are all evaluating new market entry opportunities. GreyRadius helps battery recycling businesses validate feedstock supply, assess processing feasibility, identify offtake buyers, and raise capital.",</w:t>
      </w:r>
    </w:p>
    <w:p>
      <w:pPr>
        <w:shd w:fill="F0F0F0" w:val="clear"/>
        <w:spacing w:after="14" w:before="14"/>
        <w:ind w:left="360"/>
      </w:pPr>
      <w:r>
        <w:rPr>
          <w:rFonts w:ascii="Courier New" w:cs="Courier New" w:eastAsia="Courier New" w:hAnsi="Courier New"/>
          <w:color w:val="1B2A4A"/>
          <w:sz w:val="16"/>
          <w:szCs w:val="16"/>
        </w:rPr>
        <w:t xml:space="preserve">    "market_timing": "The first wave of EV batteries from early-adopter markets are reaching end of life in 2024–2028 — creating the first commercial-scale battery recycling feedstock streams. Government extended producer responsibility regulation for EV batteries in the EU, China, and several Asian markets is creating mandatory collection obligations that funnel batteries to licensed recyclers. The recycling infrastructure built now will serve this growing feedstock stream for decades.",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battery recycling market is projected to reach $30B by 2030 — growing at 35% annually as EV adoption creates growing end-of-life battery volumes and recovered material value increases.",</w:t>
      </w:r>
    </w:p>
    <w:p>
      <w:pPr>
        <w:shd w:fill="F0F0F0" w:val="clear"/>
        <w:spacing w:after="14" w:before="14"/>
        <w:ind w:left="360"/>
      </w:pPr>
      <w:r>
        <w:rPr>
          <w:rFonts w:ascii="Courier New" w:cs="Courier New" w:eastAsia="Courier New" w:hAnsi="Courier New"/>
          <w:color w:val="1B2A4A"/>
          <w:sz w:val="16"/>
          <w:szCs w:val="16"/>
        </w:rPr>
        <w:t xml:space="preserve">      "Lithium recovery from battery recycling is approaching commercial viability — improving hydrometallurgical recovery rates are making recycled lithium cost-competitive with primary lithium in some markets.",</w:t>
      </w:r>
    </w:p>
    <w:p>
      <w:pPr>
        <w:shd w:fill="F0F0F0" w:val="clear"/>
        <w:spacing w:after="14" w:before="14"/>
        <w:ind w:left="360"/>
      </w:pPr>
      <w:r>
        <w:rPr>
          <w:rFonts w:ascii="Courier New" w:cs="Courier New" w:eastAsia="Courier New" w:hAnsi="Courier New"/>
          <w:color w:val="1B2A4A"/>
          <w:sz w:val="16"/>
          <w:szCs w:val="16"/>
        </w:rPr>
        <w:t xml:space="preserve">      "Second life battery energy storage is growing rapidly — EV batteries that retain 70-80% capacity after automotive service are being repurposed for stationary grid storage at significantly lower cost than new batteries.",</w:t>
      </w:r>
    </w:p>
    <w:p>
      <w:pPr>
        <w:shd w:fill="F0F0F0" w:val="clear"/>
        <w:spacing w:after="14" w:before="14"/>
        <w:ind w:left="360"/>
      </w:pPr>
      <w:r>
        <w:rPr>
          <w:rFonts w:ascii="Courier New" w:cs="Courier New" w:eastAsia="Courier New" w:hAnsi="Courier New"/>
          <w:color w:val="1B2A4A"/>
          <w:sz w:val="16"/>
          <w:szCs w:val="16"/>
        </w:rPr>
        <w:t xml:space="preserve">      "Battery EPR regulation is creating mandatory collection infrastructure — EU Battery Regulation, China's battery recycling mandates, and emerging Asian EPR frameworks are all requiring EV manufacturers to fund battery collection and recycling."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"Battery collection logistics is complex — collecting end-of-life EV batteries from consumers, repair shops, and fleet operators across fragmented geographies requires significant logistics infrastructure investment.",</w:t>
      </w:r>
    </w:p>
    <w:p>
      <w:pPr>
        <w:shd w:fill="F0F0F0" w:val="clear"/>
        <w:spacing w:after="14" w:before="14"/>
        <w:ind w:left="360"/>
      </w:pPr>
      <w:r>
        <w:rPr>
          <w:rFonts w:ascii="Courier New" w:cs="Courier New" w:eastAsia="Courier New" w:hAnsi="Courier New"/>
          <w:color w:val="1B2A4A"/>
          <w:sz w:val="16"/>
          <w:szCs w:val="16"/>
        </w:rPr>
        <w:t xml:space="preserve">      "Battery chemistry diversity creates processing complexity — different cell chemistries (NMC, LFP, NCA) require different recycling processes, and the chemistry mix changes rapidly as EV technology evolves.",</w:t>
      </w:r>
    </w:p>
    <w:p>
      <w:pPr>
        <w:shd w:fill="F0F0F0" w:val="clear"/>
        <w:spacing w:after="14" w:before="14"/>
        <w:ind w:left="360"/>
      </w:pPr>
      <w:r>
        <w:rPr>
          <w:rFonts w:ascii="Courier New" w:cs="Courier New" w:eastAsia="Courier New" w:hAnsi="Courier New"/>
          <w:color w:val="1B2A4A"/>
          <w:sz w:val="16"/>
          <w:szCs w:val="16"/>
        </w:rPr>
        <w:t xml:space="preserve">      "Safety requirements for battery transport and processing are stringent — damaged and discharged batteries require specialised handling, transport, and processing equipment that increases capital and operating cost.",</w:t>
      </w:r>
    </w:p>
    <w:p>
      <w:pPr>
        <w:shd w:fill="F0F0F0" w:val="clear"/>
        <w:spacing w:after="14" w:before="14"/>
        <w:ind w:left="360"/>
      </w:pPr>
      <w:r>
        <w:rPr>
          <w:rFonts w:ascii="Courier New" w:cs="Courier New" w:eastAsia="Courier New" w:hAnsi="Courier New"/>
          <w:color w:val="1B2A4A"/>
          <w:sz w:val="16"/>
          <w:szCs w:val="16"/>
        </w:rPr>
        <w:t xml:space="preserve">      "Recovered material quality and market acceptance is still developing — recycled battery materials must meet the same quality specifications as primary materials for battery manufacturers to accept them."</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"Battery feedstock supply assessment|You need to validate the volume, chemistry mix, and geographic distribution of end-of-life batteries available in your target market before committing to processing investment.",</w:t>
      </w:r>
    </w:p>
    <w:p>
      <w:pPr>
        <w:shd w:fill="F0F0F0" w:val="clear"/>
        <w:spacing w:after="14" w:before="14"/>
        <w:ind w:left="360"/>
      </w:pPr>
      <w:r>
        <w:rPr>
          <w:rFonts w:ascii="Courier New" w:cs="Courier New" w:eastAsia="Courier New" w:hAnsi="Courier New"/>
          <w:color w:val="1B2A4A"/>
          <w:sz w:val="16"/>
          <w:szCs w:val="16"/>
        </w:rPr>
        <w:t xml:space="preserve">      "Processing technology selection and feasibility|You are evaluating a battery recycling facility and need a technical and economic feasibility study covering technology options, recovery rates, and financial projections.",</w:t>
      </w:r>
    </w:p>
    <w:p>
      <w:pPr>
        <w:shd w:fill="F0F0F0" w:val="clear"/>
        <w:spacing w:after="14" w:before="14"/>
        <w:ind w:left="360"/>
      </w:pPr>
      <w:r>
        <w:rPr>
          <w:rFonts w:ascii="Courier New" w:cs="Courier New" w:eastAsia="Courier New" w:hAnsi="Courier New"/>
          <w:color w:val="1B2A4A"/>
          <w:sz w:val="16"/>
          <w:szCs w:val="16"/>
        </w:rPr>
        <w:t xml:space="preserve">      "Recovered material offtake identification|You need to identify battery manufacturers and materials companies as buyers of your recycled lithium, cobalt, and nickel output.",</w:t>
      </w:r>
    </w:p>
    <w:p>
      <w:pPr>
        <w:shd w:fill="F0F0F0" w:val="clear"/>
        <w:spacing w:after="14" w:before="14"/>
        <w:ind w:left="360"/>
      </w:pPr>
      <w:r>
        <w:rPr>
          <w:rFonts w:ascii="Courier New" w:cs="Courier New" w:eastAsia="Courier New" w:hAnsi="Courier New"/>
          <w:color w:val="1B2A4A"/>
          <w:sz w:val="16"/>
          <w:szCs w:val="16"/>
        </w:rPr>
        <w:t xml:space="preserve">      "Regulatory and licensing pathway|You need to understand battery EPR obligations, hazardous waste handling licences, and environmental permits required for battery recycling operations.",</w:t>
      </w:r>
    </w:p>
    <w:p>
      <w:pPr>
        <w:shd w:fill="F0F0F0" w:val="clear"/>
        <w:spacing w:after="14" w:before="14"/>
        <w:ind w:left="360"/>
      </w:pPr>
      <w:r>
        <w:rPr>
          <w:rFonts w:ascii="Courier New" w:cs="Courier New" w:eastAsia="Courier New" w:hAnsi="Courier New"/>
          <w:color w:val="1B2A4A"/>
          <w:sz w:val="16"/>
          <w:szCs w:val="16"/>
        </w:rPr>
        <w:t xml:space="preserve">      "Raising capital for a battery recycling venture|You are raising investment and need a pitch book grounded in feedstock supply data and recovered material market analysis.",</w:t>
      </w:r>
    </w:p>
    <w:p>
      <w:pPr>
        <w:shd w:fill="F0F0F0" w:val="clear"/>
        <w:spacing w:after="14" w:before="14"/>
        <w:ind w:left="360"/>
      </w:pPr>
      <w:r>
        <w:rPr>
          <w:rFonts w:ascii="Courier New" w:cs="Courier New" w:eastAsia="Courier New" w:hAnsi="Courier New"/>
          <w:color w:val="1B2A4A"/>
          <w:sz w:val="16"/>
          <w:szCs w:val="16"/>
        </w:rPr>
        <w:t xml:space="preserve">      "Second life battery market assessment|You are evaluating the second life battery energy storage opportunity and need feasibility assessment and offtake identification."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battery feedstock supply and recovered material demand in a new market. Covers EV manufacturer and recycler interviews, regulatory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battery recycling investments. Covers feedstock modelling, recovery rate assessment, material value analysis, and bankable financial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battery recycling companies. Regulatory licensing pathway, feedstock supplier identification, material offtake development, and first-processing milestone.",</w:t>
      </w:r>
    </w:p>
    <w:p>
      <w:pPr>
        <w:shd w:fill="F0F0F0" w:val="clear"/>
        <w:spacing w:after="14" w:before="14"/>
        <w:ind w:left="360"/>
      </w:pPr>
      <w:r>
        <w:rPr>
          <w:rFonts w:ascii="Courier New" w:cs="Courier New" w:eastAsia="Courier New" w:hAnsi="Courier New"/>
          <w:color w:val="1B2A4A"/>
          <w:sz w:val="16"/>
          <w:szCs w:val="16"/>
        </w:rPr>
        <w:t xml:space="preserve">      "GTM for battery recycling technology companies. EV manufacturer and recycler outreach, government programme pipeline, and first-technology-deployment milestone.",</w:t>
      </w:r>
    </w:p>
    <w:p>
      <w:pPr>
        <w:shd w:fill="F0F0F0" w:val="clear"/>
        <w:spacing w:after="14" w:before="14"/>
        <w:ind w:left="360"/>
      </w:pPr>
      <w:r>
        <w:rPr>
          <w:rFonts w:ascii="Courier New" w:cs="Courier New" w:eastAsia="Courier New" w:hAnsi="Courier New"/>
          <w:color w:val="1B2A4A"/>
          <w:sz w:val="16"/>
          <w:szCs w:val="16"/>
        </w:rPr>
        <w:t xml:space="preserve">      "Investor-ready pitch books for battery recycling ventures. Feedstock-validated market sizing, material economics, regulatory EPR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in battery recycling — from battery state assessment and discharge automation to material sorting optimisation and process yield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battery recycling operators or also with second life battery and battery collection companies?|All three. We work with recycling operators on feasibility and market entry, second life companies on market entry and GTM, and collection logistics companies on market entry and fundraising.",</w:t>
      </w:r>
    </w:p>
    <w:p>
      <w:pPr>
        <w:shd w:fill="F0F0F0" w:val="clear"/>
        <w:spacing w:after="14" w:before="14"/>
        <w:ind w:left="360"/>
      </w:pPr>
      <w:r>
        <w:rPr>
          <w:rFonts w:ascii="Courier New" w:cs="Courier New" w:eastAsia="Courier New" w:hAnsi="Courier New"/>
          <w:color w:val="1B2A4A"/>
          <w:sz w:val="16"/>
          <w:szCs w:val="16"/>
        </w:rPr>
        <w:t xml:space="preserve">      "What battery recycling markets does GreyRadius cover?|Southeast Asia, South Asia, and Europe — markets with growing EV adoption creating battery feedstock and active EPR regulation creating collection infrastructure.",</w:t>
      </w:r>
    </w:p>
    <w:p>
      <w:pPr>
        <w:shd w:fill="F0F0F0" w:val="clear"/>
        <w:spacing w:after="14" w:before="14"/>
        <w:ind w:left="360"/>
      </w:pPr>
      <w:r>
        <w:rPr>
          <w:rFonts w:ascii="Courier New" w:cs="Courier New" w:eastAsia="Courier New" w:hAnsi="Courier New"/>
          <w:color w:val="1B2A4A"/>
          <w:sz w:val="16"/>
          <w:szCs w:val="16"/>
        </w:rPr>
        <w:t xml:space="preserve">      "How long does a battery recycling market entry engagement take?|Typically 8–12 weeks for feedstock supply assessment, regulatory mapping, and processing feasibility.",</w:t>
      </w:r>
    </w:p>
    <w:p>
      <w:pPr>
        <w:shd w:fill="F0F0F0" w:val="clear"/>
        <w:spacing w:after="14" w:before="14"/>
        <w:ind w:left="360"/>
      </w:pPr>
      <w:r>
        <w:rPr>
          <w:rFonts w:ascii="Courier New" w:cs="Courier New" w:eastAsia="Courier New" w:hAnsi="Courier New"/>
          <w:color w:val="1B2A4A"/>
          <w:sz w:val="16"/>
          <w:szCs w:val="16"/>
        </w:rPr>
        <w:t xml:space="preserve">      "Can GreyRadius identify recovered material offtake buyers for battery recycling companies?|Yes. Battery manufacturer and materials company offtake identification are part of our market entry execution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"battery recycling market entry, second life battery GTM strategy, EV battery recycling consulting, battery materials recovery advisory, battery recycling strategy, lithium recovery market entry",</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Europe",</w:t>
      </w:r>
    </w:p>
    <w:p>
      <w:pPr>
        <w:shd w:fill="F0F0F0" w:val="clear"/>
        <w:spacing w:after="14" w:before="14"/>
        <w:ind w:left="360"/>
      </w:pPr>
      <w:r>
        <w:rPr>
          <w:rFonts w:ascii="Courier New" w:cs="Courier New" w:eastAsia="Courier New" w:hAnsi="Courier New"/>
          <w:color w:val="1B2A4A"/>
          <w:sz w:val="16"/>
          <w:szCs w:val="16"/>
        </w:rPr>
        <w:t xml:space="preserve">    "stat1n": "$30B+",</w:t>
      </w:r>
    </w:p>
    <w:p>
      <w:pPr>
        <w:shd w:fill="F0F0F0" w:val="clear"/>
        <w:spacing w:after="14" w:before="14"/>
        <w:ind w:left="360"/>
      </w:pPr>
      <w:r>
        <w:rPr>
          <w:rFonts w:ascii="Courier New" w:cs="Courier New" w:eastAsia="Courier New" w:hAnsi="Courier New"/>
          <w:color w:val="1B2A4A"/>
          <w:sz w:val="16"/>
          <w:szCs w:val="16"/>
        </w:rPr>
        <w:t xml:space="preserve">    "stat1l": "Global battery recycling market by 2030",</w:t>
      </w:r>
    </w:p>
    <w:p>
      <w:pPr>
        <w:shd w:fill="F0F0F0" w:val="clear"/>
        <w:spacing w:after="14" w:before="14"/>
        <w:ind w:left="360"/>
      </w:pPr>
      <w:r>
        <w:rPr>
          <w:rFonts w:ascii="Courier New" w:cs="Courier New" w:eastAsia="Courier New" w:hAnsi="Courier New"/>
          <w:color w:val="1B2A4A"/>
          <w:sz w:val="16"/>
          <w:szCs w:val="16"/>
        </w:rPr>
        <w:t xml:space="preserve">    "stat1b": "Growing at 35% annually as EV adoption creates growing end-of-life battery volumes and recovered material value increases.",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battery recycling mandate",</w:t>
      </w:r>
    </w:p>
    <w:p>
      <w:pPr>
        <w:shd w:fill="F0F0F0" w:val="clear"/>
        <w:spacing w:after="14" w:before="14"/>
        <w:ind w:left="360"/>
      </w:pPr>
      <w:r>
        <w:rPr>
          <w:rFonts w:ascii="Courier New" w:cs="Courier New" w:eastAsia="Courier New" w:hAnsi="Courier New"/>
          <w:color w:val="1B2A4A"/>
          <w:sz w:val="16"/>
          <w:szCs w:val="16"/>
        </w:rPr>
        <w:t xml:space="preserve">    "stat2b": "EV manufacturers, recycling operators, and recovered material buyers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feedstock supply mapping and material demand research delivers battery recycling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"agricultural-drones",</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"drones",</w:t>
      </w:r>
    </w:p>
    <w:p>
      <w:pPr>
        <w:shd w:fill="F0F0F0" w:val="clear"/>
        <w:spacing w:after="14" w:before="14"/>
        <w:ind w:left="360"/>
      </w:pPr>
      <w:r>
        <w:rPr>
          <w:rFonts w:ascii="Courier New" w:cs="Courier New" w:eastAsia="Courier New" w:hAnsi="Courier New"/>
          <w:color w:val="1B2A4A"/>
          <w:sz w:val="16"/>
          <w:szCs w:val="16"/>
        </w:rPr>
        <w:t xml:space="preserve">    "title": "Agricultural Drone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agricultural drone companies, precision farming UAV businesses, and agri-drone service providers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"Agricultural drone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drone spray to precision harvest — strategy for agricultural drone businesses.",</w:t>
      </w:r>
    </w:p>
    <w:p>
      <w:pPr>
        <w:shd w:fill="F0F0F0" w:val="clear"/>
        <w:spacing w:after="14" w:before="14"/>
        <w:ind w:left="360"/>
      </w:pPr>
      <w:r>
        <w:rPr>
          <w:rFonts w:ascii="Courier New" w:cs="Courier New" w:eastAsia="Courier New" w:hAnsi="Courier New"/>
          <w:color w:val="1B2A4A"/>
          <w:sz w:val="16"/>
          <w:szCs w:val="16"/>
        </w:rPr>
        <w:t xml:space="preserve">    "hero": "Agricultural drones are transforming farming productivity — with crop spraying drones, multispectral imaging platforms, seeding drones, and crop monitoring services all delivering measurable yield improvements and input cost reductions for farmers. Agricultural drone manufacturers, agri-drone service companies, and drone agricultural analytics platforms are all evaluating new market entry opportunities across Southeast Asia, South Asia, and Africa as crop protection chemical costs, labour shortages, and government precision agriculture programmes create commercial demand. GreyRadius helps agricultural drone businesses validate farmer and agribusiness demand, navigate regulatory pathways, execute GTM plans, and raise capital.",</w:t>
      </w:r>
    </w:p>
    <w:p>
      <w:pPr>
        <w:shd w:fill="F0F0F0" w:val="clear"/>
        <w:spacing w:after="14" w:before="14"/>
        <w:ind w:left="360"/>
      </w:pPr>
      <w:r>
        <w:rPr>
          <w:rFonts w:ascii="Courier New" w:cs="Courier New" w:eastAsia="Courier New" w:hAnsi="Courier New"/>
          <w:color w:val="1B2A4A"/>
          <w:sz w:val="16"/>
          <w:szCs w:val="16"/>
        </w:rPr>
        <w:t xml:space="preserve">    "market_timing": "India's drone promotion policy, Indonesia's agricultural drone regulations, and China's demonstrated agricultural drone model have created a clear commercial pathway. The Indian government's PLI scheme for drones and the DGCA framework for agricultural drone operations are enabling commercial scale deployment. Southeast Asian governments facing agricultural labour shortages are actively promoting drone adoption as a productivity solution.",</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agricultural drone market is projected to reach $10B by 2030 — growing at 25% annually as crop spraying efficiency, precision application, and monitoring capability drive adoption across rice, cotton, and plantation crops.",</w:t>
      </w:r>
    </w:p>
    <w:p>
      <w:pPr>
        <w:shd w:fill="F0F0F0" w:val="clear"/>
        <w:spacing w:after="14" w:before="14"/>
        <w:ind w:left="360"/>
      </w:pPr>
      <w:r>
        <w:rPr>
          <w:rFonts w:ascii="Courier New" w:cs="Courier New" w:eastAsia="Courier New" w:hAnsi="Courier New"/>
          <w:color w:val="1B2A4A"/>
          <w:sz w:val="16"/>
          <w:szCs w:val="16"/>
        </w:rPr>
        <w:t xml:space="preserve">      "Rice paddy drone spraying is the highest-volume agricultural drone application globally — Southeast Asian and South Asian rice cultivation creates enormous addressable market for drone spraying services.",</w:t>
      </w:r>
    </w:p>
    <w:p>
      <w:pPr>
        <w:shd w:fill="F0F0F0" w:val="clear"/>
        <w:spacing w:after="14" w:before="14"/>
        <w:ind w:left="360"/>
      </w:pPr>
      <w:r>
        <w:rPr>
          <w:rFonts w:ascii="Courier New" w:cs="Courier New" w:eastAsia="Courier New" w:hAnsi="Courier New"/>
          <w:color w:val="1B2A4A"/>
          <w:sz w:val="16"/>
          <w:szCs w:val="16"/>
        </w:rPr>
        <w:t xml:space="preserve">      "Multispectral imaging drones are enabling precision agriculture — NDVI mapping, crop stress detection, and variable rate application recommendations are delivering 10-15% yield improvements in documented field trials.",</w:t>
      </w:r>
    </w:p>
    <w:p>
      <w:pPr>
        <w:shd w:fill="F0F0F0" w:val="clear"/>
        <w:spacing w:after="14" w:before="14"/>
        <w:ind w:left="360"/>
      </w:pPr>
      <w:r>
        <w:rPr>
          <w:rFonts w:ascii="Courier New" w:cs="Courier New" w:eastAsia="Courier New" w:hAnsi="Courier New"/>
          <w:color w:val="1B2A4A"/>
          <w:sz w:val="16"/>
          <w:szCs w:val="16"/>
        </w:rPr>
        <w:t xml:space="preserve">      "Government subsidy programmes are accelerating agricultural drone adoption — India's Namo Drone Didi programme, China's agricultural drone subsidies, and Southeast Asian mechanisation support schemes are all subsidising farmer drone access."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"Farmer willingness to pay for drone services is limited — smallholder farmers in South Asia and Southeast Asia operate on thin margins and require clear, demonstrated cost savings before adopting drone services.",</w:t>
      </w:r>
    </w:p>
    <w:p>
      <w:pPr>
        <w:shd w:fill="F0F0F0" w:val="clear"/>
        <w:spacing w:after="14" w:before="14"/>
        <w:ind w:left="360"/>
      </w:pPr>
      <w:r>
        <w:rPr>
          <w:rFonts w:ascii="Courier New" w:cs="Courier New" w:eastAsia="Courier New" w:hAnsi="Courier New"/>
          <w:color w:val="1B2A4A"/>
          <w:sz w:val="16"/>
          <w:szCs w:val="16"/>
        </w:rPr>
        <w:t xml:space="preserve">      "Regulatory approval for agricultural drone operations is still evolving — beyond visual line of sight permissions, pesticide spraying drone approvals, and commercial operation licences vary by market and are still being established.",</w:t>
      </w:r>
    </w:p>
    <w:p>
      <w:pPr>
        <w:shd w:fill="F0F0F0" w:val="clear"/>
        <w:spacing w:after="14" w:before="14"/>
        <w:ind w:left="360"/>
      </w:pPr>
      <w:r>
        <w:rPr>
          <w:rFonts w:ascii="Courier New" w:cs="Courier New" w:eastAsia="Courier New" w:hAnsi="Courier New"/>
          <w:color w:val="1B2A4A"/>
          <w:sz w:val="16"/>
          <w:szCs w:val="16"/>
        </w:rPr>
        <w:t xml:space="preserve">      "After-sales service and maintenance infrastructure is critical — agricultural drones operating in harsh field conditions require regular maintenance and repair services that new entrants must build or partner to provide.",</w:t>
      </w:r>
    </w:p>
    <w:p>
      <w:pPr>
        <w:shd w:fill="F0F0F0" w:val="clear"/>
        <w:spacing w:after="14" w:before="14"/>
        <w:ind w:left="360"/>
      </w:pPr>
      <w:r>
        <w:rPr>
          <w:rFonts w:ascii="Courier New" w:cs="Courier New" w:eastAsia="Courier New" w:hAnsi="Courier New"/>
          <w:color w:val="1B2A4A"/>
          <w:sz w:val="16"/>
          <w:szCs w:val="16"/>
        </w:rPr>
        <w:t xml:space="preserve">      "Seasonal demand concentration creates operational planning challenges — agricultural drone demand peaks during planting and growing seasons, requiring careful fleet management and service team deployment."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"Farmer and agribusiness demand validation|You need to validate farmer willingness to use and pay for drone services and what crops, geographies, and application types offer the best commercial opportunity.",</w:t>
      </w:r>
    </w:p>
    <w:p>
      <w:pPr>
        <w:shd w:fill="F0F0F0" w:val="clear"/>
        <w:spacing w:after="14" w:before="14"/>
        <w:ind w:left="360"/>
      </w:pPr>
      <w:r>
        <w:rPr>
          <w:rFonts w:ascii="Courier New" w:cs="Courier New" w:eastAsia="Courier New" w:hAnsi="Courier New"/>
          <w:color w:val="1B2A4A"/>
          <w:sz w:val="16"/>
          <w:szCs w:val="16"/>
        </w:rPr>
        <w:t xml:space="preserve">      "Regulatory approval pathway|You need to understand agricultural drone certification, commercial operation permits, and pesticide spraying approval requirements in your target market.",</w:t>
      </w:r>
    </w:p>
    <w:p>
      <w:pPr>
        <w:shd w:fill="F0F0F0" w:val="clear"/>
        <w:spacing w:after="14" w:before="14"/>
        <w:ind w:left="360"/>
      </w:pPr>
      <w:r>
        <w:rPr>
          <w:rFonts w:ascii="Courier New" w:cs="Courier New" w:eastAsia="Courier New" w:hAnsi="Courier New"/>
          <w:color w:val="1B2A4A"/>
          <w:sz w:val="16"/>
          <w:szCs w:val="16"/>
        </w:rPr>
        <w:t xml:space="preserve">      "Distribution and service partner strategy|You need to identify agricultural cooperative partners, input dealers, and drone service companies as distribution and service channels.",</w:t>
      </w:r>
    </w:p>
    <w:p>
      <w:pPr>
        <w:shd w:fill="F0F0F0" w:val="clear"/>
        <w:spacing w:after="14" w:before="14"/>
        <w:ind w:left="360"/>
      </w:pPr>
      <w:r>
        <w:rPr>
          <w:rFonts w:ascii="Courier New" w:cs="Courier New" w:eastAsia="Courier New" w:hAnsi="Courier New"/>
          <w:color w:val="1B2A4A"/>
          <w:sz w:val="16"/>
          <w:szCs w:val="16"/>
        </w:rPr>
        <w:t xml:space="preserve">      "GTM for agricultural drone technology or services|You have a drone product or drone service business and need a go-to-market strategy covering farmer and agribusiness acquisition.",</w:t>
      </w:r>
    </w:p>
    <w:p>
      <w:pPr>
        <w:shd w:fill="F0F0F0" w:val="clear"/>
        <w:spacing w:after="14" w:before="14"/>
        <w:ind w:left="360"/>
      </w:pPr>
      <w:r>
        <w:rPr>
          <w:rFonts w:ascii="Courier New" w:cs="Courier New" w:eastAsia="Courier New" w:hAnsi="Courier New"/>
          <w:color w:val="1B2A4A"/>
          <w:sz w:val="16"/>
          <w:szCs w:val="16"/>
        </w:rPr>
        <w:t xml:space="preserve">      "Raising capital for an agricultural drone venture|You are raising investment and need a pitch book grounded in farmer demand data and agricultural drone market sizing.",</w:t>
      </w:r>
    </w:p>
    <w:p>
      <w:pPr>
        <w:shd w:fill="F0F0F0" w:val="clear"/>
        <w:spacing w:after="14" w:before="14"/>
        <w:ind w:left="360"/>
      </w:pPr>
      <w:r>
        <w:rPr>
          <w:rFonts w:ascii="Courier New" w:cs="Courier New" w:eastAsia="Courier New" w:hAnsi="Courier New"/>
          <w:color w:val="1B2A4A"/>
          <w:sz w:val="16"/>
          <w:szCs w:val="16"/>
        </w:rPr>
        <w:t xml:space="preserve">      "Government subsidy and programme access|You need to map government agricultural drone subsidy programmes, mechanisation grants, and precision agriculture schemes."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farmer and agribusiness demand for agricultural drones in a new market. Covers farmer surveys, agribusiness interviews, regulatory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agricultural drone investments. Covers farmer adoption modelling, service unit economics, regulatory compliance cost,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agricultural drone companies. Regulatory approval pathway, agricultural cooperative and dealer distribution development, and first-commercial-operation milestone.",</w:t>
      </w:r>
    </w:p>
    <w:p>
      <w:pPr>
        <w:shd w:fill="F0F0F0" w:val="clear"/>
        <w:spacing w:after="14" w:before="14"/>
        <w:ind w:left="360"/>
      </w:pPr>
      <w:r>
        <w:rPr>
          <w:rFonts w:ascii="Courier New" w:cs="Courier New" w:eastAsia="Courier New" w:hAnsi="Courier New"/>
          <w:color w:val="1B2A4A"/>
          <w:sz w:val="16"/>
          <w:szCs w:val="16"/>
        </w:rPr>
        <w:t xml:space="preserve">      "Embedded GTM team for agri-drone platforms. Farmer and cooperative outreach, government programme pipeline,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agricultural drone ventures. Farmer-demand-validated market sizing, service economics, government subsidy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in agricultural drones — from multispectral crop health analysis and variable rate application to autonomous flight path optimisation and yield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agricultural drone manufacturers or also with drone service providers and agri-analytics companies?|All three. We work with manufacturers on market entry and regulatory approval, service companies on GTM and market entry, and analytics companies on GTM and fundraising.",</w:t>
      </w:r>
    </w:p>
    <w:p>
      <w:pPr>
        <w:shd w:fill="F0F0F0" w:val="clear"/>
        <w:spacing w:after="14" w:before="14"/>
        <w:ind w:left="360"/>
      </w:pPr>
      <w:r>
        <w:rPr>
          <w:rFonts w:ascii="Courier New" w:cs="Courier New" w:eastAsia="Courier New" w:hAnsi="Courier New"/>
          <w:color w:val="1B2A4A"/>
          <w:sz w:val="16"/>
          <w:szCs w:val="16"/>
        </w:rPr>
        <w:t xml:space="preserve">      "What agricultural drone markets does GreyRadius cover?|Southeast Asia, South Asia, and Africa — markets with large smallholder farmer populations and active government precision agriculture programmes.",</w:t>
      </w:r>
    </w:p>
    <w:p>
      <w:pPr>
        <w:shd w:fill="F0F0F0" w:val="clear"/>
        <w:spacing w:after="14" w:before="14"/>
        <w:ind w:left="360"/>
      </w:pPr>
      <w:r>
        <w:rPr>
          <w:rFonts w:ascii="Courier New" w:cs="Courier New" w:eastAsia="Courier New" w:hAnsi="Courier New"/>
          <w:color w:val="1B2A4A"/>
          <w:sz w:val="16"/>
          <w:szCs w:val="16"/>
        </w:rPr>
        <w:t xml:space="preserve">      "How long does an agricultural drone market entry engagement take?|Typically 6–10 weeks for farmer demand research, regulatory approval mapping, and distribution strategy.",</w:t>
      </w:r>
    </w:p>
    <w:p>
      <w:pPr>
        <w:shd w:fill="F0F0F0" w:val="clear"/>
        <w:spacing w:after="14" w:before="14"/>
        <w:ind w:left="360"/>
      </w:pPr>
      <w:r>
        <w:rPr>
          <w:rFonts w:ascii="Courier New" w:cs="Courier New" w:eastAsia="Courier New" w:hAnsi="Courier New"/>
          <w:color w:val="1B2A4A"/>
          <w:sz w:val="16"/>
          <w:szCs w:val="16"/>
        </w:rPr>
        <w:t xml:space="preserve">      "Can GreyRadius identify agricultural cooperative distribution partners for drone companies?|Yes. Cooperative and dealer network identification are part of our market entry execution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"agricultural drone market entry, agri drone GTM strategy, farming UAV consulting, precision agriculture drone advisory, agri drone strategy, crop spraying drone market entry",</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Africa",</w:t>
      </w:r>
    </w:p>
    <w:p>
      <w:pPr>
        <w:shd w:fill="F0F0F0" w:val="clear"/>
        <w:spacing w:after="14" w:before="14"/>
        <w:ind w:left="360"/>
      </w:pPr>
      <w:r>
        <w:rPr>
          <w:rFonts w:ascii="Courier New" w:cs="Courier New" w:eastAsia="Courier New" w:hAnsi="Courier New"/>
          <w:color w:val="1B2A4A"/>
          <w:sz w:val="16"/>
          <w:szCs w:val="16"/>
        </w:rPr>
        <w:t xml:space="preserve">    "stat1n": "$10B+",</w:t>
      </w:r>
    </w:p>
    <w:p>
      <w:pPr>
        <w:shd w:fill="F0F0F0" w:val="clear"/>
        <w:spacing w:after="14" w:before="14"/>
        <w:ind w:left="360"/>
      </w:pPr>
      <w:r>
        <w:rPr>
          <w:rFonts w:ascii="Courier New" w:cs="Courier New" w:eastAsia="Courier New" w:hAnsi="Courier New"/>
          <w:color w:val="1B2A4A"/>
          <w:sz w:val="16"/>
          <w:szCs w:val="16"/>
        </w:rPr>
        <w:t xml:space="preserve">    "stat1l": "Global agricultural drone market by 2030",</w:t>
      </w:r>
    </w:p>
    <w:p>
      <w:pPr>
        <w:shd w:fill="F0F0F0" w:val="clear"/>
        <w:spacing w:after="14" w:before="14"/>
        <w:ind w:left="360"/>
      </w:pPr>
      <w:r>
        <w:rPr>
          <w:rFonts w:ascii="Courier New" w:cs="Courier New" w:eastAsia="Courier New" w:hAnsi="Courier New"/>
          <w:color w:val="1B2A4A"/>
          <w:sz w:val="16"/>
          <w:szCs w:val="16"/>
        </w:rPr>
        <w:t xml:space="preserve">    "stat1b": "Growing at 25% annually as crop spraying efficiency, precision application, and monitoring capability drive adoption.",</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agri-drone mandate",</w:t>
      </w:r>
    </w:p>
    <w:p>
      <w:pPr>
        <w:shd w:fill="F0F0F0" w:val="clear"/>
        <w:spacing w:after="14" w:before="14"/>
        <w:ind w:left="360"/>
      </w:pPr>
      <w:r>
        <w:rPr>
          <w:rFonts w:ascii="Courier New" w:cs="Courier New" w:eastAsia="Courier New" w:hAnsi="Courier New"/>
          <w:color w:val="1B2A4A"/>
          <w:sz w:val="16"/>
          <w:szCs w:val="16"/>
        </w:rPr>
        <w:t xml:space="preserve">    "stat2b": "Farmers, agricultural cooperatives, and government precision agriculture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farmer demand mapping and regulatory pathway research delivers agricultural drone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"digital-payments-infrastructure",</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"fintech-payments",</w:t>
      </w:r>
    </w:p>
    <w:p>
      <w:pPr>
        <w:shd w:fill="F0F0F0" w:val="clear"/>
        <w:spacing w:after="14" w:before="14"/>
        <w:ind w:left="360"/>
      </w:pPr>
      <w:r>
        <w:rPr>
          <w:rFonts w:ascii="Courier New" w:cs="Courier New" w:eastAsia="Courier New" w:hAnsi="Courier New"/>
          <w:color w:val="1B2A4A"/>
          <w:sz w:val="16"/>
          <w:szCs w:val="16"/>
        </w:rPr>
        <w:t xml:space="preserve">    "title": "Digital Payments Infrastructure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digital payments infrastructure companies, payment switch providers, and payment network businesses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"Digital payments infrastructure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payment rails to national transaction network — strategy for payments infrastructure businesses.",</w:t>
      </w:r>
    </w:p>
    <w:p>
      <w:pPr>
        <w:shd w:fill="F0F0F0" w:val="clear"/>
        <w:spacing w:after="14" w:before="14"/>
        <w:ind w:left="360"/>
      </w:pPr>
      <w:r>
        <w:rPr>
          <w:rFonts w:ascii="Courier New" w:cs="Courier New" w:eastAsia="Courier New" w:hAnsi="Courier New"/>
          <w:color w:val="1B2A4A"/>
          <w:sz w:val="16"/>
          <w:szCs w:val="16"/>
        </w:rPr>
        <w:t xml:space="preserve">    "hero": "Digital payments infrastructure — the underlying technology networks, switches, processors, and clearing systems that enable electronic payments — is experiencing significant investment and transformation across emerging markets. Payment switch providers, real-time payment network operators, payment gateway companies, and payment processing infrastructure businesses are all evaluating new market entry opportunities as emerging market central banks build national payment systems and fintech ecosystems demand better underlying infrastructure. GreyRadius helps payments infrastructure businesses validate central bank and bank buyer demand, navigate regulatory requirements, execute GTM plans, and raise capital.",</w:t>
      </w:r>
    </w:p>
    <w:p>
      <w:pPr>
        <w:shd w:fill="F0F0F0" w:val="clear"/>
        <w:spacing w:after="14" w:before="14"/>
        <w:ind w:left="360"/>
      </w:pPr>
      <w:r>
        <w:rPr>
          <w:rFonts w:ascii="Courier New" w:cs="Courier New" w:eastAsia="Courier New" w:hAnsi="Courier New"/>
          <w:color w:val="1B2A4A"/>
          <w:sz w:val="16"/>
          <w:szCs w:val="16"/>
        </w:rPr>
        <w:t xml:space="preserve">    "market_timing": "Central banks across Southeast Asia, South Asia, and Africa are building national real-time payment systems — India's UPI has demonstrated the transformative potential of government-backed payment infrastructure, and similar systems are being built in Thailand, Indonesia, the Philippines, Nigeria, and several Gulf states. The technology companies providing the infrastructure for these systems have a once-in-a-generation market entry opportunity.",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payments infrastructure market is projected to reach $180B by 2028 — growing at 10% annually as real-time payment network expansion, cross-border payment infrastructure, and payment security investment all scale.",</w:t>
      </w:r>
    </w:p>
    <w:p>
      <w:pPr>
        <w:shd w:fill="F0F0F0" w:val="clear"/>
        <w:spacing w:after="14" w:before="14"/>
        <w:ind w:left="360"/>
      </w:pPr>
      <w:r>
        <w:rPr>
          <w:rFonts w:ascii="Courier New" w:cs="Courier New" w:eastAsia="Courier New" w:hAnsi="Courier New"/>
          <w:color w:val="1B2A4A"/>
          <w:sz w:val="16"/>
          <w:szCs w:val="16"/>
        </w:rPr>
        <w:t xml:space="preserve">      "Real-time payment network adoption is accelerating globally — UPI in India, PromptPay in Thailand, PayNow in Singapore, and similar systems in Malaysia, Indonesia, and Africa are transforming domestic payment economics.",</w:t>
      </w:r>
    </w:p>
    <w:p>
      <w:pPr>
        <w:shd w:fill="F0F0F0" w:val="clear"/>
        <w:spacing w:after="14" w:before="14"/>
        <w:ind w:left="360"/>
      </w:pPr>
      <w:r>
        <w:rPr>
          <w:rFonts w:ascii="Courier New" w:cs="Courier New" w:eastAsia="Courier New" w:hAnsi="Courier New"/>
          <w:color w:val="1B2A4A"/>
          <w:sz w:val="16"/>
          <w:szCs w:val="16"/>
        </w:rPr>
        <w:t xml:space="preserve">      "Cross-border payment infrastructure is the next frontier — connecting national real-time payment systems through interoperability frameworks is creating significant infrastructure investment in payment corridors across Asia and Africa.",</w:t>
      </w:r>
    </w:p>
    <w:p>
      <w:pPr>
        <w:shd w:fill="F0F0F0" w:val="clear"/>
        <w:spacing w:after="14" w:before="14"/>
        <w:ind w:left="360"/>
      </w:pPr>
      <w:r>
        <w:rPr>
          <w:rFonts w:ascii="Courier New" w:cs="Courier New" w:eastAsia="Courier New" w:hAnsi="Courier New"/>
          <w:color w:val="1B2A4A"/>
          <w:sz w:val="16"/>
          <w:szCs w:val="16"/>
        </w:rPr>
        <w:t xml:space="preserve">      "ISO 20022 payment messaging migration is creating replacement infrastructure demand — global migration to the ISO 20022 payment data standard is requiring banks and payment providers to upgrade core payment processing systems."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"Payment infrastructure procurement requires central bank and regulatory approval — systems handling national payment flows require central bank certification, security audit, and regulatory authorisation before deployment.",</w:t>
      </w:r>
    </w:p>
    <w:p>
      <w:pPr>
        <w:shd w:fill="F0F0F0" w:val="clear"/>
        <w:spacing w:after="14" w:before="14"/>
        <w:ind w:left="360"/>
      </w:pPr>
      <w:r>
        <w:rPr>
          <w:rFonts w:ascii="Courier New" w:cs="Courier New" w:eastAsia="Courier New" w:hAnsi="Courier New"/>
          <w:color w:val="1B2A4A"/>
          <w:sz w:val="16"/>
          <w:szCs w:val="16"/>
        </w:rPr>
        <w:t xml:space="preserve">      "Incumbent payment processor relationships are entrenched — existing payment switch and processor relationships with banks are long-term and difficult to displace without a significant cost or capability advantage.",</w:t>
      </w:r>
    </w:p>
    <w:p>
      <w:pPr>
        <w:shd w:fill="F0F0F0" w:val="clear"/>
        <w:spacing w:after="14" w:before="14"/>
        <w:ind w:left="360"/>
      </w:pPr>
      <w:r>
        <w:rPr>
          <w:rFonts w:ascii="Courier New" w:cs="Courier New" w:eastAsia="Courier New" w:hAnsi="Courier New"/>
          <w:color w:val="1B2A4A"/>
          <w:sz w:val="16"/>
          <w:szCs w:val="16"/>
        </w:rPr>
        <w:t xml:space="preserve">      "Integration complexity with bank core banking systems is significant — payment infrastructure must integrate with hundreds of different bank core banking systems, requiring significant engineering investment.",</w:t>
      </w:r>
    </w:p>
    <w:p>
      <w:pPr>
        <w:shd w:fill="F0F0F0" w:val="clear"/>
        <w:spacing w:after="14" w:before="14"/>
        <w:ind w:left="360"/>
      </w:pPr>
      <w:r>
        <w:rPr>
          <w:rFonts w:ascii="Courier New" w:cs="Courier New" w:eastAsia="Courier New" w:hAnsi="Courier New"/>
          <w:color w:val="1B2A4A"/>
          <w:sz w:val="16"/>
          <w:szCs w:val="16"/>
        </w:rPr>
        <w:t xml:space="preserve">      "Security requirements for payment infrastructure are extreme — payment systems handling national transaction flows require the highest levels of cybersecurity, redundancy, and operational resilience."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"Central bank and bank buyer demand validation|You need to validate central bank programme requirements and commercial bank technology procurement priorities in your target payment market.",</w:t>
      </w:r>
    </w:p>
    <w:p>
      <w:pPr>
        <w:shd w:fill="F0F0F0" w:val="clear"/>
        <w:spacing w:after="14" w:before="14"/>
        <w:ind w:left="360"/>
      </w:pPr>
      <w:r>
        <w:rPr>
          <w:rFonts w:ascii="Courier New" w:cs="Courier New" w:eastAsia="Courier New" w:hAnsi="Courier New"/>
          <w:color w:val="1B2A4A"/>
          <w:sz w:val="16"/>
          <w:szCs w:val="16"/>
        </w:rPr>
        <w:t xml:space="preserve">      "Regulatory certification and approval pathway|You need to understand payment system certification, security audit requirements, and regulatory approval processes in your target market.",</w:t>
      </w:r>
    </w:p>
    <w:p>
      <w:pPr>
        <w:shd w:fill="F0F0F0" w:val="clear"/>
        <w:spacing w:after="14" w:before="14"/>
        <w:ind w:left="360"/>
      </w:pPr>
      <w:r>
        <w:rPr>
          <w:rFonts w:ascii="Courier New" w:cs="Courier New" w:eastAsia="Courier New" w:hAnsi="Courier New"/>
          <w:color w:val="1B2A4A"/>
          <w:sz w:val="16"/>
          <w:szCs w:val="16"/>
        </w:rPr>
        <w:t xml:space="preserve">      "GTM for payment infrastructure technology|You have a payment switch, real-time payment platform, or payment processing system and need a go-to-market strategy covering central bank and commercial bank acquisition.",</w:t>
      </w:r>
    </w:p>
    <w:p>
      <w:pPr>
        <w:shd w:fill="F0F0F0" w:val="clear"/>
        <w:spacing w:after="14" w:before="14"/>
        <w:ind w:left="360"/>
      </w:pPr>
      <w:r>
        <w:rPr>
          <w:rFonts w:ascii="Courier New" w:cs="Courier New" w:eastAsia="Courier New" w:hAnsi="Courier New"/>
          <w:color w:val="1B2A4A"/>
          <w:sz w:val="16"/>
          <w:szCs w:val="16"/>
        </w:rPr>
        <w:t xml:space="preserve">      "Raising capital for a payments infrastructure venture|You are raising investment and need a pitch book grounded in payment volume data and infrastructure market sizing.",</w:t>
      </w:r>
    </w:p>
    <w:p>
      <w:pPr>
        <w:shd w:fill="F0F0F0" w:val="clear"/>
        <w:spacing w:after="14" w:before="14"/>
        <w:ind w:left="360"/>
      </w:pPr>
      <w:r>
        <w:rPr>
          <w:rFonts w:ascii="Courier New" w:cs="Courier New" w:eastAsia="Courier New" w:hAnsi="Courier New"/>
          <w:color w:val="1B2A4A"/>
          <w:sz w:val="16"/>
          <w:szCs w:val="16"/>
        </w:rPr>
        <w:t xml:space="preserve">      "Integration and partnership strategy|You need to identify bank core banking system vendors and payment consultancies as integration and channel partners.",</w:t>
      </w:r>
    </w:p>
    <w:p>
      <w:pPr>
        <w:shd w:fill="F0F0F0" w:val="clear"/>
        <w:spacing w:after="14" w:before="14"/>
        <w:ind w:left="360"/>
      </w:pPr>
      <w:r>
        <w:rPr>
          <w:rFonts w:ascii="Courier New" w:cs="Courier New" w:eastAsia="Courier New" w:hAnsi="Courier New"/>
          <w:color w:val="1B2A4A"/>
          <w:sz w:val="16"/>
          <w:szCs w:val="16"/>
        </w:rPr>
        <w:t xml:space="preserve">      "Competitive intelligence|You need to understand how competing payment infrastructure companies are positioned in your target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central bank and commercial bank demand for payment infrastructure in a new market. Covers central bank programme mapping, bank technology buyer interviews, competitive analysis,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payment infrastructure investments. Covers transaction volume modelling, certification cost, integration economics,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payment infrastructure companies. Regulatory certification pathway, central bank and bank ICP, integration partner identification, and first-deployment milestone.",</w:t>
      </w:r>
    </w:p>
    <w:p>
      <w:pPr>
        <w:shd w:fill="F0F0F0" w:val="clear"/>
        <w:spacing w:after="14" w:before="14"/>
        <w:ind w:left="360"/>
      </w:pPr>
      <w:r>
        <w:rPr>
          <w:rFonts w:ascii="Courier New" w:cs="Courier New" w:eastAsia="Courier New" w:hAnsi="Courier New"/>
          <w:color w:val="1B2A4A"/>
          <w:sz w:val="16"/>
          <w:szCs w:val="16"/>
        </w:rPr>
        <w:t xml:space="preserve">      "Embedded GTM team for payment infrastructure platforms. Central bank and bank outreach, integration partner pipeline,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payment infrastructure ventures. Transaction-volume-validated market sizing, regulatory approval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in payments infrastructure — from real-time fraud detection and anomaly monitoring to payment routing optimisation and predictive liquidity management."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payment switch companies or also with payment gateway and payment processing infrastructure providers?|All three. We work with payment switches on market entry and central bank engagement, payment gateways on market entry and GTM, and payment processors on GTM and fundraising.",</w:t>
      </w:r>
    </w:p>
    <w:p>
      <w:pPr>
        <w:shd w:fill="F0F0F0" w:val="clear"/>
        <w:spacing w:after="14" w:before="14"/>
        <w:ind w:left="360"/>
      </w:pPr>
      <w:r>
        <w:rPr>
          <w:rFonts w:ascii="Courier New" w:cs="Courier New" w:eastAsia="Courier New" w:hAnsi="Courier New"/>
          <w:color w:val="1B2A4A"/>
          <w:sz w:val="16"/>
          <w:szCs w:val="16"/>
        </w:rPr>
        <w:t xml:space="preserve">      "What payment infrastructure markets does GreyRadius cover?|Southeast Asia, South Asia, the Gulf, and Africa — markets with active national payment system investment and growing fintech ecosystem demand.",</w:t>
      </w:r>
    </w:p>
    <w:p>
      <w:pPr>
        <w:shd w:fill="F0F0F0" w:val="clear"/>
        <w:spacing w:after="14" w:before="14"/>
        <w:ind w:left="360"/>
      </w:pPr>
      <w:r>
        <w:rPr>
          <w:rFonts w:ascii="Courier New" w:cs="Courier New" w:eastAsia="Courier New" w:hAnsi="Courier New"/>
          <w:color w:val="1B2A4A"/>
          <w:sz w:val="16"/>
          <w:szCs w:val="16"/>
        </w:rPr>
        <w:t xml:space="preserve">      "How long does a payment infrastructure market entry engagement take?|Typically 8–12 weeks given the complexity of central bank programme mapping and regulatory certification research.",</w:t>
      </w:r>
    </w:p>
    <w:p>
      <w:pPr>
        <w:shd w:fill="F0F0F0" w:val="clear"/>
        <w:spacing w:after="14" w:before="14"/>
        <w:ind w:left="360"/>
      </w:pPr>
      <w:r>
        <w:rPr>
          <w:rFonts w:ascii="Courier New" w:cs="Courier New" w:eastAsia="Courier New" w:hAnsi="Courier New"/>
          <w:color w:val="1B2A4A"/>
          <w:sz w:val="16"/>
          <w:szCs w:val="16"/>
        </w:rPr>
        <w:t xml:space="preserve">      "Can GreyRadius support central bank programme engagement for payment infrastructure companies?|We map the programme landscape and identify the right engagement approach — formal regulatory submissions are managed by the company."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"digital payments infrastructure market entry, payment switch GTM strategy, payment network consulting, payments infrastructure advisory, real time payments market entry, payment rails strategy",</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Gulf, Africa",</w:t>
      </w:r>
    </w:p>
    <w:p>
      <w:pPr>
        <w:shd w:fill="F0F0F0" w:val="clear"/>
        <w:spacing w:after="14" w:before="14"/>
        <w:ind w:left="360"/>
      </w:pPr>
      <w:r>
        <w:rPr>
          <w:rFonts w:ascii="Courier New" w:cs="Courier New" w:eastAsia="Courier New" w:hAnsi="Courier New"/>
          <w:color w:val="1B2A4A"/>
          <w:sz w:val="16"/>
          <w:szCs w:val="16"/>
        </w:rPr>
        <w:t xml:space="preserve">    "stat1n": "$180B+",</w:t>
      </w:r>
    </w:p>
    <w:p>
      <w:pPr>
        <w:shd w:fill="F0F0F0" w:val="clear"/>
        <w:spacing w:after="14" w:before="14"/>
        <w:ind w:left="360"/>
      </w:pPr>
      <w:r>
        <w:rPr>
          <w:rFonts w:ascii="Courier New" w:cs="Courier New" w:eastAsia="Courier New" w:hAnsi="Courier New"/>
          <w:color w:val="1B2A4A"/>
          <w:sz w:val="16"/>
          <w:szCs w:val="16"/>
        </w:rPr>
        <w:t xml:space="preserve">    "stat1l": "Global payments infrastructure market by 2028",</w:t>
      </w:r>
    </w:p>
    <w:p>
      <w:pPr>
        <w:shd w:fill="F0F0F0" w:val="clear"/>
        <w:spacing w:after="14" w:before="14"/>
        <w:ind w:left="360"/>
      </w:pPr>
      <w:r>
        <w:rPr>
          <w:rFonts w:ascii="Courier New" w:cs="Courier New" w:eastAsia="Courier New" w:hAnsi="Courier New"/>
          <w:color w:val="1B2A4A"/>
          <w:sz w:val="16"/>
          <w:szCs w:val="16"/>
        </w:rPr>
        <w:t xml:space="preserve">    "stat1b": "Growing at 10% annually as real-time payment network expansion and cross-border payment infrastructure investment both scale.",</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payment infrastructure mandate",</w:t>
      </w:r>
    </w:p>
    <w:p>
      <w:pPr>
        <w:shd w:fill="F0F0F0" w:val="clear"/>
        <w:spacing w:after="14" w:before="14"/>
        <w:ind w:left="360"/>
      </w:pPr>
      <w:r>
        <w:rPr>
          <w:rFonts w:ascii="Courier New" w:cs="Courier New" w:eastAsia="Courier New" w:hAnsi="Courier New"/>
          <w:color w:val="1B2A4A"/>
          <w:sz w:val="16"/>
          <w:szCs w:val="16"/>
        </w:rPr>
        <w:t xml:space="preserve">    "stat2b": "Central bank officials, bank technology heads, and payment network managers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central bank programme mapping and bank procurement research delivers payment infrastructure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"manufacturing-industrials",</w:t>
      </w:r>
    </w:p>
    <w:p>
      <w:pPr>
        <w:shd w:fill="F0F0F0" w:val="clear"/>
        <w:spacing w:after="14" w:before="14"/>
        <w:ind w:left="360"/>
      </w:pPr>
      <w:r>
        <w:rPr>
          <w:rFonts w:ascii="Courier New" w:cs="Courier New" w:eastAsia="Courier New" w:hAnsi="Courier New"/>
          <w:color w:val="1B2A4A"/>
          <w:sz w:val="16"/>
          <w:szCs w:val="16"/>
        </w:rPr>
        <w:t xml:space="preserve">    "title": "India Market Entry Strategy &amp; Consulting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companies enter the Indian market with market entry strategy, regulatory pathway mapping, GTM execution, partner identification, and fundraising support.",</w:t>
      </w:r>
    </w:p>
    <w:p>
      <w:pPr>
        <w:shd w:fill="F0F0F0" w:val="clear"/>
        <w:spacing w:after="14" w:before="14"/>
        <w:ind w:left="360"/>
      </w:pPr>
      <w:r>
        <w:rPr>
          <w:rFonts w:ascii="Courier New" w:cs="Courier New" w:eastAsia="Courier New" w:hAnsi="Courier New"/>
          <w:color w:val="1B2A4A"/>
          <w:sz w:val="16"/>
          <w:szCs w:val="16"/>
        </w:rPr>
        <w:t xml:space="preserve">    "h1": "India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ambition to Indian revenue — strategy for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 is the world's most significant market entry opportunity of the 2020s — the world's most populous country, one of its fastest-growing major economies, and a market with extraordinary diversity across languages, regulatory frameworks, consumer segments, and competitive dynamics. International companies across technology, healthcare, consumer goods, financial services, education, energy, and industrial sectors are all evaluating India market entry. GreyRadius helps international companies validate Indian market demand, navigate regulatory complexity, identify the right partners, execute go-to-market strategies, and raise capital for Indian market investment — grounded in primary research across India's diverse regional markets.",</w:t>
      </w:r>
    </w:p>
    <w:p>
      <w:pPr>
        <w:shd w:fill="F0F0F0" w:val="clear"/>
        <w:spacing w:after="14" w:before="14"/>
        <w:ind w:left="360"/>
      </w:pPr>
      <w:r>
        <w:rPr>
          <w:rFonts w:ascii="Courier New" w:cs="Courier New" w:eastAsia="Courier New" w:hAnsi="Courier New"/>
          <w:color w:val="1B2A4A"/>
          <w:sz w:val="16"/>
          <w:szCs w:val="16"/>
        </w:rPr>
        <w:t xml:space="preserve">    "market_timing": "India is the world's fastest-growing major economy at 7%+ GDP growth annually. The PLI scheme is bringing manufacturing investment at scale. UPI digital payments have created a sophisticated consumer digital economy. The middle class is growing by 30-40 million households annually. The government is actively courting foreign investment. Companies that establish India market positions in 2024–2028 will be positioned for the decade of Indian economic expansion that follows.",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 GDP is projected to reach $7T by 2030 making it the world's third-largest economy — creating the world's largest consumer market expansion opportunity for international companies in virtually every sector.",</w:t>
      </w:r>
    </w:p>
    <w:p>
      <w:pPr>
        <w:shd w:fill="F0F0F0" w:val="clear"/>
        <w:spacing w:after="14" w:before="14"/>
        <w:ind w:left="360"/>
      </w:pPr>
      <w:r>
        <w:rPr>
          <w:rFonts w:ascii="Courier New" w:cs="Courier New" w:eastAsia="Courier New" w:hAnsi="Courier New"/>
          <w:color w:val="1B2A4A"/>
          <w:sz w:val="16"/>
          <w:szCs w:val="16"/>
        </w:rPr>
        <w:t xml:space="preserve">      "India's PLI scheme is attracting $35B+ in manufacturing investment — creating supply chain partner opportunities, component sourcing opportunities, and industrial service demand across electronics, pharmaceuticals, food processing, and automotive.",</w:t>
      </w:r>
    </w:p>
    <w:p>
      <w:pPr>
        <w:shd w:fill="F0F0F0" w:val="clear"/>
        <w:spacing w:after="14" w:before="14"/>
        <w:ind w:left="360"/>
      </w:pPr>
      <w:r>
        <w:rPr>
          <w:rFonts w:ascii="Courier New" w:cs="Courier New" w:eastAsia="Courier New" w:hAnsi="Courier New"/>
          <w:color w:val="1B2A4A"/>
          <w:sz w:val="16"/>
          <w:szCs w:val="16"/>
        </w:rPr>
        <w:t xml:space="preserve">      "Digital India infrastructure is enabling unprecedented consumer access — UPI payments, Aadhaar digital identity, and ONDC open commerce network are creating digital commerce infrastructure that international brands can access.",</w:t>
      </w:r>
    </w:p>
    <w:p>
      <w:pPr>
        <w:shd w:fill="F0F0F0" w:val="clear"/>
        <w:spacing w:after="14" w:before="14"/>
        <w:ind w:left="360"/>
      </w:pPr>
      <w:r>
        <w:rPr>
          <w:rFonts w:ascii="Courier New" w:cs="Courier New" w:eastAsia="Courier New" w:hAnsi="Courier New"/>
          <w:color w:val="1B2A4A"/>
          <w:sz w:val="16"/>
          <w:szCs w:val="16"/>
        </w:rPr>
        <w:t xml:space="preserve">      "India's middle class is growing at 30-40 million households annually — the fastest middle-class income growth in the world is creating first-time buyers across consumer electronics, branded FMCG, financial services, and healthcare."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"Regulatory complexity across states creates a federal compliance challenge — India has 28 states each with different regulatory interpretations, tax structures, and business environment characteristics that require market-specific navigation.",</w:t>
      </w:r>
    </w:p>
    <w:p>
      <w:pPr>
        <w:shd w:fill="F0F0F0" w:val="clear"/>
        <w:spacing w:after="14" w:before="14"/>
        <w:ind w:left="360"/>
      </w:pPr>
      <w:r>
        <w:rPr>
          <w:rFonts w:ascii="Courier New" w:cs="Courier New" w:eastAsia="Courier New" w:hAnsi="Courier New"/>
          <w:color w:val="1B2A4A"/>
          <w:sz w:val="16"/>
          <w:szCs w:val="16"/>
        </w:rPr>
        <w:t xml:space="preserve">      "Distribution fragmentation across urban and rural geographies requires significant investment — reaching both Tier 1 and Tier 2/3 city consumers requires different distribution approaches across modern trade, traditional trade, and digital channels.",</w:t>
      </w:r>
    </w:p>
    <w:p>
      <w:pPr>
        <w:shd w:fill="F0F0F0" w:val="clear"/>
        <w:spacing w:after="14" w:before="14"/>
        <w:ind w:left="360"/>
      </w:pPr>
      <w:r>
        <w:rPr>
          <w:rFonts w:ascii="Courier New" w:cs="Courier New" w:eastAsia="Courier New" w:hAnsi="Courier New"/>
          <w:color w:val="1B2A4A"/>
          <w:sz w:val="16"/>
          <w:szCs w:val="16"/>
        </w:rPr>
        <w:t xml:space="preserve">      "Price sensitivity varies dramatically by consumer segment — premium and mass-market consumer segments coexist in India, requiring careful product and pricing segmentation.",</w:t>
      </w:r>
    </w:p>
    <w:p>
      <w:pPr>
        <w:shd w:fill="F0F0F0" w:val="clear"/>
        <w:spacing w:after="14" w:before="14"/>
        <w:ind w:left="360"/>
      </w:pPr>
      <w:r>
        <w:rPr>
          <w:rFonts w:ascii="Courier New" w:cs="Courier New" w:eastAsia="Courier New" w:hAnsi="Courier New"/>
          <w:color w:val="1B2A4A"/>
          <w:sz w:val="16"/>
          <w:szCs w:val="16"/>
        </w:rPr>
        <w:t xml:space="preserve">      "Competition from established Indian companies is intense — local competitors with deep distribution, brand recognition, and consumer understanding have significant advantages that international entrants must overcome."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market demand validation|You need to validate consumer or enterprise demand for your product in India — including regional variation, price sensitivity, and willingness to switch from existing alternatives.",</w:t>
      </w:r>
    </w:p>
    <w:p>
      <w:pPr>
        <w:shd w:fill="F0F0F0" w:val="clear"/>
        <w:spacing w:after="14" w:before="14"/>
        <w:ind w:left="360"/>
      </w:pPr>
      <w:r>
        <w:rPr>
          <w:rFonts w:ascii="Courier New" w:cs="Courier New" w:eastAsia="Courier New" w:hAnsi="Courier New"/>
          <w:color w:val="1B2A4A"/>
          <w:sz w:val="16"/>
          <w:szCs w:val="16"/>
        </w:rPr>
        <w:t xml:space="preserve">      "Regulatory and corporate structure pathway|You need to understand the right legal entity structure, FEMA regulations, sectoral FDI rules, and regulatory approvals for your business in India.",</w:t>
      </w:r>
    </w:p>
    <w:p>
      <w:pPr>
        <w:shd w:fill="F0F0F0" w:val="clear"/>
        <w:spacing w:after="14" w:before="14"/>
        <w:ind w:left="360"/>
      </w:pPr>
      <w:r>
        <w:rPr>
          <w:rFonts w:ascii="Courier New" w:cs="Courier New" w:eastAsia="Courier New" w:hAnsi="Courier New"/>
          <w:color w:val="1B2A4A"/>
          <w:sz w:val="16"/>
          <w:szCs w:val="16"/>
        </w:rPr>
        <w:t xml:space="preserve">      "Distribution and channel partner identification|You need to identify distributors, channel partners, resellers, or retail chains across Indian geographies for your product category.",</w:t>
      </w:r>
    </w:p>
    <w:p>
      <w:pPr>
        <w:shd w:fill="F0F0F0" w:val="clear"/>
        <w:spacing w:after="14" w:before="14"/>
        <w:ind w:left="360"/>
      </w:pPr>
      <w:r>
        <w:rPr>
          <w:rFonts w:ascii="Courier New" w:cs="Courier New" w:eastAsia="Courier New" w:hAnsi="Courier New"/>
          <w:color w:val="1B2A4A"/>
          <w:sz w:val="16"/>
          <w:szCs w:val="16"/>
        </w:rPr>
        <w:t xml:space="preserve">      "India GTM strategy|You have a product ready for India and need a go-to-market plan covering ICP definition, channel strategy, pricing, and first-customer acquisition.",</w:t>
      </w:r>
    </w:p>
    <w:p>
      <w:pPr>
        <w:shd w:fill="F0F0F0" w:val="clear"/>
        <w:spacing w:after="14" w:before="14"/>
        <w:ind w:left="360"/>
      </w:pPr>
      <w:r>
        <w:rPr>
          <w:rFonts w:ascii="Courier New" w:cs="Courier New" w:eastAsia="Courier New" w:hAnsi="Courier New"/>
          <w:color w:val="1B2A4A"/>
          <w:sz w:val="16"/>
          <w:szCs w:val="16"/>
        </w:rPr>
        <w:t xml:space="preserve">      "Raising capital for India investment|You are raising investment for your India operations and need a pitch book grounded in Indian market demand data.",</w:t>
      </w:r>
    </w:p>
    <w:p>
      <w:pPr>
        <w:shd w:fill="F0F0F0" w:val="clear"/>
        <w:spacing w:after="14" w:before="14"/>
        <w:ind w:left="360"/>
      </w:pPr>
      <w:r>
        <w:rPr>
          <w:rFonts w:ascii="Courier New" w:cs="Courier New" w:eastAsia="Courier New" w:hAnsi="Courier New"/>
          <w:color w:val="1B2A4A"/>
          <w:sz w:val="16"/>
          <w:szCs w:val="16"/>
        </w:rPr>
        <w:t xml:space="preserve">      "JV and partnership identification|You need to identify Indian joint venture partners, strategic distributors, or manufacturing partners for your India market entry."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consumer or enterprise demand for your product across Indian market segments. Covers primary research across multiple Indian cities and consumer segments, competitive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India investment. Covers market demand modelling, regulatory compliance cost, distribution economics, and investor-ready financial projections.",</w:t>
      </w:r>
    </w:p>
    <w:p>
      <w:pPr>
        <w:shd w:fill="F0F0F0" w:val="clear"/>
        <w:spacing w:after="14" w:before="14"/>
        <w:ind w:left="360"/>
      </w:pPr>
      <w:r>
        <w:rPr>
          <w:rFonts w:ascii="Courier New" w:cs="Courier New" w:eastAsia="Courier New" w:hAnsi="Courier New"/>
          <w:color w:val="1B2A4A"/>
          <w:sz w:val="16"/>
          <w:szCs w:val="16"/>
        </w:rPr>
        <w:t xml:space="preserve">      "End-to-end India market entry. Corporate structure setup navigation, regulatory approvals, distribution partner identification, and first-customer acquisition.",</w:t>
      </w:r>
    </w:p>
    <w:p>
      <w:pPr>
        <w:shd w:fill="F0F0F0" w:val="clear"/>
        <w:spacing w:after="14" w:before="14"/>
        <w:ind w:left="360"/>
      </w:pPr>
      <w:r>
        <w:rPr>
          <w:rFonts w:ascii="Courier New" w:cs="Courier New" w:eastAsia="Courier New" w:hAnsi="Courier New"/>
          <w:color w:val="1B2A4A"/>
          <w:sz w:val="16"/>
          <w:szCs w:val="16"/>
        </w:rPr>
        <w:t xml:space="preserve">      "Embedded GTM team for India market launch. Distribution outreach, channel partner pipeline, customer acquisition execution,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investment. India-market-validated demand data, competitive landscape, and investor identification across India-focused PE and VC.",</w:t>
      </w:r>
    </w:p>
    <w:p>
      <w:pPr>
        <w:shd w:fill="F0F0F0" w:val="clear"/>
        <w:spacing w:after="14" w:before="14"/>
        <w:ind w:left="360"/>
      </w:pPr>
      <w:r>
        <w:rPr>
          <w:rFonts w:ascii="Courier New" w:cs="Courier New" w:eastAsia="Courier New" w:hAnsi="Courier New"/>
          <w:color w:val="1B2A4A"/>
          <w:sz w:val="16"/>
          <w:szCs w:val="16"/>
        </w:rPr>
        <w:t xml:space="preserve">      "AI use-case identification and implementation — identifying where AI can accelerate your India market penetration, from demand forecasting and supply chain optimisation to customer personalisation."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consumer companies or also with B2B and industrial companies entering India?|All segments. We work with consumer brands, B2B technology companies, industrial manufacturers, financial services companies, and healthcare businesses on India market entry.",</w:t>
      </w:r>
    </w:p>
    <w:p>
      <w:pPr>
        <w:shd w:fill="F0F0F0" w:val="clear"/>
        <w:spacing w:after="14" w:before="14"/>
        <w:ind w:left="360"/>
      </w:pPr>
      <w:r>
        <w:rPr>
          <w:rFonts w:ascii="Courier New" w:cs="Courier New" w:eastAsia="Courier New" w:hAnsi="Courier New"/>
          <w:color w:val="1B2A4A"/>
          <w:sz w:val="16"/>
          <w:szCs w:val="16"/>
        </w:rPr>
        <w:t xml:space="preserve">      "Which sectors does GreyRadius have the deepest India market entry experience in?|Technology, healthcare, consumer goods, financial services, and education — sectors where we have delivered multiple India market entry mandates.",</w:t>
      </w:r>
    </w:p>
    <w:p>
      <w:pPr>
        <w:shd w:fill="F0F0F0" w:val="clear"/>
        <w:spacing w:after="14" w:before="14"/>
        <w:ind w:left="360"/>
      </w:pPr>
      <w:r>
        <w:rPr>
          <w:rFonts w:ascii="Courier New" w:cs="Courier New" w:eastAsia="Courier New" w:hAnsi="Courier New"/>
          <w:color w:val="1B2A4A"/>
          <w:sz w:val="16"/>
          <w:szCs w:val="16"/>
        </w:rPr>
        <w:t xml:space="preserve">      "How long does an India market entry engagement take?|Typically 8–12 weeks for market demand research, regulatory pathway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Indian joint venture and distribution partners?|Yes. Indian partner identification and initial commercial introductions are a core part of our India market entry execution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market entry strategy, entering India consulting, India GTM strategy, India market entry advisory, India business consulting, India expansion strategy",</w:t>
      </w:r>
    </w:p>
    <w:p>
      <w:pPr>
        <w:shd w:fill="F0F0F0" w:val="clear"/>
        <w:spacing w:after="14" w:before="14"/>
        <w:ind w:left="360"/>
      </w:pPr>
      <w:r>
        <w:rPr>
          <w:rFonts w:ascii="Courier New" w:cs="Courier New" w:eastAsia="Courier New" w:hAnsi="Courier New"/>
          <w:color w:val="1B2A4A"/>
          <w:sz w:val="16"/>
          <w:szCs w:val="16"/>
        </w:rPr>
        <w:t xml:space="preserve">    "regions": "India — North, South, East, West, and Tier 2 cities",</w:t>
      </w:r>
    </w:p>
    <w:p>
      <w:pPr>
        <w:shd w:fill="F0F0F0" w:val="clear"/>
        <w:spacing w:after="14" w:before="14"/>
        <w:ind w:left="360"/>
      </w:pPr>
      <w:r>
        <w:rPr>
          <w:rFonts w:ascii="Courier New" w:cs="Courier New" w:eastAsia="Courier New" w:hAnsi="Courier New"/>
          <w:color w:val="1B2A4A"/>
          <w:sz w:val="16"/>
          <w:szCs w:val="16"/>
        </w:rPr>
        <w:t xml:space="preserve">    "stat1n": "$7T+",</w:t>
      </w:r>
    </w:p>
    <w:p>
      <w:pPr>
        <w:shd w:fill="F0F0F0" w:val="clear"/>
        <w:spacing w:after="14" w:before="14"/>
        <w:ind w:left="360"/>
      </w:pPr>
      <w:r>
        <w:rPr>
          <w:rFonts w:ascii="Courier New" w:cs="Courier New" w:eastAsia="Courier New" w:hAnsi="Courier New"/>
          <w:color w:val="1B2A4A"/>
          <w:sz w:val="16"/>
          <w:szCs w:val="16"/>
        </w:rPr>
        <w:t xml:space="preserve">    "stat1l": "India GDP by 2030",</w:t>
      </w:r>
    </w:p>
    <w:p>
      <w:pPr>
        <w:shd w:fill="F0F0F0" w:val="clear"/>
        <w:spacing w:after="14" w:before="14"/>
        <w:ind w:left="360"/>
      </w:pPr>
      <w:r>
        <w:rPr>
          <w:rFonts w:ascii="Courier New" w:cs="Courier New" w:eastAsia="Courier New" w:hAnsi="Courier New"/>
          <w:color w:val="1B2A4A"/>
          <w:sz w:val="16"/>
          <w:szCs w:val="16"/>
        </w:rPr>
        <w:t xml:space="preserve">    "stat1b": "Making India the world's third-largest economy and the most significant consumer market expansion opportunity of the decade.",</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market entry mandate",</w:t>
      </w:r>
    </w:p>
    <w:p>
      <w:pPr>
        <w:shd w:fill="F0F0F0" w:val="clear"/>
        <w:spacing w:after="14" w:before="14"/>
        <w:ind w:left="360"/>
      </w:pPr>
      <w:r>
        <w:rPr>
          <w:rFonts w:ascii="Courier New" w:cs="Courier New" w:eastAsia="Courier New" w:hAnsi="Courier New"/>
          <w:color w:val="1B2A4A"/>
          <w:sz w:val="16"/>
          <w:szCs w:val="16"/>
        </w:rPr>
        <w:t xml:space="preserve">    "stat2b": "Consumers, enterprise buyers, distributors, and regulatory specialists across multiple Indian regions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regional market mapping and consumer demand research delivers India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"logistics-supply-chain",</w:t>
      </w:r>
    </w:p>
    <w:p>
      <w:pPr>
        <w:shd w:fill="F0F0F0" w:val="clear"/>
        <w:spacing w:after="14" w:before="14"/>
        <w:ind w:left="360"/>
      </w:pPr>
      <w:r>
        <w:rPr>
          <w:rFonts w:ascii="Courier New" w:cs="Courier New" w:eastAsia="Courier New" w:hAnsi="Courier New"/>
          <w:color w:val="1B2A4A"/>
          <w:sz w:val="16"/>
          <w:szCs w:val="16"/>
        </w:rPr>
        <w:t xml:space="preserve">    "title": "Southeast Asia Market Entry Strategy &amp; Consulting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companies enter Southeast Asian markets with market entry strategy, regulatory mapping, GTM execution, partner identification, and fundraising support across ASEAN.",</w:t>
      </w:r>
    </w:p>
    <w:p>
      <w:pPr>
        <w:shd w:fill="F0F0F0" w:val="clear"/>
        <w:spacing w:after="14" w:before="14"/>
        <w:ind w:left="360"/>
      </w:pPr>
      <w:r>
        <w:rPr>
          <w:rFonts w:ascii="Courier New" w:cs="Courier New" w:eastAsia="Courier New" w:hAnsi="Courier New"/>
          <w:color w:val="1B2A4A"/>
          <w:sz w:val="16"/>
          <w:szCs w:val="16"/>
        </w:rPr>
        <w:t xml:space="preserve">    "h1": "Southeast Asia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ASEAN ambition to regional revenue — strategy for companies entering Southeast Asia.",</w:t>
      </w:r>
    </w:p>
    <w:p>
      <w:pPr>
        <w:shd w:fill="F0F0F0" w:val="clear"/>
        <w:spacing w:after="14" w:before="14"/>
        <w:ind w:left="360"/>
      </w:pPr>
      <w:r>
        <w:rPr>
          <w:rFonts w:ascii="Courier New" w:cs="Courier New" w:eastAsia="Courier New" w:hAnsi="Courier New"/>
          <w:color w:val="1B2A4A"/>
          <w:sz w:val="16"/>
          <w:szCs w:val="16"/>
        </w:rPr>
        <w:t xml:space="preserve">    "hero": "Southeast Asia — the 10-country ASEAN region with 680 million people and the world's fourth-largest economy — is one of the most significant and complex market entry opportunities globally. The region combines rapid economic growth, significant middle-class expansion, extraordinary digital adoption, and complex regulatory diversity across markets that range from Singapore's advanced economy to frontier growth markets in Vietnam, the Philippines, and Indonesia. GreyRadius helps international companies navigate Southeast Asian market complexity with primary research, regulatory guidance, partner identification, and execution-led market entry strategy across the region.",</w:t>
      </w:r>
    </w:p>
    <w:p>
      <w:pPr>
        <w:shd w:fill="F0F0F0" w:val="clear"/>
        <w:spacing w:after="14" w:before="14"/>
        <w:ind w:left="360"/>
      </w:pPr>
      <w:r>
        <w:rPr>
          <w:rFonts w:ascii="Courier New" w:cs="Courier New" w:eastAsia="Courier New" w:hAnsi="Courier New"/>
          <w:color w:val="1B2A4A"/>
          <w:sz w:val="16"/>
          <w:szCs w:val="16"/>
        </w:rPr>
        <w:t xml:space="preserve">    "market_timing": "Southeast Asia's economic centre of gravity is shifting — manufacturing diversification from China, digital commerce growth, and infrastructure investment are all accelerating economic development. The companies establishing Southeast Asian market positions in 2024–2028 are entering at the inflection point of middle-class consumption growth across the region's largest markets.",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Asia's combined GDP is projected to reach $6.8T by 2030 — making ASEAN the world's fourth-largest economy and one of the most significant consumer market expansion opportunities globally.",</w:t>
      </w:r>
    </w:p>
    <w:p>
      <w:pPr>
        <w:shd w:fill="F0F0F0" w:val="clear"/>
        <w:spacing w:after="14" w:before="14"/>
        <w:ind w:left="360"/>
      </w:pPr>
      <w:r>
        <w:rPr>
          <w:rFonts w:ascii="Courier New" w:cs="Courier New" w:eastAsia="Courier New" w:hAnsi="Courier New"/>
          <w:color w:val="1B2A4A"/>
          <w:sz w:val="16"/>
          <w:szCs w:val="16"/>
        </w:rPr>
        <w:t xml:space="preserve">      "Indonesia alone has 270 million people and is projected to be the world's fourth-largest economy by 2045 — making it the anchor market for any serious Southeast Asia strategy.",</w:t>
      </w:r>
    </w:p>
    <w:p>
      <w:pPr>
        <w:shd w:fill="F0F0F0" w:val="clear"/>
        <w:spacing w:after="14" w:before="14"/>
        <w:ind w:left="360"/>
      </w:pPr>
      <w:r>
        <w:rPr>
          <w:rFonts w:ascii="Courier New" w:cs="Courier New" w:eastAsia="Courier New" w:hAnsi="Courier New"/>
          <w:color w:val="1B2A4A"/>
          <w:sz w:val="16"/>
          <w:szCs w:val="16"/>
        </w:rPr>
        <w:t xml:space="preserve">      "Vietnam is the fastest-growing manufacturing destination in Southeast Asia — attracting significant FDI from electronics, apparel, and consumer goods manufacturers seeking China+1 production bases.",</w:t>
      </w:r>
    </w:p>
    <w:p>
      <w:pPr>
        <w:shd w:fill="F0F0F0" w:val="clear"/>
        <w:spacing w:after="14" w:before="14"/>
        <w:ind w:left="360"/>
      </w:pPr>
      <w:r>
        <w:rPr>
          <w:rFonts w:ascii="Courier New" w:cs="Courier New" w:eastAsia="Courier New" w:hAnsi="Courier New"/>
          <w:color w:val="1B2A4A"/>
          <w:sz w:val="16"/>
          <w:szCs w:val="16"/>
        </w:rPr>
        <w:t xml:space="preserve">      "Digital economy in Southeast Asia exceeded $200B in 2023 — with e-commerce, food delivery, and digital financial services all growing at 20%+."</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"Regulatory diversity across ASEAN creates compliance complexity — each market has different company formation requirements, FDI restrictions, sector licensing, and consumer protection regulation.",</w:t>
      </w:r>
    </w:p>
    <w:p>
      <w:pPr>
        <w:shd w:fill="F0F0F0" w:val="clear"/>
        <w:spacing w:after="14" w:before="14"/>
        <w:ind w:left="360"/>
      </w:pPr>
      <w:r>
        <w:rPr>
          <w:rFonts w:ascii="Courier New" w:cs="Courier New" w:eastAsia="Courier New" w:hAnsi="Courier New"/>
          <w:color w:val="1B2A4A"/>
          <w:sz w:val="16"/>
          <w:szCs w:val="16"/>
        </w:rPr>
        <w:t xml:space="preserve">      "Language diversity requires market-specific localisation — English, Bahasa Indonesia, Bahasa Malaysia, Thai, Vietnamese, Filipino, and Burmese all serve different market segments within the region.",</w:t>
      </w:r>
    </w:p>
    <w:p>
      <w:pPr>
        <w:shd w:fill="F0F0F0" w:val="clear"/>
        <w:spacing w:after="14" w:before="14"/>
        <w:ind w:left="360"/>
      </w:pPr>
      <w:r>
        <w:rPr>
          <w:rFonts w:ascii="Courier New" w:cs="Courier New" w:eastAsia="Courier New" w:hAnsi="Courier New"/>
          <w:color w:val="1B2A4A"/>
          <w:sz w:val="16"/>
          <w:szCs w:val="16"/>
        </w:rPr>
        <w:t xml:space="preserve">      "Distribution infrastructure varies dramatically — Singapore has world-class logistics and retail infrastructure while parts of Indonesia, Philippines, and Vietnam have fragmented and underdeveloped distribution networks.",</w:t>
      </w:r>
    </w:p>
    <w:p>
      <w:pPr>
        <w:shd w:fill="F0F0F0" w:val="clear"/>
        <w:spacing w:after="14" w:before="14"/>
        <w:ind w:left="360"/>
      </w:pPr>
      <w:r>
        <w:rPr>
          <w:rFonts w:ascii="Courier New" w:cs="Courier New" w:eastAsia="Courier New" w:hAnsi="Courier New"/>
          <w:color w:val="1B2A4A"/>
          <w:sz w:val="16"/>
          <w:szCs w:val="16"/>
        </w:rPr>
        <w:t xml:space="preserve">      "Consumer behaviour differs significantly across markets — brand preference, payment method, channel choice, and price sensitivity all vary dramatically between Singapore, Indonesia, Vietnam, and other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"Market prioritisation and sequencing|You need to decide which Southeast Asian markets to enter first, in what sequence, and with what level of investment — based on demand, competition, and operational complexity.",</w:t>
      </w:r>
    </w:p>
    <w:p>
      <w:pPr>
        <w:shd w:fill="F0F0F0" w:val="clear"/>
        <w:spacing w:after="14" w:before="14"/>
        <w:ind w:left="360"/>
      </w:pPr>
      <w:r>
        <w:rPr>
          <w:rFonts w:ascii="Courier New" w:cs="Courier New" w:eastAsia="Courier New" w:hAnsi="Courier New"/>
          <w:color w:val="1B2A4A"/>
          <w:sz w:val="16"/>
          <w:szCs w:val="16"/>
        </w:rPr>
        <w:t xml:space="preserve">      "Country-specific demand validation|You need to validate consumer or enterprise demand in your target Southeast Asian markets with primary research that reflects local conditions.",</w:t>
      </w:r>
    </w:p>
    <w:p>
      <w:pPr>
        <w:shd w:fill="F0F0F0" w:val="clear"/>
        <w:spacing w:after="14" w:before="14"/>
        <w:ind w:left="360"/>
      </w:pPr>
      <w:r>
        <w:rPr>
          <w:rFonts w:ascii="Courier New" w:cs="Courier New" w:eastAsia="Courier New" w:hAnsi="Courier New"/>
          <w:color w:val="1B2A4A"/>
          <w:sz w:val="16"/>
          <w:szCs w:val="16"/>
        </w:rPr>
        <w:t xml:space="preserve">      "Regulatory and corporate structure pathway|You need to understand company formation, FDI rules, sector licensing, and regulatory requirements in each target market.",</w:t>
      </w:r>
    </w:p>
    <w:p>
      <w:pPr>
        <w:shd w:fill="F0F0F0" w:val="clear"/>
        <w:spacing w:after="14" w:before="14"/>
        <w:ind w:left="360"/>
      </w:pPr>
      <w:r>
        <w:rPr>
          <w:rFonts w:ascii="Courier New" w:cs="Courier New" w:eastAsia="Courier New" w:hAnsi="Courier New"/>
          <w:color w:val="1B2A4A"/>
          <w:sz w:val="16"/>
          <w:szCs w:val="16"/>
        </w:rPr>
        <w:t xml:space="preserve">      "Distribution and channel partner identification|You need to identify distributors, channel partners, and retail chains across Southeast Asian geographies for your product category.",</w:t>
      </w:r>
    </w:p>
    <w:p>
      <w:pPr>
        <w:shd w:fill="F0F0F0" w:val="clear"/>
        <w:spacing w:after="14" w:before="14"/>
        <w:ind w:left="360"/>
      </w:pPr>
      <w:r>
        <w:rPr>
          <w:rFonts w:ascii="Courier New" w:cs="Courier New" w:eastAsia="Courier New" w:hAnsi="Courier New"/>
          <w:color w:val="1B2A4A"/>
          <w:sz w:val="16"/>
          <w:szCs w:val="16"/>
        </w:rPr>
        <w:t xml:space="preserve">      "Southeast Asia GTM strategy|You need a market-by-market go-to-market plan covering ICP, channel strategy, pricing, and first-customer acquisition.",</w:t>
      </w:r>
    </w:p>
    <w:p>
      <w:pPr>
        <w:shd w:fill="F0F0F0" w:val="clear"/>
        <w:spacing w:after="14" w:before="14"/>
        <w:ind w:left="360"/>
      </w:pPr>
      <w:r>
        <w:rPr>
          <w:rFonts w:ascii="Courier New" w:cs="Courier New" w:eastAsia="Courier New" w:hAnsi="Courier New"/>
          <w:color w:val="1B2A4A"/>
          <w:sz w:val="16"/>
          <w:szCs w:val="16"/>
        </w:rPr>
        <w:t xml:space="preserve">      "Regional partner and JV identification|You need to identify regional distributors, country-specific partners, or joint venture opportunities across Southeast Asian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consumer or enterprise demand across target Southeast Asian markets. Covers primary research in multiple markets, regional competitive mapping, market prioritisation, and a sequenced entry roadmap.",</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Southeast Asia investment. Covers market demand modelling by country, regulatory cost, distribution economics, and investor-ready financial projections.",</w:t>
      </w:r>
    </w:p>
    <w:p>
      <w:pPr>
        <w:shd w:fill="F0F0F0" w:val="clear"/>
        <w:spacing w:after="14" w:before="14"/>
        <w:ind w:left="360"/>
      </w:pPr>
      <w:r>
        <w:rPr>
          <w:rFonts w:ascii="Courier New" w:cs="Courier New" w:eastAsia="Courier New" w:hAnsi="Courier New"/>
          <w:color w:val="1B2A4A"/>
          <w:sz w:val="16"/>
          <w:szCs w:val="16"/>
        </w:rPr>
        <w:t xml:space="preserve">      "End-to-end Southeast Asia market entry. Corporate structure navigation, regulatory approvals, partner identification, and first-customer acquisition across priority markets.",</w:t>
      </w:r>
    </w:p>
    <w:p>
      <w:pPr>
        <w:shd w:fill="F0F0F0" w:val="clear"/>
        <w:spacing w:after="14" w:before="14"/>
        <w:ind w:left="360"/>
      </w:pPr>
      <w:r>
        <w:rPr>
          <w:rFonts w:ascii="Courier New" w:cs="Courier New" w:eastAsia="Courier New" w:hAnsi="Courier New"/>
          <w:color w:val="1B2A4A"/>
          <w:sz w:val="16"/>
          <w:szCs w:val="16"/>
        </w:rPr>
        <w:t xml:space="preserve">      "Embedded regional GTM team. Distribution and channel partner outreach, customer acquisition execution, and first-revenue milestone tracking by market.",</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investment. Market-validated demand data, regional competitive landscape, and investor identification across Southeast Asia-focused PE and VC.",</w:t>
      </w:r>
    </w:p>
    <w:p>
      <w:pPr>
        <w:shd w:fill="F0F0F0" w:val="clear"/>
        <w:spacing w:after="14" w:before="14"/>
        <w:ind w:left="360"/>
      </w:pPr>
      <w:r>
        <w:rPr>
          <w:rFonts w:ascii="Courier New" w:cs="Courier New" w:eastAsia="Courier New" w:hAnsi="Courier New"/>
          <w:color w:val="1B2A4A"/>
          <w:sz w:val="16"/>
          <w:szCs w:val="16"/>
        </w:rPr>
        <w:t xml:space="preserve">      "AI strategy for Southeast Asia — identifying where AI can accelerate market penetration, customer acquisition, and operational efficiency across the region's diverse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across all ASEAN markets or focus on specific countries?|We work across ASEAN with particular depth in Indonesia, Vietnam, Thailand, Malaysia, the Philippines, and Singapore — the six largest and most commercially significant markets.",</w:t>
      </w:r>
    </w:p>
    <w:p>
      <w:pPr>
        <w:shd w:fill="F0F0F0" w:val="clear"/>
        <w:spacing w:after="14" w:before="14"/>
        <w:ind w:left="360"/>
      </w:pPr>
      <w:r>
        <w:rPr>
          <w:rFonts w:ascii="Courier New" w:cs="Courier New" w:eastAsia="Courier New" w:hAnsi="Courier New"/>
          <w:color w:val="1B2A4A"/>
          <w:sz w:val="16"/>
          <w:szCs w:val="16"/>
        </w:rPr>
        <w:t xml:space="preserve">      "How does GreyRadius handle the regulatory diversity across ASEAN markets?|We have local regulatory expertise and partner networks in each major ASEAN market — allowing us to navigate country-specific requirements while maintaining a coherent regional strategy.",</w:t>
      </w:r>
    </w:p>
    <w:p>
      <w:pPr>
        <w:shd w:fill="F0F0F0" w:val="clear"/>
        <w:spacing w:after="14" w:before="14"/>
        <w:ind w:left="360"/>
      </w:pPr>
      <w:r>
        <w:rPr>
          <w:rFonts w:ascii="Courier New" w:cs="Courier New" w:eastAsia="Courier New" w:hAnsi="Courier New"/>
          <w:color w:val="1B2A4A"/>
          <w:sz w:val="16"/>
          <w:szCs w:val="16"/>
        </w:rPr>
        <w:t xml:space="preserve">      "How long does a Southeast Asia market entry engagement take?|Typically 8–14 weeks for a multi-country demand validation, regulatory mapping, and market entry strategy. Single-country engagements typically take 6–10 weeks.",</w:t>
      </w:r>
    </w:p>
    <w:p>
      <w:pPr>
        <w:shd w:fill="F0F0F0" w:val="clear"/>
        <w:spacing w:after="14" w:before="14"/>
        <w:ind w:left="360"/>
      </w:pPr>
      <w:r>
        <w:rPr>
          <w:rFonts w:ascii="Courier New" w:cs="Courier New" w:eastAsia="Courier New" w:hAnsi="Courier New"/>
          <w:color w:val="1B2A4A"/>
          <w:sz w:val="16"/>
          <w:szCs w:val="16"/>
        </w:rPr>
        <w:t xml:space="preserve">      "Can GreyRadius identify regional distributors covering multiple Southeast Asian markets?|Yes. Regional distribution partner identification is a core part of our Southeast Asia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market entry strategy, ASEAN market entry consulting, Southeast Asia GTM strategy, ASEAN expansion advisory, Southeast Asia business consulting, ASEAN market strategy",</w:t>
      </w:r>
    </w:p>
    <w:p>
      <w:pPr>
        <w:shd w:fill="F0F0F0" w:val="clear"/>
        <w:spacing w:after="14" w:before="14"/>
        <w:ind w:left="360"/>
      </w:pPr>
      <w:r>
        <w:rPr>
          <w:rFonts w:ascii="Courier New" w:cs="Courier New" w:eastAsia="Courier New" w:hAnsi="Courier New"/>
          <w:color w:val="1B2A4A"/>
          <w:sz w:val="16"/>
          <w:szCs w:val="16"/>
        </w:rPr>
        <w:t xml:space="preserve">    "regions": "Indonesia, Vietnam, Thailand, Malaysia, Philippines, Singapore, Myanmar, Cambodia",</w:t>
      </w:r>
    </w:p>
    <w:p>
      <w:pPr>
        <w:shd w:fill="F0F0F0" w:val="clear"/>
        <w:spacing w:after="14" w:before="14"/>
        <w:ind w:left="360"/>
      </w:pPr>
      <w:r>
        <w:rPr>
          <w:rFonts w:ascii="Courier New" w:cs="Courier New" w:eastAsia="Courier New" w:hAnsi="Courier New"/>
          <w:color w:val="1B2A4A"/>
          <w:sz w:val="16"/>
          <w:szCs w:val="16"/>
        </w:rPr>
        <w:t xml:space="preserve">    "stat1n": "$6.8T+",</w:t>
      </w:r>
    </w:p>
    <w:p>
      <w:pPr>
        <w:shd w:fill="F0F0F0" w:val="clear"/>
        <w:spacing w:after="14" w:before="14"/>
        <w:ind w:left="360"/>
      </w:pPr>
      <w:r>
        <w:rPr>
          <w:rFonts w:ascii="Courier New" w:cs="Courier New" w:eastAsia="Courier New" w:hAnsi="Courier New"/>
          <w:color w:val="1B2A4A"/>
          <w:sz w:val="16"/>
          <w:szCs w:val="16"/>
        </w:rPr>
        <w:t xml:space="preserve">    "stat1l": "ASEAN GDP by 2030",</w:t>
      </w:r>
    </w:p>
    <w:p>
      <w:pPr>
        <w:shd w:fill="F0F0F0" w:val="clear"/>
        <w:spacing w:after="14" w:before="14"/>
        <w:ind w:left="360"/>
      </w:pPr>
      <w:r>
        <w:rPr>
          <w:rFonts w:ascii="Courier New" w:cs="Courier New" w:eastAsia="Courier New" w:hAnsi="Courier New"/>
          <w:color w:val="1B2A4A"/>
          <w:sz w:val="16"/>
          <w:szCs w:val="16"/>
        </w:rPr>
        <w:t xml:space="preserve">    "stat1b": "Making Southeast Asia the world's fourth-largest economy and one of the most significant consumer market opportunities globally.",</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mandate",</w:t>
      </w:r>
    </w:p>
    <w:p>
      <w:pPr>
        <w:shd w:fill="F0F0F0" w:val="clear"/>
        <w:spacing w:after="14" w:before="14"/>
        <w:ind w:left="360"/>
      </w:pPr>
      <w:r>
        <w:rPr>
          <w:rFonts w:ascii="Courier New" w:cs="Courier New" w:eastAsia="Courier New" w:hAnsi="Courier New"/>
          <w:color w:val="1B2A4A"/>
          <w:sz w:val="16"/>
          <w:szCs w:val="16"/>
        </w:rPr>
        <w:t xml:space="preserve">    "stat2b": "Consumers, enterprise buyers, and distributors across multiple ASEAN markets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multi-market demand research and regulatory mapping delivers Southeast Asia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"hospitality-tourism",</w:t>
      </w:r>
    </w:p>
    <w:p>
      <w:pPr>
        <w:shd w:fill="F0F0F0" w:val="clear"/>
        <w:spacing w:after="14" w:before="14"/>
        <w:ind w:left="360"/>
      </w:pPr>
      <w:r>
        <w:rPr>
          <w:rFonts w:ascii="Courier New" w:cs="Courier New" w:eastAsia="Courier New" w:hAnsi="Courier New"/>
          <w:color w:val="1B2A4A"/>
          <w:sz w:val="16"/>
          <w:szCs w:val="16"/>
        </w:rPr>
        <w:t xml:space="preserve">    "title": "Gulf &amp; Middle East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companies enter Gulf markets with market entry strategy, regulatory pathway mapping, GTM execution, and partner identification across UAE, Saudi Arabia, Qatar, and other GCC markets.",</w:t>
      </w:r>
    </w:p>
    <w:p>
      <w:pPr>
        <w:shd w:fill="F0F0F0" w:val="clear"/>
        <w:spacing w:after="14" w:before="14"/>
        <w:ind w:left="360"/>
      </w:pPr>
      <w:r>
        <w:rPr>
          <w:rFonts w:ascii="Courier New" w:cs="Courier New" w:eastAsia="Courier New" w:hAnsi="Courier New"/>
          <w:color w:val="1B2A4A"/>
          <w:sz w:val="16"/>
          <w:szCs w:val="16"/>
        </w:rPr>
        <w:t xml:space="preserve">    "h1": "Gulf and Middle East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ambition to Gulf revenue — strategy for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 Cooperation Council — comprising Saudi Arabia, UAE, Qatar, Kuwait, Bahrain, and Oman — is one of the world's most commercially significant and rapidly transforming markets. Vision 2030 programmes, massive infrastructure investment, economic diversification, and rising non-oil consumer spending are all creating extraordinary market entry opportunities across technology, healthcare, education, consumer goods, financial services, real estate, and tourism. GreyRadius helps international companies validate Gulf demand, navigate regulatory and cultural complexity, identify local partners, and execute Gulf market entry strategies.",</w:t>
      </w:r>
    </w:p>
    <w:p>
      <w:pPr>
        <w:shd w:fill="F0F0F0" w:val="clear"/>
        <w:spacing w:after="14" w:before="14"/>
        <w:ind w:left="360"/>
      </w:pPr>
      <w:r>
        <w:rPr>
          <w:rFonts w:ascii="Courier New" w:cs="Courier New" w:eastAsia="Courier New" w:hAnsi="Courier New"/>
          <w:color w:val="1B2A4A"/>
          <w:sz w:val="16"/>
          <w:szCs w:val="16"/>
        </w:rPr>
        <w:t xml:space="preserve">    "market_timing": "Saudi Arabia's Vision 2030 is the world's largest economic transformation programme — $500B+ in planned investment is creating procurement opportunities across virtually every commercial sector. UAE is positioning as a global business hub with reforms to ownership rules, long-term visa programmes, and free zone expansion. Qatar is leveraging World Cup legacy infrastructure for economic diversification. The Gulf market entry window tied to these transformation programmes is open now.",</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"GCC GDP is projected to reach $3.8T by 2030 — driven by Saudi Arabia's Vision 2030 investment, UAE's business hub development, and rising non-oil consumer spending across all Gulf states.",</w:t>
      </w:r>
    </w:p>
    <w:p>
      <w:pPr>
        <w:shd w:fill="F0F0F0" w:val="clear"/>
        <w:spacing w:after="14" w:before="14"/>
        <w:ind w:left="360"/>
      </w:pPr>
      <w:r>
        <w:rPr>
          <w:rFonts w:ascii="Courier New" w:cs="Courier New" w:eastAsia="Courier New" w:hAnsi="Courier New"/>
          <w:color w:val="1B2A4A"/>
          <w:sz w:val="16"/>
          <w:szCs w:val="16"/>
        </w:rPr>
        <w:t xml:space="preserve">      "Saudi Arabia's NEOM, Red Sea Project, and Diriyah developments collectively represent the world's largest construction and development programme — creating procurement across hundreds of sectors simultaneously.",</w:t>
      </w:r>
    </w:p>
    <w:p>
      <w:pPr>
        <w:shd w:fill="F0F0F0" w:val="clear"/>
        <w:spacing w:after="14" w:before="14"/>
        <w:ind w:left="360"/>
      </w:pPr>
      <w:r>
        <w:rPr>
          <w:rFonts w:ascii="Courier New" w:cs="Courier New" w:eastAsia="Courier New" w:hAnsi="Courier New"/>
          <w:color w:val="1B2A4A"/>
          <w:sz w:val="16"/>
          <w:szCs w:val="16"/>
        </w:rPr>
        <w:t xml:space="preserve">      "Gulf digital economy is growing at 20%+ annually — e-commerce, digital payments, healthtech, and edtech are all accelerating driven by young tech-savvy populations.",</w:t>
      </w:r>
    </w:p>
    <w:p>
      <w:pPr>
        <w:shd w:fill="F0F0F0" w:val="clear"/>
        <w:spacing w:after="14" w:before="14"/>
        <w:ind w:left="360"/>
      </w:pPr>
      <w:r>
        <w:rPr>
          <w:rFonts w:ascii="Courier New" w:cs="Courier New" w:eastAsia="Courier New" w:hAnsi="Courier New"/>
          <w:color w:val="1B2A4A"/>
          <w:sz w:val="16"/>
          <w:szCs w:val="16"/>
        </w:rPr>
        <w:t xml:space="preserve">      "Foreign ownership reform is transforming Gulf market entry — 100% foreign ownership across most sectors in UAE and Saudi Arabia has eliminated the mandatory local partner requirement that previously constrained international companies."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"Cultural and business etiquette requirements are significant — relationship building in the Gulf takes time and follows specific protocols around personal trust, hierarchy, and introductions that international companies must respect.",</w:t>
      </w:r>
    </w:p>
    <w:p>
      <w:pPr>
        <w:shd w:fill="F0F0F0" w:val="clear"/>
        <w:spacing w:after="14" w:before="14"/>
        <w:ind w:left="360"/>
      </w:pPr>
      <w:r>
        <w:rPr>
          <w:rFonts w:ascii="Courier New" w:cs="Courier New" w:eastAsia="Courier New" w:hAnsi="Courier New"/>
          <w:color w:val="1B2A4A"/>
          <w:sz w:val="16"/>
          <w:szCs w:val="16"/>
        </w:rPr>
        <w:t xml:space="preserve">      "In-country value and Saudisation/Emiratisation requirements are intensifying — Gulf governments are requiring that businesses contribute to local employment and capability development.",</w:t>
      </w:r>
    </w:p>
    <w:p>
      <w:pPr>
        <w:shd w:fill="F0F0F0" w:val="clear"/>
        <w:spacing w:after="14" w:before="14"/>
        <w:ind w:left="360"/>
      </w:pPr>
      <w:r>
        <w:rPr>
          <w:rFonts w:ascii="Courier New" w:cs="Courier New" w:eastAsia="Courier New" w:hAnsi="Courier New"/>
          <w:color w:val="1B2A4A"/>
          <w:sz w:val="16"/>
          <w:szCs w:val="16"/>
        </w:rPr>
        <w:t xml:space="preserve">      "Government procurement is relationship-driven and slow — despite digital transformation aspirations, government purchasing in the Gulf remains heavily relationship-dependent and slow-moving.",</w:t>
      </w:r>
    </w:p>
    <w:p>
      <w:pPr>
        <w:shd w:fill="F0F0F0" w:val="clear"/>
        <w:spacing w:after="14" w:before="14"/>
        <w:ind w:left="360"/>
      </w:pPr>
      <w:r>
        <w:rPr>
          <w:rFonts w:ascii="Courier New" w:cs="Courier New" w:eastAsia="Courier New" w:hAnsi="Courier New"/>
          <w:color w:val="1B2A4A"/>
          <w:sz w:val="16"/>
          <w:szCs w:val="16"/>
        </w:rPr>
        <w:t xml:space="preserve">      "Market saturation in some sectors is intensifying — UAE in particular has very high international brand density, making differentiation and consumer attention increasingly competitive."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market demand validation|You need to validate consumer or enterprise demand for your product across specific Gulf markets with primary research reflecting local culture and buyer behaviour.",</w:t>
      </w:r>
    </w:p>
    <w:p>
      <w:pPr>
        <w:shd w:fill="F0F0F0" w:val="clear"/>
        <w:spacing w:after="14" w:before="14"/>
        <w:ind w:left="360"/>
      </w:pPr>
      <w:r>
        <w:rPr>
          <w:rFonts w:ascii="Courier New" w:cs="Courier New" w:eastAsia="Courier New" w:hAnsi="Courier New"/>
          <w:color w:val="1B2A4A"/>
          <w:sz w:val="16"/>
          <w:szCs w:val="16"/>
        </w:rPr>
        <w:t xml:space="preserve">      "Regulatory and corporate structure pathway|You need to understand free zone versus mainland company formation, sector licensing, Saudisation/Emiratisation requirements, and FDI rules in each Gulf market.",</w:t>
      </w:r>
    </w:p>
    <w:p>
      <w:pPr>
        <w:shd w:fill="F0F0F0" w:val="clear"/>
        <w:spacing w:after="14" w:before="14"/>
        <w:ind w:left="360"/>
      </w:pPr>
      <w:r>
        <w:rPr>
          <w:rFonts w:ascii="Courier New" w:cs="Courier New" w:eastAsia="Courier New" w:hAnsi="Courier New"/>
          <w:color w:val="1B2A4A"/>
          <w:sz w:val="16"/>
          <w:szCs w:val="16"/>
        </w:rPr>
        <w:t xml:space="preserve">      "Local partner and distribution identification|You need to identify Gulf distributors, agents, or joint venture partners who have the right relationships, capabilities, and market access.",</w:t>
      </w:r>
    </w:p>
    <w:p>
      <w:pPr>
        <w:shd w:fill="F0F0F0" w:val="clear"/>
        <w:spacing w:after="14" w:before="14"/>
        <w:ind w:left="360"/>
      </w:pPr>
      <w:r>
        <w:rPr>
          <w:rFonts w:ascii="Courier New" w:cs="Courier New" w:eastAsia="Courier New" w:hAnsi="Courier New"/>
          <w:color w:val="1B2A4A"/>
          <w:sz w:val="16"/>
          <w:szCs w:val="16"/>
        </w:rPr>
        <w:t xml:space="preserve">      "Gulf GTM strategy|You need a go-to-market plan for the Gulf covering market prioritisation, channel strategy, and first-customer acquisition tailored to Gulf business culture.",</w:t>
      </w:r>
    </w:p>
    <w:p>
      <w:pPr>
        <w:shd w:fill="F0F0F0" w:val="clear"/>
        <w:spacing w:after="14" w:before="14"/>
        <w:ind w:left="360"/>
      </w:pPr>
      <w:r>
        <w:rPr>
          <w:rFonts w:ascii="Courier New" w:cs="Courier New" w:eastAsia="Courier New" w:hAnsi="Courier New"/>
          <w:color w:val="1B2A4A"/>
          <w:sz w:val="16"/>
          <w:szCs w:val="16"/>
        </w:rPr>
        <w:t xml:space="preserve">      "Raising capital for Gulf investment|You are raising investment for Gulf operations and need a pitch book grounded in Gulf market demand data and regulatory framework clarity.",</w:t>
      </w:r>
    </w:p>
    <w:p>
      <w:pPr>
        <w:shd w:fill="F0F0F0" w:val="clear"/>
        <w:spacing w:after="14" w:before="14"/>
        <w:ind w:left="360"/>
      </w:pPr>
      <w:r>
        <w:rPr>
          <w:rFonts w:ascii="Courier New" w:cs="Courier New" w:eastAsia="Courier New" w:hAnsi="Courier New"/>
          <w:color w:val="1B2A4A"/>
          <w:sz w:val="16"/>
          <w:szCs w:val="16"/>
        </w:rPr>
        <w:t xml:space="preserve">      "Government and B2G opportunity mapping|You need to identify government programmes, public sector procurement opportunities, and government-related entity purchasing across Gulf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consumer or enterprise demand across Gulf markets. Covers primary research in UAE and Saudi Arabia as primary markets with secondary research across Qatar, Kuwait, Bahrain, and Oman, plus competitive mapping and entry sequencing.",</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Gulf investment. Covers demand modelling by country, regulatory cost, ICV requirements, and investor-ready financial projections.",</w:t>
      </w:r>
    </w:p>
    <w:p>
      <w:pPr>
        <w:shd w:fill="F0F0F0" w:val="clear"/>
        <w:spacing w:after="14" w:before="14"/>
        <w:ind w:left="360"/>
      </w:pPr>
      <w:r>
        <w:rPr>
          <w:rFonts w:ascii="Courier New" w:cs="Courier New" w:eastAsia="Courier New" w:hAnsi="Courier New"/>
          <w:color w:val="1B2A4A"/>
          <w:sz w:val="16"/>
          <w:szCs w:val="16"/>
        </w:rPr>
        <w:t xml:space="preserve">      "End-to-end Gulf market entry. Corporate structure navigation, regulatory approvals, local partner identification, and first-client acquisition.",</w:t>
      </w:r>
    </w:p>
    <w:p>
      <w:pPr>
        <w:shd w:fill="F0F0F0" w:val="clear"/>
        <w:spacing w:after="14" w:before="14"/>
        <w:ind w:left="360"/>
      </w:pPr>
      <w:r>
        <w:rPr>
          <w:rFonts w:ascii="Courier New" w:cs="Courier New" w:eastAsia="Courier New" w:hAnsi="Courier New"/>
          <w:color w:val="1B2A4A"/>
          <w:sz w:val="16"/>
          <w:szCs w:val="16"/>
        </w:rPr>
        <w:t xml:space="preserve">      "Embedded Gulf GTM team. Local partner and distributor outreach, government programme pipeline,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investment. Gulf-market-validated demand data, regulatory framework, and investor identification across Gulf and international investors.",</w:t>
      </w:r>
    </w:p>
    <w:p>
      <w:pPr>
        <w:shd w:fill="F0F0F0" w:val="clear"/>
        <w:spacing w:after="14" w:before="14"/>
        <w:ind w:left="360"/>
      </w:pPr>
      <w:r>
        <w:rPr>
          <w:rFonts w:ascii="Courier New" w:cs="Courier New" w:eastAsia="Courier New" w:hAnsi="Courier New"/>
          <w:color w:val="1B2A4A"/>
          <w:sz w:val="16"/>
          <w:szCs w:val="16"/>
        </w:rPr>
        <w:t xml:space="preserve">      "AI use-case identification — identifying where AI can accelerate your Gulf market penetration and operational efficiency across the GCC's diverse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cover all GCC markets or primarily UAE and Saudi Arabia?|Our primary focus is UAE and Saudi Arabia as the two largest and most commercially significant Gulf markets. We also cover Qatar, Kuwait, Bahrain, and Oman with local partner support.",</w:t>
      </w:r>
    </w:p>
    <w:p>
      <w:pPr>
        <w:shd w:fill="F0F0F0" w:val="clear"/>
        <w:spacing w:after="14" w:before="14"/>
        <w:ind w:left="360"/>
      </w:pPr>
      <w:r>
        <w:rPr>
          <w:rFonts w:ascii="Courier New" w:cs="Courier New" w:eastAsia="Courier New" w:hAnsi="Courier New"/>
          <w:color w:val="1B2A4A"/>
          <w:sz w:val="16"/>
          <w:szCs w:val="16"/>
        </w:rPr>
        <w:t xml:space="preserve">      "How does GreyRadius approach local partner identification in the Gulf?|We identify partners based on sector expertise, relationship network, financial capacity, and cultural fit — not just size. Gulf market entry partner selection is critical and deserves rigorous assessment.",</w:t>
      </w:r>
    </w:p>
    <w:p>
      <w:pPr>
        <w:shd w:fill="F0F0F0" w:val="clear"/>
        <w:spacing w:after="14" w:before="14"/>
        <w:ind w:left="360"/>
      </w:pPr>
      <w:r>
        <w:rPr>
          <w:rFonts w:ascii="Courier New" w:cs="Courier New" w:eastAsia="Courier New" w:hAnsi="Courier New"/>
          <w:color w:val="1B2A4A"/>
          <w:sz w:val="16"/>
          <w:szCs w:val="16"/>
        </w:rPr>
        <w:t xml:space="preserve">      "How long does a Gulf market entry engagement take?|Typically 8–12 weeks for demand validation, regulatory mapping, and partner identification. Some sectors with complex government procurement require 12–16 weeks.",</w:t>
      </w:r>
    </w:p>
    <w:p>
      <w:pPr>
        <w:shd w:fill="F0F0F0" w:val="clear"/>
        <w:spacing w:after="14" w:before="14"/>
        <w:ind w:left="360"/>
      </w:pPr>
      <w:r>
        <w:rPr>
          <w:rFonts w:ascii="Courier New" w:cs="Courier New" w:eastAsia="Courier New" w:hAnsi="Courier New"/>
          <w:color w:val="1B2A4A"/>
          <w:sz w:val="16"/>
          <w:szCs w:val="16"/>
        </w:rPr>
        <w:t xml:space="preserve">      "Does the removal of mandatory local partner requirements change Gulf market entry strategy?|Yes significantly in UAE. In Saudi Arabia, local partnership is still strategically important even where not legally required. We advise on the right structure for each sector and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market entry strategy, GCC market entry consulting, Middle East market entry, Saudi Arabia market entry, UAE market entry strategy, Gulf business consulting",</w:t>
      </w:r>
    </w:p>
    <w:p>
      <w:pPr>
        <w:shd w:fill="F0F0F0" w:val="clear"/>
        <w:spacing w:after="14" w:before="14"/>
        <w:ind w:left="360"/>
      </w:pPr>
      <w:r>
        <w:rPr>
          <w:rFonts w:ascii="Courier New" w:cs="Courier New" w:eastAsia="Courier New" w:hAnsi="Courier New"/>
          <w:color w:val="1B2A4A"/>
          <w:sz w:val="16"/>
          <w:szCs w:val="16"/>
        </w:rPr>
        <w:t xml:space="preserve">    "regions": "UAE, Saudi Arabia, Qatar, Kuwait, Bahrain, Oman",</w:t>
      </w:r>
    </w:p>
    <w:p>
      <w:pPr>
        <w:shd w:fill="F0F0F0" w:val="clear"/>
        <w:spacing w:after="14" w:before="14"/>
        <w:ind w:left="360"/>
      </w:pPr>
      <w:r>
        <w:rPr>
          <w:rFonts w:ascii="Courier New" w:cs="Courier New" w:eastAsia="Courier New" w:hAnsi="Courier New"/>
          <w:color w:val="1B2A4A"/>
          <w:sz w:val="16"/>
          <w:szCs w:val="16"/>
        </w:rPr>
        <w:t xml:space="preserve">    "stat1n": "$3.8T+",</w:t>
      </w:r>
    </w:p>
    <w:p>
      <w:pPr>
        <w:shd w:fill="F0F0F0" w:val="clear"/>
        <w:spacing w:after="14" w:before="14"/>
        <w:ind w:left="360"/>
      </w:pPr>
      <w:r>
        <w:rPr>
          <w:rFonts w:ascii="Courier New" w:cs="Courier New" w:eastAsia="Courier New" w:hAnsi="Courier New"/>
          <w:color w:val="1B2A4A"/>
          <w:sz w:val="16"/>
          <w:szCs w:val="16"/>
        </w:rPr>
        <w:t xml:space="preserve">    "stat1l": "GCC GDP by 2030",</w:t>
      </w:r>
    </w:p>
    <w:p>
      <w:pPr>
        <w:shd w:fill="F0F0F0" w:val="clear"/>
        <w:spacing w:after="14" w:before="14"/>
        <w:ind w:left="360"/>
      </w:pPr>
      <w:r>
        <w:rPr>
          <w:rFonts w:ascii="Courier New" w:cs="Courier New" w:eastAsia="Courier New" w:hAnsi="Courier New"/>
          <w:color w:val="1B2A4A"/>
          <w:sz w:val="16"/>
          <w:szCs w:val="16"/>
        </w:rPr>
        <w:t xml:space="preserve">    "stat1b": "Driven by Vision 2030 investment, UAE business hub development, and rising non-oil consumer spending across all Gulf states.",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mandate",</w:t>
      </w:r>
    </w:p>
    <w:p>
      <w:pPr>
        <w:shd w:fill="F0F0F0" w:val="clear"/>
        <w:spacing w:after="14" w:before="14"/>
        <w:ind w:left="360"/>
      </w:pPr>
      <w:r>
        <w:rPr>
          <w:rFonts w:ascii="Courier New" w:cs="Courier New" w:eastAsia="Courier New" w:hAnsi="Courier New"/>
          <w:color w:val="1B2A4A"/>
          <w:sz w:val="16"/>
          <w:szCs w:val="16"/>
        </w:rPr>
        <w:t xml:space="preserve">    "stat2b": "Consumers, enterprise buyers, government officials, and local partners across UAE and Saudi Arabia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regulatory mapping and buyer demand research delivers Gulf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"logistics-supply-chain",</w:t>
      </w:r>
    </w:p>
    <w:p>
      <w:pPr>
        <w:shd w:fill="F0F0F0" w:val="clear"/>
        <w:spacing w:after="14" w:before="14"/>
        <w:ind w:left="360"/>
      </w:pPr>
      <w:r>
        <w:rPr>
          <w:rFonts w:ascii="Courier New" w:cs="Courier New" w:eastAsia="Courier New" w:hAnsi="Courier New"/>
          <w:color w:val="1B2A4A"/>
          <w:sz w:val="16"/>
          <w:szCs w:val="16"/>
        </w:rPr>
        <w:t xml:space="preserve">    "title": "Africa Market Entry Strategy &amp; Consulting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companies enter African markets with market entry strategy, regulatory mapping, GTM execution, and partner identification across Sub-Saharan Africa and North Africa.",</w:t>
      </w:r>
    </w:p>
    <w:p>
      <w:pPr>
        <w:shd w:fill="F0F0F0" w:val="clear"/>
        <w:spacing w:after="14" w:before="14"/>
        <w:ind w:left="360"/>
      </w:pPr>
      <w:r>
        <w:rPr>
          <w:rFonts w:ascii="Courier New" w:cs="Courier New" w:eastAsia="Courier New" w:hAnsi="Courier New"/>
          <w:color w:val="1B2A4A"/>
          <w:sz w:val="16"/>
          <w:szCs w:val="16"/>
        </w:rPr>
        <w:t xml:space="preserve">    "h1": "Africa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interest to African revenue — strategy for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 is the world's most significant long-term market entry opportunity — with the youngest population of any continent, the fastest urbanisation rate globally, a rapidly growing middle class, and extraordinary natural resource wealth. International companies across technology, financial services, consumer goods, healthcare, energy, and agriculture are all evaluating African market entry as digital infrastructure improves, political stability increases, and consumer spending grows. GreyRadius helps companies navigate Africa's extraordinary diversity to validate demand, identify partners, and execute market entry strategies across the continent's most commercially significant markets.",</w:t>
      </w:r>
    </w:p>
    <w:p>
      <w:pPr>
        <w:shd w:fill="F0F0F0" w:val="clear"/>
        <w:spacing w:after="14" w:before="14"/>
        <w:ind w:left="360"/>
      </w:pPr>
      <w:r>
        <w:rPr>
          <w:rFonts w:ascii="Courier New" w:cs="Courier New" w:eastAsia="Courier New" w:hAnsi="Courier New"/>
          <w:color w:val="1B2A4A"/>
          <w:sz w:val="16"/>
          <w:szCs w:val="16"/>
        </w:rPr>
        <w:t xml:space="preserve">    "market_timing": "Africa's demographic and economic trajectory is unlike any other region — 1.4 billion people today growing to 2.5 billion by 2050, with the fastest-growing consumer markets in the world. The African Continental Free Trade Area is creating the world's largest free trade zone by number of countries. Mobile money infrastructure in East and West Africa has created digital financial infrastructure that leapfrogs traditional banking. The companies entering now are establishing positions before mass-market adoption.",</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"African consumer spending is projected to reach $2.5T by 2030 — with FMCG, digital services, financial services, and healthcare representing the largest growth categories across the continent's most populous markets.",</w:t>
      </w:r>
    </w:p>
    <w:p>
      <w:pPr>
        <w:shd w:fill="F0F0F0" w:val="clear"/>
        <w:spacing w:after="14" w:before="14"/>
        <w:ind w:left="360"/>
      </w:pPr>
      <w:r>
        <w:rPr>
          <w:rFonts w:ascii="Courier New" w:cs="Courier New" w:eastAsia="Courier New" w:hAnsi="Courier New"/>
          <w:color w:val="1B2A4A"/>
          <w:sz w:val="16"/>
          <w:szCs w:val="16"/>
        </w:rPr>
        <w:t xml:space="preserve">      "Mobile money has created Africa's killer app — M-Pesa in Kenya, MTN Mobile Money, and Orange Money across West Africa have collectively brought 500M+ people into formal financial services, creating digital commerce infrastructure.",</w:t>
      </w:r>
    </w:p>
    <w:p>
      <w:pPr>
        <w:shd w:fill="F0F0F0" w:val="clear"/>
        <w:spacing w:after="14" w:before="14"/>
        <w:ind w:left="360"/>
      </w:pPr>
      <w:r>
        <w:rPr>
          <w:rFonts w:ascii="Courier New" w:cs="Courier New" w:eastAsia="Courier New" w:hAnsi="Courier New"/>
          <w:color w:val="1B2A4A"/>
          <w:sz w:val="16"/>
          <w:szCs w:val="16"/>
        </w:rPr>
        <w:t xml:space="preserve">      "Nigeria and Ethiopia are the continent's most significant consumer markets by population — with 220M and 130M people respectively and rapidly growing urban middle classes creating first-time buyer demand across multiple categories.",</w:t>
      </w:r>
    </w:p>
    <w:p>
      <w:pPr>
        <w:shd w:fill="F0F0F0" w:val="clear"/>
        <w:spacing w:after="14" w:before="14"/>
        <w:ind w:left="360"/>
      </w:pPr>
      <w:r>
        <w:rPr>
          <w:rFonts w:ascii="Courier New" w:cs="Courier New" w:eastAsia="Courier New" w:hAnsi="Courier New"/>
          <w:color w:val="1B2A4A"/>
          <w:sz w:val="16"/>
          <w:szCs w:val="16"/>
        </w:rPr>
        <w:t xml:space="preserve">      "African fintech is growing at 40%+ annually — digital banking, payment infrastructure, and SME lending are all achieving rapid scale across East and West African markets with sophisticated mobile money ecosystems."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"Africa is not one market — 54 countries with different regulatory frameworks, languages, currencies, consumer behaviours, and commercial infrastructure require market-by-market strategies rather than continent-wide approaches.",</w:t>
      </w:r>
    </w:p>
    <w:p>
      <w:pPr>
        <w:shd w:fill="F0F0F0" w:val="clear"/>
        <w:spacing w:after="14" w:before="14"/>
        <w:ind w:left="360"/>
      </w:pPr>
      <w:r>
        <w:rPr>
          <w:rFonts w:ascii="Courier New" w:cs="Courier New" w:eastAsia="Courier New" w:hAnsi="Courier New"/>
          <w:color w:val="1B2A4A"/>
          <w:sz w:val="16"/>
          <w:szCs w:val="16"/>
        </w:rPr>
        <w:t xml:space="preserve">      "Infrastructure gaps are significant in many markets — unreliable power, poor road networks, limited cold chain, and patchy internet connectivity all affect product viability and distribution cost.",</w:t>
      </w:r>
    </w:p>
    <w:p>
      <w:pPr>
        <w:shd w:fill="F0F0F0" w:val="clear"/>
        <w:spacing w:after="14" w:before="14"/>
        <w:ind w:left="360"/>
      </w:pPr>
      <w:r>
        <w:rPr>
          <w:rFonts w:ascii="Courier New" w:cs="Courier New" w:eastAsia="Courier New" w:hAnsi="Courier New"/>
          <w:color w:val="1B2A4A"/>
          <w:sz w:val="16"/>
          <w:szCs w:val="16"/>
        </w:rPr>
        <w:t xml:space="preserve">      "Currency risk is significant across many African markets — currency devaluation, repatriation restrictions, and hard currency access constraints create financial planning challenges.",</w:t>
      </w:r>
    </w:p>
    <w:p>
      <w:pPr>
        <w:shd w:fill="F0F0F0" w:val="clear"/>
        <w:spacing w:after="14" w:before="14"/>
        <w:ind w:left="360"/>
      </w:pPr>
      <w:r>
        <w:rPr>
          <w:rFonts w:ascii="Courier New" w:cs="Courier New" w:eastAsia="Courier New" w:hAnsi="Courier New"/>
          <w:color w:val="1B2A4A"/>
          <w:sz w:val="16"/>
          <w:szCs w:val="16"/>
        </w:rPr>
        <w:t xml:space="preserve">      "Political and regulatory risk varies significantly — market entry in Africa requires careful country risk assessment with particular attention to regulatory stability and contract enforcement."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market prioritisation|You need to identify which African markets to enter first based on demand opportunity, competitive landscape, regulatory environment, and operational complexity.",</w:t>
      </w:r>
    </w:p>
    <w:p>
      <w:pPr>
        <w:shd w:fill="F0F0F0" w:val="clear"/>
        <w:spacing w:after="14" w:before="14"/>
        <w:ind w:left="360"/>
      </w:pPr>
      <w:r>
        <w:rPr>
          <w:rFonts w:ascii="Courier New" w:cs="Courier New" w:eastAsia="Courier New" w:hAnsi="Courier New"/>
          <w:color w:val="1B2A4A"/>
          <w:sz w:val="16"/>
          <w:szCs w:val="16"/>
        </w:rPr>
        <w:t xml:space="preserve">      "Country-specific demand validation|You need to validate consumer or enterprise demand in your priority African markets with primary research reflecting local conditions and consumer behaviour.",</w:t>
      </w:r>
    </w:p>
    <w:p>
      <w:pPr>
        <w:shd w:fill="F0F0F0" w:val="clear"/>
        <w:spacing w:after="14" w:before="14"/>
        <w:ind w:left="360"/>
      </w:pPr>
      <w:r>
        <w:rPr>
          <w:rFonts w:ascii="Courier New" w:cs="Courier New" w:eastAsia="Courier New" w:hAnsi="Courier New"/>
          <w:color w:val="1B2A4A"/>
          <w:sz w:val="16"/>
          <w:szCs w:val="16"/>
        </w:rPr>
        <w:t xml:space="preserve">      "Regulatory and corporate structure pathway|You need to understand company formation, sector licensing, FDI rules, and regulatory requirements in each target African market.",</w:t>
      </w:r>
    </w:p>
    <w:p>
      <w:pPr>
        <w:shd w:fill="F0F0F0" w:val="clear"/>
        <w:spacing w:after="14" w:before="14"/>
        <w:ind w:left="360"/>
      </w:pPr>
      <w:r>
        <w:rPr>
          <w:rFonts w:ascii="Courier New" w:cs="Courier New" w:eastAsia="Courier New" w:hAnsi="Courier New"/>
          <w:color w:val="1B2A4A"/>
          <w:sz w:val="16"/>
          <w:szCs w:val="16"/>
        </w:rPr>
        <w:t xml:space="preserve">      "Local partner and distribution identification|You need to identify African distributors, agents, and joint venture partners with the right market access and operational capabilities.",</w:t>
      </w:r>
    </w:p>
    <w:p>
      <w:pPr>
        <w:shd w:fill="F0F0F0" w:val="clear"/>
        <w:spacing w:after="14" w:before="14"/>
        <w:ind w:left="360"/>
      </w:pPr>
      <w:r>
        <w:rPr>
          <w:rFonts w:ascii="Courier New" w:cs="Courier New" w:eastAsia="Courier New" w:hAnsi="Courier New"/>
          <w:color w:val="1B2A4A"/>
          <w:sz w:val="16"/>
          <w:szCs w:val="16"/>
        </w:rPr>
        <w:t xml:space="preserve">      "Africa GTM strategy|You need a country-by-country go-to-market plan covering channel strategy, pricing, and first-customer acquisition tailored to African market realities.",</w:t>
      </w:r>
    </w:p>
    <w:p>
      <w:pPr>
        <w:shd w:fill="F0F0F0" w:val="clear"/>
        <w:spacing w:after="14" w:before="14"/>
        <w:ind w:left="360"/>
      </w:pPr>
      <w:r>
        <w:rPr>
          <w:rFonts w:ascii="Courier New" w:cs="Courier New" w:eastAsia="Courier New" w:hAnsi="Courier New"/>
          <w:color w:val="1B2A4A"/>
          <w:sz w:val="16"/>
          <w:szCs w:val="16"/>
        </w:rPr>
        <w:t xml:space="preserve">      "Raising capital for Africa investment|You need a pitch book grounded in African market demand data and investor-ready financial projections."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consumer or enterprise demand in priority African markets. Covers primary research in target countries, competitive mapping, market prioritisation, and a sequenced entry roadmap.",</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Africa investment. Covers demand modelling by country, infrastructure cost, regulatory compliance, and investor-ready financial projections.",</w:t>
      </w:r>
    </w:p>
    <w:p>
      <w:pPr>
        <w:shd w:fill="F0F0F0" w:val="clear"/>
        <w:spacing w:after="14" w:before="14"/>
        <w:ind w:left="360"/>
      </w:pPr>
      <w:r>
        <w:rPr>
          <w:rFonts w:ascii="Courier New" w:cs="Courier New" w:eastAsia="Courier New" w:hAnsi="Courier New"/>
          <w:color w:val="1B2A4A"/>
          <w:sz w:val="16"/>
          <w:szCs w:val="16"/>
        </w:rPr>
        <w:t xml:space="preserve">      "End-to-end Africa market entry. Corporate structure navigation, regulatory approvals, partner identification, and first-customer acquisition across priority markets.",</w:t>
      </w:r>
    </w:p>
    <w:p>
      <w:pPr>
        <w:shd w:fill="F0F0F0" w:val="clear"/>
        <w:spacing w:after="14" w:before="14"/>
        <w:ind w:left="360"/>
      </w:pPr>
      <w:r>
        <w:rPr>
          <w:rFonts w:ascii="Courier New" w:cs="Courier New" w:eastAsia="Courier New" w:hAnsi="Courier New"/>
          <w:color w:val="1B2A4A"/>
          <w:sz w:val="16"/>
          <w:szCs w:val="16"/>
        </w:rPr>
        <w:t xml:space="preserve">      "Embedded Africa GTM team. Distribution and partner outreach, customer acquisition execution, and first-revenue milestone tracking by market.",</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investment. Market-validated demand data, country risk narrative, and investor identification across Africa-focused PE and DFI.",</w:t>
      </w:r>
    </w:p>
    <w:p>
      <w:pPr>
        <w:shd w:fill="F0F0F0" w:val="clear"/>
        <w:spacing w:after="14" w:before="14"/>
        <w:ind w:left="360"/>
      </w:pPr>
      <w:r>
        <w:rPr>
          <w:rFonts w:ascii="Courier New" w:cs="Courier New" w:eastAsia="Courier New" w:hAnsi="Courier New"/>
          <w:color w:val="1B2A4A"/>
          <w:sz w:val="16"/>
          <w:szCs w:val="16"/>
        </w:rPr>
        <w:t xml:space="preserve">      "AI use-case identification for Africa — where AI can accelerate market penetration, customer acquisition, and operational efficiency across Africa's unique market conditions."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"Which African markets does GreyRadius have the deepest experience in?|Nigeria, Kenya, Ghana, Ethiopia, South Africa, Egypt, and Tanzania — the most commercially significant markets across East, West, and Southern Africa.",</w:t>
      </w:r>
    </w:p>
    <w:p>
      <w:pPr>
        <w:shd w:fill="F0F0F0" w:val="clear"/>
        <w:spacing w:after="14" w:before="14"/>
        <w:ind w:left="360"/>
      </w:pPr>
      <w:r>
        <w:rPr>
          <w:rFonts w:ascii="Courier New" w:cs="Courier New" w:eastAsia="Courier New" w:hAnsi="Courier New"/>
          <w:color w:val="1B2A4A"/>
          <w:sz w:val="16"/>
          <w:szCs w:val="16"/>
        </w:rPr>
        <w:t xml:space="preserve">      "How does GreyRadius manage country risk in Africa market entry recommendations?|Country risk assessment — political stability, regulatory environment, currency risk, and contract enforcement — is integrated into every Africa market entry feasibility assessment.",</w:t>
      </w:r>
    </w:p>
    <w:p>
      <w:pPr>
        <w:shd w:fill="F0F0F0" w:val="clear"/>
        <w:spacing w:after="14" w:before="14"/>
        <w:ind w:left="360"/>
      </w:pPr>
      <w:r>
        <w:rPr>
          <w:rFonts w:ascii="Courier New" w:cs="Courier New" w:eastAsia="Courier New" w:hAnsi="Courier New"/>
          <w:color w:val="1B2A4A"/>
          <w:sz w:val="16"/>
          <w:szCs w:val="16"/>
        </w:rPr>
        <w:t xml:space="preserve">      "How long does an Africa market entry engagement take?|Typically 8–14 weeks for multi-country demand validation and market entry strategy. Single-country engagements typically take 6–10 weeks.",</w:t>
      </w:r>
    </w:p>
    <w:p>
      <w:pPr>
        <w:shd w:fill="F0F0F0" w:val="clear"/>
        <w:spacing w:after="14" w:before="14"/>
        <w:ind w:left="360"/>
      </w:pPr>
      <w:r>
        <w:rPr>
          <w:rFonts w:ascii="Courier New" w:cs="Courier New" w:eastAsia="Courier New" w:hAnsi="Courier New"/>
          <w:color w:val="1B2A4A"/>
          <w:sz w:val="16"/>
          <w:szCs w:val="16"/>
        </w:rPr>
        <w:t xml:space="preserve">      "Can GreyRadius identify African distribution partners with multi-country coverage?|Yes. Pan-African distributors and country-specific distribution partner identification are both part of our Africa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market entry strategy, African market entry consulting, Sub-Saharan Africa market entry, Nigeria market entry, Kenya market entry, Africa expansion strategy",</w:t>
      </w:r>
    </w:p>
    <w:p>
      <w:pPr>
        <w:shd w:fill="F0F0F0" w:val="clear"/>
        <w:spacing w:after="14" w:before="14"/>
        <w:ind w:left="360"/>
      </w:pPr>
      <w:r>
        <w:rPr>
          <w:rFonts w:ascii="Courier New" w:cs="Courier New" w:eastAsia="Courier New" w:hAnsi="Courier New"/>
          <w:color w:val="1B2A4A"/>
          <w:sz w:val="16"/>
          <w:szCs w:val="16"/>
        </w:rPr>
        <w:t xml:space="preserve">    "regions": "Nigeria, Kenya, Ghana, Ethiopia, South Africa, Egypt, Tanzania, Senegal",</w:t>
      </w:r>
    </w:p>
    <w:p>
      <w:pPr>
        <w:shd w:fill="F0F0F0" w:val="clear"/>
        <w:spacing w:after="14" w:before="14"/>
        <w:ind w:left="360"/>
      </w:pPr>
      <w:r>
        <w:rPr>
          <w:rFonts w:ascii="Courier New" w:cs="Courier New" w:eastAsia="Courier New" w:hAnsi="Courier New"/>
          <w:color w:val="1B2A4A"/>
          <w:sz w:val="16"/>
          <w:szCs w:val="16"/>
        </w:rPr>
        <w:t xml:space="preserve">    "stat1n": "$2.5T+",</w:t>
      </w:r>
    </w:p>
    <w:p>
      <w:pPr>
        <w:shd w:fill="F0F0F0" w:val="clear"/>
        <w:spacing w:after="14" w:before="14"/>
        <w:ind w:left="360"/>
      </w:pPr>
      <w:r>
        <w:rPr>
          <w:rFonts w:ascii="Courier New" w:cs="Courier New" w:eastAsia="Courier New" w:hAnsi="Courier New"/>
          <w:color w:val="1B2A4A"/>
          <w:sz w:val="16"/>
          <w:szCs w:val="16"/>
        </w:rPr>
        <w:t xml:space="preserve">    "stat1l": "African consumer spending by 2030",</w:t>
      </w:r>
    </w:p>
    <w:p>
      <w:pPr>
        <w:shd w:fill="F0F0F0" w:val="clear"/>
        <w:spacing w:after="14" w:before="14"/>
        <w:ind w:left="360"/>
      </w:pPr>
      <w:r>
        <w:rPr>
          <w:rFonts w:ascii="Courier New" w:cs="Courier New" w:eastAsia="Courier New" w:hAnsi="Courier New"/>
          <w:color w:val="1B2A4A"/>
          <w:sz w:val="16"/>
          <w:szCs w:val="16"/>
        </w:rPr>
        <w:t xml:space="preserve">    "stat1b": "Fastest-growing consumer markets in the world with FMCG, digital services, financial services, and healthcare representing the largest growth categories.",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mandate",</w:t>
      </w:r>
    </w:p>
    <w:p>
      <w:pPr>
        <w:shd w:fill="F0F0F0" w:val="clear"/>
        <w:spacing w:after="14" w:before="14"/>
        <w:ind w:left="360"/>
      </w:pPr>
      <w:r>
        <w:rPr>
          <w:rFonts w:ascii="Courier New" w:cs="Courier New" w:eastAsia="Courier New" w:hAnsi="Courier New"/>
          <w:color w:val="1B2A4A"/>
          <w:sz w:val="16"/>
          <w:szCs w:val="16"/>
        </w:rPr>
        <w:t xml:space="preserve">    "stat2b": "Consumers, enterprise buyers, and distribution partners across multiple African markets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multi-market demand research and country risk mapping delivers Africa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"islamic-economy-platforms",</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"islamic-finance",</w:t>
      </w:r>
    </w:p>
    <w:p>
      <w:pPr>
        <w:shd w:fill="F0F0F0" w:val="clear"/>
        <w:spacing w:after="14" w:before="14"/>
        <w:ind w:left="360"/>
      </w:pPr>
      <w:r>
        <w:rPr>
          <w:rFonts w:ascii="Courier New" w:cs="Courier New" w:eastAsia="Courier New" w:hAnsi="Courier New"/>
          <w:color w:val="1B2A4A"/>
          <w:sz w:val="16"/>
          <w:szCs w:val="16"/>
        </w:rPr>
        <w:t xml:space="preserve">    "title": "Islamic Economy Platform Market Entry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Islamic economy platforms, halal marketplace businesses, and Muslim lifestyle technology companies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"Islamic economy platform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halal certification to global Muslim consumer — strategy for Islamic economy businesses.",</w:t>
      </w:r>
    </w:p>
    <w:p>
      <w:pPr>
        <w:shd w:fill="F0F0F0" w:val="clear"/>
        <w:spacing w:after="14" w:before="14"/>
        <w:ind w:left="360"/>
      </w:pPr>
      <w:r>
        <w:rPr>
          <w:rFonts w:ascii="Courier New" w:cs="Courier New" w:eastAsia="Courier New" w:hAnsi="Courier New"/>
          <w:color w:val="1B2A4A"/>
          <w:sz w:val="16"/>
          <w:szCs w:val="16"/>
        </w:rPr>
        <w:t xml:space="preserve">    "hero": "The Islamic economy — the full ecosystem of products, services, and platforms serving the Muslim consumer across food, fashion, finance, travel, healthcare, media, and lifestyle — represents one of the world's most significant and underserved consumer markets. Islamic economy platform developers, halal certification technology companies, Muslim lifestyle apps, and integrated halal marketplace operators are all evaluating new market entry opportunities as the 1.9 billion Muslim consumer market becomes more digitally accessible. GreyRadius helps Islamic economy businesses validate Muslim consumer demand, navigate halal certification requirements, execute GTM plans, and raise capital.",</w:t>
      </w:r>
    </w:p>
    <w:p>
      <w:pPr>
        <w:shd w:fill="F0F0F0" w:val="clear"/>
        <w:spacing w:after="14" w:before="14"/>
        <w:ind w:left="360"/>
      </w:pPr>
      <w:r>
        <w:rPr>
          <w:rFonts w:ascii="Courier New" w:cs="Courier New" w:eastAsia="Courier New" w:hAnsi="Courier New"/>
          <w:color w:val="1B2A4A"/>
          <w:sz w:val="16"/>
          <w:szCs w:val="16"/>
        </w:rPr>
        <w:t xml:space="preserve">    "market_timing": "The Muslim consumer is increasingly digital-first and under-served by mainstream platforms — Muslim consumers in Southeast Asia, South Asia, and the Gulf are using fragmented combinations of generic platforms to access halal-certified products, Islamic finance, and Muslim-relevant content. The integrated Islamic economy platforms that serve all these needs in one experience in 2024–2028 will capture significant Muslim consumer loyalty.",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Islamic economy market is projected to reach $6.7T by 2027 — spanning food, fashion, finance, travel, pharmaceuticals, media, and cosmetics serving 1.9 billion Muslim consumers.",</w:t>
      </w:r>
    </w:p>
    <w:p>
      <w:pPr>
        <w:shd w:fill="F0F0F0" w:val="clear"/>
        <w:spacing w:after="14" w:before="14"/>
        <w:ind w:left="360"/>
      </w:pPr>
      <w:r>
        <w:rPr>
          <w:rFonts w:ascii="Courier New" w:cs="Courier New" w:eastAsia="Courier New" w:hAnsi="Courier New"/>
          <w:color w:val="1B2A4A"/>
          <w:sz w:val="16"/>
          <w:szCs w:val="16"/>
        </w:rPr>
        <w:t xml:space="preserve">      "Muslim Gen Z consumers are the most commercially significant emerging segment — digitally native, globally connected, and with higher disposable income than previous generations of Muslim consumers.",</w:t>
      </w:r>
    </w:p>
    <w:p>
      <w:pPr>
        <w:shd w:fill="F0F0F0" w:val="clear"/>
        <w:spacing w:after="14" w:before="14"/>
        <w:ind w:left="360"/>
      </w:pPr>
      <w:r>
        <w:rPr>
          <w:rFonts w:ascii="Courier New" w:cs="Courier New" w:eastAsia="Courier New" w:hAnsi="Courier New"/>
          <w:color w:val="1B2A4A"/>
          <w:sz w:val="16"/>
          <w:szCs w:val="16"/>
        </w:rPr>
        <w:t xml:space="preserve">      "Integrated halal platforms are growing — marketplace platforms that combine halal food, modest fashion, Islamic finance, and halal travel in one experience are achieving significantly higher engagement than single-category apps.",</w:t>
      </w:r>
    </w:p>
    <w:p>
      <w:pPr>
        <w:shd w:fill="F0F0F0" w:val="clear"/>
        <w:spacing w:after="14" w:before="14"/>
        <w:ind w:left="360"/>
      </w:pPr>
      <w:r>
        <w:rPr>
          <w:rFonts w:ascii="Courier New" w:cs="Courier New" w:eastAsia="Courier New" w:hAnsi="Courier New"/>
          <w:color w:val="1B2A4A"/>
          <w:sz w:val="16"/>
          <w:szCs w:val="16"/>
        </w:rPr>
        <w:t xml:space="preserve">      "Gulf Islamic economy investment is accelerating — Saudi Arabia's Islamic economy development plan and UAE's Islamic economy strategy are both creating government-funded demand for Islamic economy technology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"Halal certification complexity varies significantly across Muslim-majority markets — different certifying bodies, standards, and consumer trust levels in Malaysia, Indonesia, Gulf, and South Asia require market-specific certification strategies.",</w:t>
      </w:r>
    </w:p>
    <w:p>
      <w:pPr>
        <w:shd w:fill="F0F0F0" w:val="clear"/>
        <w:spacing w:after="14" w:before="14"/>
        <w:ind w:left="360"/>
      </w:pPr>
      <w:r>
        <w:rPr>
          <w:rFonts w:ascii="Courier New" w:cs="Courier New" w:eastAsia="Courier New" w:hAnsi="Courier New"/>
          <w:color w:val="1B2A4A"/>
          <w:sz w:val="16"/>
          <w:szCs w:val="16"/>
        </w:rPr>
        <w:t xml:space="preserve">      "Muslim consumer diversity is often underestimated — Muslim consumers have dramatically different preferences, spending levels, and brand loyalties across Indonesia, Pakistan, Gulf, and Europe.",</w:t>
      </w:r>
    </w:p>
    <w:p>
      <w:pPr>
        <w:shd w:fill="F0F0F0" w:val="clear"/>
        <w:spacing w:after="14" w:before="14"/>
        <w:ind w:left="360"/>
      </w:pPr>
      <w:r>
        <w:rPr>
          <w:rFonts w:ascii="Courier New" w:cs="Courier New" w:eastAsia="Courier New" w:hAnsi="Courier New"/>
          <w:color w:val="1B2A4A"/>
          <w:sz w:val="16"/>
          <w:szCs w:val="16"/>
        </w:rPr>
        <w:t xml:space="preserve">      "Competition from mainstream platforms with halal sections is growing — established e-commerce and fintech platforms are adding halal product categories that compete with dedicated Islamic economy platforms.",</w:t>
      </w:r>
    </w:p>
    <w:p>
      <w:pPr>
        <w:shd w:fill="F0F0F0" w:val="clear"/>
        <w:spacing w:after="14" w:before="14"/>
        <w:ind w:left="360"/>
      </w:pPr>
      <w:r>
        <w:rPr>
          <w:rFonts w:ascii="Courier New" w:cs="Courier New" w:eastAsia="Courier New" w:hAnsi="Courier New"/>
          <w:color w:val="1B2A4A"/>
          <w:sz w:val="16"/>
          <w:szCs w:val="16"/>
        </w:rPr>
        <w:t xml:space="preserve">      "Building cross-category Islamic economy platforms requires simultaneous supply-side development across multiple halal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"Muslim consumer demand validation|You need to validate Muslim consumer interest in your Islamic economy platform and what categories, features, and pricing they require.",</w:t>
      </w:r>
    </w:p>
    <w:p>
      <w:pPr>
        <w:shd w:fill="F0F0F0" w:val="clear"/>
        <w:spacing w:after="14" w:before="14"/>
        <w:ind w:left="360"/>
      </w:pPr>
      <w:r>
        <w:rPr>
          <w:rFonts w:ascii="Courier New" w:cs="Courier New" w:eastAsia="Courier New" w:hAnsi="Courier New"/>
          <w:color w:val="1B2A4A"/>
          <w:sz w:val="16"/>
          <w:szCs w:val="16"/>
        </w:rPr>
        <w:t xml:space="preserve">      "Halal certification and compliance strategy|You need to understand which halal certification bodies are most trusted by your target Muslim consumers and what certification requirements apply to your platform.",</w:t>
      </w:r>
    </w:p>
    <w:p>
      <w:pPr>
        <w:shd w:fill="F0F0F0" w:val="clear"/>
        <w:spacing w:after="14" w:before="14"/>
        <w:ind w:left="360"/>
      </w:pPr>
      <w:r>
        <w:rPr>
          <w:rFonts w:ascii="Courier New" w:cs="Courier New" w:eastAsia="Courier New" w:hAnsi="Courier New"/>
          <w:color w:val="1B2A4A"/>
          <w:sz w:val="16"/>
          <w:szCs w:val="16"/>
        </w:rPr>
        <w:t xml:space="preserve">      "GTM for an Islamic economy platform|You have a halal marketplace, Muslim lifestyle app, or Islamic economy platform and need a go-to-market strategy.",</w:t>
      </w:r>
    </w:p>
    <w:p>
      <w:pPr>
        <w:shd w:fill="F0F0F0" w:val="clear"/>
        <w:spacing w:after="14" w:before="14"/>
        <w:ind w:left="360"/>
      </w:pPr>
      <w:r>
        <w:rPr>
          <w:rFonts w:ascii="Courier New" w:cs="Courier New" w:eastAsia="Courier New" w:hAnsi="Courier New"/>
          <w:color w:val="1B2A4A"/>
          <w:sz w:val="16"/>
          <w:szCs w:val="16"/>
        </w:rPr>
        <w:t xml:space="preserve">      "Raising capital for an Islamic economy venture|You are raising investment and need a pitch book grounded in Muslim consumer demand data and Islamic economy market sizing.",</w:t>
      </w:r>
    </w:p>
    <w:p>
      <w:pPr>
        <w:shd w:fill="F0F0F0" w:val="clear"/>
        <w:spacing w:after="14" w:before="14"/>
        <w:ind w:left="360"/>
      </w:pPr>
      <w:r>
        <w:rPr>
          <w:rFonts w:ascii="Courier New" w:cs="Courier New" w:eastAsia="Courier New" w:hAnsi="Courier New"/>
          <w:color w:val="1B2A4A"/>
          <w:sz w:val="16"/>
          <w:szCs w:val="16"/>
        </w:rPr>
        <w:t xml:space="preserve">      "Halal supply-side partner identification|You need to identify halal-certified brands, Islamic financial institutions, and halal service providers as supply-side partners.",</w:t>
      </w:r>
    </w:p>
    <w:p>
      <w:pPr>
        <w:shd w:fill="F0F0F0" w:val="clear"/>
        <w:spacing w:after="14" w:before="14"/>
        <w:ind w:left="360"/>
      </w:pPr>
      <w:r>
        <w:rPr>
          <w:rFonts w:ascii="Courier New" w:cs="Courier New" w:eastAsia="Courier New" w:hAnsi="Courier New"/>
          <w:color w:val="1B2A4A"/>
          <w:sz w:val="16"/>
          <w:szCs w:val="16"/>
        </w:rPr>
        <w:t xml:space="preserve">      "Competitive intelligence|You need to understand how competing Islamic economy platforms are positioned and acquiring Muslim consumers in your target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Muslim consumer demand for your Islamic economy platform in a new market. Covers Muslim consumer surveys, halal certification mapping, competitive analysis,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Islamic economy platform investments. Covers Muslim consumer demand modelling, platform economics, certification cost,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Islamic economy platforms. Certification pathway, halal supply partner identification, Muslim consumer ICP, and first-user milestone.",</w:t>
      </w:r>
    </w:p>
    <w:p>
      <w:pPr>
        <w:shd w:fill="F0F0F0" w:val="clear"/>
        <w:spacing w:after="14" w:before="14"/>
        <w:ind w:left="360"/>
      </w:pPr>
      <w:r>
        <w:rPr>
          <w:rFonts w:ascii="Courier New" w:cs="Courier New" w:eastAsia="Courier New" w:hAnsi="Courier New"/>
          <w:color w:val="1B2A4A"/>
          <w:sz w:val="16"/>
          <w:szCs w:val="16"/>
        </w:rPr>
        <w:t xml:space="preserve">      "Embedded GTM team for Islamic economy platforms. Muslim consumer acquisition, halal brand partner pipeline, and first-GMV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Islamic economy ventures. Muslim-consumer-validated market sizing, certification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in Islamic economy — from AI-powered halal product verification and personalised Muslim lifestyle recommendation to Islamic finance product matching and halal supply chain traceability."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halal food marketplaces or also with broader Islamic economy platforms covering finance, travel, and lifestyle?|Both. We work with single-category halal platforms on market entry and GTM, and with integrated Islamic economy platforms on market entry, fundraising, and supply-side development.",</w:t>
      </w:r>
    </w:p>
    <w:p>
      <w:pPr>
        <w:shd w:fill="F0F0F0" w:val="clear"/>
        <w:spacing w:after="14" w:before="14"/>
        <w:ind w:left="360"/>
      </w:pPr>
      <w:r>
        <w:rPr>
          <w:rFonts w:ascii="Courier New" w:cs="Courier New" w:eastAsia="Courier New" w:hAnsi="Courier New"/>
          <w:color w:val="1B2A4A"/>
          <w:sz w:val="16"/>
          <w:szCs w:val="16"/>
        </w:rPr>
        <w:t xml:space="preserve">      "What Islamic economy markets does GreyRadius cover?|Southeast Asia, South Asia, the Gulf, and Europe — markets with the largest Muslim consumer populations and most active Islamic economy investment.",</w:t>
      </w:r>
    </w:p>
    <w:p>
      <w:pPr>
        <w:shd w:fill="F0F0F0" w:val="clear"/>
        <w:spacing w:after="14" w:before="14"/>
        <w:ind w:left="360"/>
      </w:pPr>
      <w:r>
        <w:rPr>
          <w:rFonts w:ascii="Courier New" w:cs="Courier New" w:eastAsia="Courier New" w:hAnsi="Courier New"/>
          <w:color w:val="1B2A4A"/>
          <w:sz w:val="16"/>
          <w:szCs w:val="16"/>
        </w:rPr>
        <w:t xml:space="preserve">      "How long does an Islamic economy market entry engagement take?|Typically 6–10 weeks for Muslim consumer demand research, certification mapping, and market entry strategy.",</w:t>
      </w:r>
    </w:p>
    <w:p>
      <w:pPr>
        <w:shd w:fill="F0F0F0" w:val="clear"/>
        <w:spacing w:after="14" w:before="14"/>
        <w:ind w:left="360"/>
      </w:pPr>
      <w:r>
        <w:rPr>
          <w:rFonts w:ascii="Courier New" w:cs="Courier New" w:eastAsia="Courier New" w:hAnsi="Courier New"/>
          <w:color w:val="1B2A4A"/>
          <w:sz w:val="16"/>
          <w:szCs w:val="16"/>
        </w:rPr>
        <w:t xml:space="preserve">      "Can GreyRadius identify halal-certified brand partners for Islamic economy platforms?|Yes. Halal brand and Islamic service provider identification are part of our market entry execution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"Islamic economy market entry, halal platform GTM strategy, Muslim lifestyle app consulting, Islamic economy advisory, halal marketplace strategy, Muslim consumer platform consulting",</w:t>
      </w:r>
    </w:p>
    <w:p>
      <w:pPr>
        <w:shd w:fill="F0F0F0" w:val="clear"/>
        <w:spacing w:after="14" w:before="14"/>
        <w:ind w:left="360"/>
      </w:pPr>
      <w:r>
        <w:rPr>
          <w:rFonts w:ascii="Courier New" w:cs="Courier New" w:eastAsia="Courier New" w:hAnsi="Courier New"/>
          <w:color w:val="1B2A4A"/>
          <w:sz w:val="16"/>
          <w:szCs w:val="16"/>
        </w:rPr>
        <w:t xml:space="preserve">    "regions": "Southeast Asia, South Asia, Gulf, Europe",</w:t>
      </w:r>
    </w:p>
    <w:p>
      <w:pPr>
        <w:shd w:fill="F0F0F0" w:val="clear"/>
        <w:spacing w:after="14" w:before="14"/>
        <w:ind w:left="360"/>
      </w:pPr>
      <w:r>
        <w:rPr>
          <w:rFonts w:ascii="Courier New" w:cs="Courier New" w:eastAsia="Courier New" w:hAnsi="Courier New"/>
          <w:color w:val="1B2A4A"/>
          <w:sz w:val="16"/>
          <w:szCs w:val="16"/>
        </w:rPr>
        <w:t xml:space="preserve">    "stat1n": "$6.7T+",</w:t>
      </w:r>
    </w:p>
    <w:p>
      <w:pPr>
        <w:shd w:fill="F0F0F0" w:val="clear"/>
        <w:spacing w:after="14" w:before="14"/>
        <w:ind w:left="360"/>
      </w:pPr>
      <w:r>
        <w:rPr>
          <w:rFonts w:ascii="Courier New" w:cs="Courier New" w:eastAsia="Courier New" w:hAnsi="Courier New"/>
          <w:color w:val="1B2A4A"/>
          <w:sz w:val="16"/>
          <w:szCs w:val="16"/>
        </w:rPr>
        <w:t xml:space="preserve">    "stat1l": "Global Islamic economy market by 2027",</w:t>
      </w:r>
    </w:p>
    <w:p>
      <w:pPr>
        <w:shd w:fill="F0F0F0" w:val="clear"/>
        <w:spacing w:after="14" w:before="14"/>
        <w:ind w:left="360"/>
      </w:pPr>
      <w:r>
        <w:rPr>
          <w:rFonts w:ascii="Courier New" w:cs="Courier New" w:eastAsia="Courier New" w:hAnsi="Courier New"/>
          <w:color w:val="1B2A4A"/>
          <w:sz w:val="16"/>
          <w:szCs w:val="16"/>
        </w:rPr>
        <w:t xml:space="preserve">    "stat1b": "Spanning food, fashion, finance, travel, pharmaceuticals, media, and cosmetics serving 1.9 billion Muslim consumers.",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Islamic economy mandate",</w:t>
      </w:r>
    </w:p>
    <w:p>
      <w:pPr>
        <w:shd w:fill="F0F0F0" w:val="clear"/>
        <w:spacing w:after="14" w:before="14"/>
        <w:ind w:left="360"/>
      </w:pPr>
      <w:r>
        <w:rPr>
          <w:rFonts w:ascii="Courier New" w:cs="Courier New" w:eastAsia="Courier New" w:hAnsi="Courier New"/>
          <w:color w:val="1B2A4A"/>
          <w:sz w:val="16"/>
          <w:szCs w:val="16"/>
        </w:rPr>
        <w:t xml:space="preserve">    "stat2b": "Muslim consumers across multiple market segments and geographies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Muslim consumer demand mapping and halal certification research delivers Islamic economy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"sports-tech",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"media-entertainment",</w:t>
      </w:r>
    </w:p>
    <w:p>
      <w:pPr>
        <w:shd w:fill="F0F0F0" w:val="clear"/>
        <w:spacing w:after="14" w:before="14"/>
        <w:ind w:left="360"/>
      </w:pPr>
      <w:r>
        <w:rPr>
          <w:rFonts w:ascii="Courier New" w:cs="Courier New" w:eastAsia="Courier New" w:hAnsi="Courier New"/>
          <w:color w:val="1B2A4A"/>
          <w:sz w:val="16"/>
          <w:szCs w:val="16"/>
        </w:rPr>
        <w:t xml:space="preserve">    "title": "Sports Technology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sports technology companies, esports businesses, and sports performance platform providers with market entry strategy, GTM execution, and fundraising.",</w:t>
      </w:r>
    </w:p>
    <w:p>
      <w:pPr>
        <w:shd w:fill="F0F0F0" w:val="clear"/>
        <w:spacing w:after="14" w:before="14"/>
        <w:ind w:left="360"/>
      </w:pPr>
      <w:r>
        <w:rPr>
          <w:rFonts w:ascii="Courier New" w:cs="Courier New" w:eastAsia="Courier New" w:hAnsi="Courier New"/>
          <w:color w:val="1B2A4A"/>
          <w:sz w:val="16"/>
          <w:szCs w:val="16"/>
        </w:rPr>
        <w:t xml:space="preserve">    "h1": "Sports technology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athlete data to stadium contract — strategy for sports technology businesses.",</w:t>
      </w:r>
    </w:p>
    <w:p>
      <w:pPr>
        <w:shd w:fill="F0F0F0" w:val="clear"/>
        <w:spacing w:after="14" w:before="14"/>
        <w:ind w:left="360"/>
      </w:pPr>
      <w:r>
        <w:rPr>
          <w:rFonts w:ascii="Courier New" w:cs="Courier New" w:eastAsia="Courier New" w:hAnsi="Courier New"/>
          <w:color w:val="1B2A4A"/>
          <w:sz w:val="16"/>
          <w:szCs w:val="16"/>
        </w:rPr>
        <w:t xml:space="preserve">    "hero": "Sports technology is transforming how sports are played, coached, broadcast, and consumed — with performance analytics platforms, wearable athlete monitoring technology, sports broadcast technology, fan engagement platforms, and esports infrastructure all creating significant market opportunities. Sports technology companies are evaluating new market entry opportunities across the Gulf, Southeast Asia, and South Asia as sports investment accelerates and professional sports organisations invest in technology-driven performance and fan experience. GreyRadius helps sports technology businesses validate sports organisation and fan buyer demand, execute GTM plans, and raise capital.",</w:t>
      </w:r>
    </w:p>
    <w:p>
      <w:pPr>
        <w:shd w:fill="F0F0F0" w:val="clear"/>
        <w:spacing w:after="14" w:before="14"/>
        <w:ind w:left="360"/>
      </w:pPr>
      <w:r>
        <w:rPr>
          <w:rFonts w:ascii="Courier New" w:cs="Courier New" w:eastAsia="Courier New" w:hAnsi="Courier New"/>
          <w:color w:val="1B2A4A"/>
          <w:sz w:val="16"/>
          <w:szCs w:val="16"/>
        </w:rPr>
        <w:t xml:space="preserve">    "market_timing": "Gulf sports investment is at an extraordinary level — Saudi Arabia's sports entertainment strategy includes football, golf, tennis, boxing, formula one, and esports with billions allocated to rights, infrastructure, and technology. The 2030 World Cup in Saudi Arabia and 2034 expansion are creating specific sports technology procurement opportunities. Southeast Asian esports is growing at 20%+ annually with professional infrastructure investment accelerating.",</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"Global sports technology market is projected to reach $55B by 2030 — growing at 17% annually as performance analytics, fan engagement, and sports broadcast technology all achieve mainstream adoption.",</w:t>
      </w:r>
    </w:p>
    <w:p>
      <w:pPr>
        <w:shd w:fill="F0F0F0" w:val="clear"/>
        <w:spacing w:after="14" w:before="14"/>
        <w:ind w:left="360"/>
      </w:pPr>
      <w:r>
        <w:rPr>
          <w:rFonts w:ascii="Courier New" w:cs="Courier New" w:eastAsia="Courier New" w:hAnsi="Courier New"/>
          <w:color w:val="1B2A4A"/>
          <w:sz w:val="16"/>
          <w:szCs w:val="16"/>
        </w:rPr>
        <w:t xml:space="preserve">      "Athlete performance analytics is growing at 25%+ annually — AI-powered video analysis, GPS performance tracking, and biometric monitoring are all achieving widespread professional sports team adoption.",</w:t>
      </w:r>
    </w:p>
    <w:p>
      <w:pPr>
        <w:shd w:fill="F0F0F0" w:val="clear"/>
        <w:spacing w:after="14" w:before="14"/>
        <w:ind w:left="360"/>
      </w:pPr>
      <w:r>
        <w:rPr>
          <w:rFonts w:ascii="Courier New" w:cs="Courier New" w:eastAsia="Courier New" w:hAnsi="Courier New"/>
          <w:color w:val="1B2A4A"/>
          <w:sz w:val="16"/>
          <w:szCs w:val="16"/>
        </w:rPr>
        <w:t xml:space="preserve">      "Fan engagement technology is the largest sports technology investment category — second screen experiences, personalised content, sports betting integration, and AR/VR fan experiences are all receiving significant investment.",</w:t>
      </w:r>
    </w:p>
    <w:p>
      <w:pPr>
        <w:shd w:fill="F0F0F0" w:val="clear"/>
        <w:spacing w:after="14" w:before="14"/>
        <w:ind w:left="360"/>
      </w:pPr>
      <w:r>
        <w:rPr>
          <w:rFonts w:ascii="Courier New" w:cs="Courier New" w:eastAsia="Courier New" w:hAnsi="Courier New"/>
          <w:color w:val="1B2A4A"/>
          <w:sz w:val="16"/>
          <w:szCs w:val="16"/>
        </w:rPr>
        <w:t xml:space="preserve">      "Gulf sports entertainment investment is transforming the global sports technology market — Saudi Arabia and UAE are both creating demand for sports technology across performance, broadcast, and fan experience."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"Sports organisation procurement is relationship-driven — sports teams, leagues, and governing bodies make technology decisions based on trusted relationships with coaches, performance directors, and sports scientists.",</w:t>
      </w:r>
    </w:p>
    <w:p>
      <w:pPr>
        <w:shd w:fill="F0F0F0" w:val="clear"/>
        <w:spacing w:after="14" w:before="14"/>
        <w:ind w:left="360"/>
      </w:pPr>
      <w:r>
        <w:rPr>
          <w:rFonts w:ascii="Courier New" w:cs="Courier New" w:eastAsia="Courier New" w:hAnsi="Courier New"/>
          <w:color w:val="1B2A4A"/>
          <w:sz w:val="16"/>
          <w:szCs w:val="16"/>
        </w:rPr>
        <w:t xml:space="preserve">      "Proof of performance is required — sports technology buyers require clear evidence of competitive performance improvement or fan engagement uplift before adopting new technology.",</w:t>
      </w:r>
    </w:p>
    <w:p>
      <w:pPr>
        <w:shd w:fill="F0F0F0" w:val="clear"/>
        <w:spacing w:after="14" w:before="14"/>
        <w:ind w:left="360"/>
      </w:pPr>
      <w:r>
        <w:rPr>
          <w:rFonts w:ascii="Courier New" w:cs="Courier New" w:eastAsia="Courier New" w:hAnsi="Courier New"/>
          <w:color w:val="1B2A4A"/>
          <w:sz w:val="16"/>
          <w:szCs w:val="16"/>
        </w:rPr>
        <w:t xml:space="preserve">      "Sports technology market is fragmented — thousands of small sports technology companies compete for a limited number of professional sports organisation contracts, making differentiation critical.",</w:t>
      </w:r>
    </w:p>
    <w:p>
      <w:pPr>
        <w:shd w:fill="F0F0F0" w:val="clear"/>
        <w:spacing w:after="14" w:before="14"/>
        <w:ind w:left="360"/>
      </w:pPr>
      <w:r>
        <w:rPr>
          <w:rFonts w:ascii="Courier New" w:cs="Courier New" w:eastAsia="Courier New" w:hAnsi="Courier New"/>
          <w:color w:val="1B2A4A"/>
          <w:sz w:val="16"/>
          <w:szCs w:val="16"/>
        </w:rPr>
        <w:t xml:space="preserve">      "Seasonal sports calendars create procurement timing constraints — sports organisation technology purchasing is concentrated in off-season periods when teams and leagues have time to evaluate and implement new tools."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"Sports organisation buyer demand validation|You need to identify which professional teams, leagues, and governing bodies are actively investing in your sports technology category.",</w:t>
      </w:r>
    </w:p>
    <w:p>
      <w:pPr>
        <w:shd w:fill="F0F0F0" w:val="clear"/>
        <w:spacing w:after="14" w:before="14"/>
        <w:ind w:left="360"/>
      </w:pPr>
      <w:r>
        <w:rPr>
          <w:rFonts w:ascii="Courier New" w:cs="Courier New" w:eastAsia="Courier New" w:hAnsi="Courier New"/>
          <w:color w:val="1B2A4A"/>
          <w:sz w:val="16"/>
          <w:szCs w:val="16"/>
        </w:rPr>
        <w:t xml:space="preserve">      "GTM for sports technology|You have a performance analytics platform, fan engagement tool, or sports data product and need a go-to-market strategy covering sports organisation and media rights holder acquisition.",</w:t>
      </w:r>
    </w:p>
    <w:p>
      <w:pPr>
        <w:shd w:fill="F0F0F0" w:val="clear"/>
        <w:spacing w:after="14" w:before="14"/>
        <w:ind w:left="360"/>
      </w:pPr>
      <w:r>
        <w:rPr>
          <w:rFonts w:ascii="Courier New" w:cs="Courier New" w:eastAsia="Courier New" w:hAnsi="Courier New"/>
          <w:color w:val="1B2A4A"/>
          <w:sz w:val="16"/>
          <w:szCs w:val="16"/>
        </w:rPr>
        <w:t xml:space="preserve">      "Gulf sports technology opportunity mapping|You need to map Saudi Arabia and UAE sports investment programmes and identify specific technology procurement opportunities tied to their sports entertainment strategies.",</w:t>
      </w:r>
    </w:p>
    <w:p>
      <w:pPr>
        <w:shd w:fill="F0F0F0" w:val="clear"/>
        <w:spacing w:after="14" w:before="14"/>
        <w:ind w:left="360"/>
      </w:pPr>
      <w:r>
        <w:rPr>
          <w:rFonts w:ascii="Courier New" w:cs="Courier New" w:eastAsia="Courier New" w:hAnsi="Courier New"/>
          <w:color w:val="1B2A4A"/>
          <w:sz w:val="16"/>
          <w:szCs w:val="16"/>
        </w:rPr>
        <w:t xml:space="preserve">      "Raising capital for a sports technology venture|You are raising investment and need a pitch book grounded in sports organisation demand data and market sizing.",</w:t>
      </w:r>
    </w:p>
    <w:p>
      <w:pPr>
        <w:shd w:fill="F0F0F0" w:val="clear"/>
        <w:spacing w:after="14" w:before="14"/>
        <w:ind w:left="360"/>
      </w:pPr>
      <w:r>
        <w:rPr>
          <w:rFonts w:ascii="Courier New" w:cs="Courier New" w:eastAsia="Courier New" w:hAnsi="Courier New"/>
          <w:color w:val="1B2A4A"/>
          <w:sz w:val="16"/>
          <w:szCs w:val="16"/>
        </w:rPr>
        <w:t xml:space="preserve">      "Sports data and media rights partnership strategy|You need to identify sports leagues, governing bodies, and media rights holders as data licensing and distribution partners.",</w:t>
      </w:r>
    </w:p>
    <w:p>
      <w:pPr>
        <w:shd w:fill="F0F0F0" w:val="clear"/>
        <w:spacing w:after="14" w:before="14"/>
        <w:ind w:left="360"/>
      </w:pPr>
      <w:r>
        <w:rPr>
          <w:rFonts w:ascii="Courier New" w:cs="Courier New" w:eastAsia="Courier New" w:hAnsi="Courier New"/>
          <w:color w:val="1B2A4A"/>
          <w:sz w:val="16"/>
          <w:szCs w:val="16"/>
        </w:rPr>
        <w:t xml:space="preserve">      "Competitive intelligence|You need to understand how competing sports technology companies are positioned and winning contracts in your target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sports organisation demand for your sports technology in a new market. Covers team and league technology buyer interviews, Gulf sports programme mapping, and a Go/Defer/Kill recommendation.",</w:t>
      </w:r>
    </w:p>
    <w:p>
      <w:pPr>
        <w:shd w:fill="F0F0F0" w:val="clear"/>
        <w:spacing w:after="14" w:before="14"/>
        <w:ind w:left="360"/>
      </w:pPr>
      <w:r>
        <w:rPr>
          <w:rFonts w:ascii="Courier New" w:cs="Courier New" w:eastAsia="Courier New" w:hAnsi="Courier New"/>
          <w:color w:val="1B2A4A"/>
          <w:sz w:val="16"/>
          <w:szCs w:val="16"/>
        </w:rPr>
        <w:t xml:space="preserve">      "Full financial and operational feasibility for sports technology investments. Covers sports organisation adoption modelling, contract economics, and investor-ready projections.",</w:t>
      </w:r>
    </w:p>
    <w:p>
      <w:pPr>
        <w:shd w:fill="F0F0F0" w:val="clear"/>
        <w:spacing w:after="14" w:before="14"/>
        <w:ind w:left="360"/>
      </w:pPr>
      <w:r>
        <w:rPr>
          <w:rFonts w:ascii="Courier New" w:cs="Courier New" w:eastAsia="Courier New" w:hAnsi="Courier New"/>
          <w:color w:val="1B2A4A"/>
          <w:sz w:val="16"/>
          <w:szCs w:val="16"/>
        </w:rPr>
        <w:t xml:space="preserve">      "End-to-end market entry for sports technology companies. Sports organisation ICP, Gulf sports programme engagement, media rights partner identification, and first-contract acquisition.",</w:t>
      </w:r>
    </w:p>
    <w:p>
      <w:pPr>
        <w:shd w:fill="F0F0F0" w:val="clear"/>
        <w:spacing w:after="14" w:before="14"/>
        <w:ind w:left="360"/>
      </w:pPr>
      <w:r>
        <w:rPr>
          <w:rFonts w:ascii="Courier New" w:cs="Courier New" w:eastAsia="Courier New" w:hAnsi="Courier New"/>
          <w:color w:val="1B2A4A"/>
          <w:sz w:val="16"/>
          <w:szCs w:val="16"/>
        </w:rPr>
        <w:t xml:space="preserve">      "Embedded GTM team for sports technology platforms. Sports organisation outreach, Gulf sports investment pipeline, and first-revenue milestone tracking.",</w:t>
      </w:r>
    </w:p>
    <w:p>
      <w:pPr>
        <w:shd w:fill="F0F0F0" w:val="clear"/>
        <w:spacing w:after="14" w:before="14"/>
        <w:ind w:left="360"/>
      </w:pPr>
      <w:r>
        <w:rPr>
          <w:rFonts w:ascii="Courier New" w:cs="Courier New" w:eastAsia="Courier New" w:hAnsi="Courier New"/>
          <w:color w:val="1B2A4A"/>
          <w:sz w:val="16"/>
          <w:szCs w:val="16"/>
        </w:rPr>
        <w:t xml:space="preserve">      "Investor-ready pitch books for sports technology ventures. Sports-demand-validated market sizing, Gulf investment narrative, and investor identification.",</w:t>
      </w:r>
    </w:p>
    <w:p>
      <w:pPr>
        <w:shd w:fill="F0F0F0" w:val="clear"/>
        <w:spacing w:after="14" w:before="14"/>
        <w:ind w:left="360"/>
      </w:pPr>
      <w:r>
        <w:rPr>
          <w:rFonts w:ascii="Courier New" w:cs="Courier New" w:eastAsia="Courier New" w:hAnsi="Courier New"/>
          <w:color w:val="1B2A4A"/>
          <w:sz w:val="16"/>
          <w:szCs w:val="16"/>
        </w:rPr>
        <w:t xml:space="preserve">      "AI use-case prioritisation in sports technology — from computer vision performance analysis and injury prediction to personalised fan content recommendation and real-time broadcast enhancement."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performance analytics companies or also with fan engagement and broadcast technology companies?|All three. We work with performance analytics on market entry and sports organisation GTM, fan engagement on market entry and media partner development, and broadcast technology on market entry and fundraising.",</w:t>
      </w:r>
    </w:p>
    <w:p>
      <w:pPr>
        <w:shd w:fill="F0F0F0" w:val="clear"/>
        <w:spacing w:after="14" w:before="14"/>
        <w:ind w:left="360"/>
      </w:pPr>
      <w:r>
        <w:rPr>
          <w:rFonts w:ascii="Courier New" w:cs="Courier New" w:eastAsia="Courier New" w:hAnsi="Courier New"/>
          <w:color w:val="1B2A4A"/>
          <w:sz w:val="16"/>
          <w:szCs w:val="16"/>
        </w:rPr>
        <w:t xml:space="preserve">      "What sports technology markets does GreyRadius cover?|Gulf, Southeast Asia, South Asia, and Europe — markets with significant professional sports investment and growing sports technology adoption.",</w:t>
      </w:r>
    </w:p>
    <w:p>
      <w:pPr>
        <w:shd w:fill="F0F0F0" w:val="clear"/>
        <w:spacing w:after="14" w:before="14"/>
        <w:ind w:left="360"/>
      </w:pPr>
      <w:r>
        <w:rPr>
          <w:rFonts w:ascii="Courier New" w:cs="Courier New" w:eastAsia="Courier New" w:hAnsi="Courier New"/>
          <w:color w:val="1B2A4A"/>
          <w:sz w:val="16"/>
          <w:szCs w:val="16"/>
        </w:rPr>
        <w:t xml:space="preserve">      "How long does a sports technology market entry engagement take?|Typically 6–10 weeks for sports organisation demand research, Gulf programme mapping, and market entry strategy.",</w:t>
      </w:r>
    </w:p>
    <w:p>
      <w:pPr>
        <w:shd w:fill="F0F0F0" w:val="clear"/>
        <w:spacing w:after="14" w:before="14"/>
        <w:ind w:left="360"/>
      </w:pPr>
      <w:r>
        <w:rPr>
          <w:rFonts w:ascii="Courier New" w:cs="Courier New" w:eastAsia="Courier New" w:hAnsi="Courier New"/>
          <w:color w:val="1B2A4A"/>
          <w:sz w:val="16"/>
          <w:szCs w:val="16"/>
        </w:rPr>
        <w:t xml:space="preserve">      "Can GreyRadius identify Gulf sports programme contacts for sports technology companies?|Yes. Gulf sports investment programme mapping and initial commercial introductions are part of our market entry 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"sports technology market entry, esports GTM strategy, sports tech consulting, athlete analytics advisory, sports platform strategy, sports performance technology consulting",</w:t>
      </w:r>
    </w:p>
    <w:p>
      <w:pPr>
        <w:shd w:fill="F0F0F0" w:val="clear"/>
        <w:spacing w:after="14" w:before="14"/>
        <w:ind w:left="360"/>
      </w:pPr>
      <w:r>
        <w:rPr>
          <w:rFonts w:ascii="Courier New" w:cs="Courier New" w:eastAsia="Courier New" w:hAnsi="Courier New"/>
          <w:color w:val="1B2A4A"/>
          <w:sz w:val="16"/>
          <w:szCs w:val="16"/>
        </w:rPr>
        <w:t xml:space="preserve">    "regions": "Gulf, Southeast Asia, South Asia, Europe",</w:t>
      </w:r>
    </w:p>
    <w:p>
      <w:pPr>
        <w:shd w:fill="F0F0F0" w:val="clear"/>
        <w:spacing w:after="14" w:before="14"/>
        <w:ind w:left="360"/>
      </w:pPr>
      <w:r>
        <w:rPr>
          <w:rFonts w:ascii="Courier New" w:cs="Courier New" w:eastAsia="Courier New" w:hAnsi="Courier New"/>
          <w:color w:val="1B2A4A"/>
          <w:sz w:val="16"/>
          <w:szCs w:val="16"/>
        </w:rPr>
        <w:t xml:space="preserve">    "stat1n": "$55B+",</w:t>
      </w:r>
    </w:p>
    <w:p>
      <w:pPr>
        <w:shd w:fill="F0F0F0" w:val="clear"/>
        <w:spacing w:after="14" w:before="14"/>
        <w:ind w:left="360"/>
      </w:pPr>
      <w:r>
        <w:rPr>
          <w:rFonts w:ascii="Courier New" w:cs="Courier New" w:eastAsia="Courier New" w:hAnsi="Courier New"/>
          <w:color w:val="1B2A4A"/>
          <w:sz w:val="16"/>
          <w:szCs w:val="16"/>
        </w:rPr>
        <w:t xml:space="preserve">    "stat1l": "Global sports technology market by 2030",</w:t>
      </w:r>
    </w:p>
    <w:p>
      <w:pPr>
        <w:shd w:fill="F0F0F0" w:val="clear"/>
        <w:spacing w:after="14" w:before="14"/>
        <w:ind w:left="360"/>
      </w:pPr>
      <w:r>
        <w:rPr>
          <w:rFonts w:ascii="Courier New" w:cs="Courier New" w:eastAsia="Courier New" w:hAnsi="Courier New"/>
          <w:color w:val="1B2A4A"/>
          <w:sz w:val="16"/>
          <w:szCs w:val="16"/>
        </w:rPr>
        <w:t xml:space="preserve">    "stat1b": "Growing at 17% annually as performance analytics, fan engagement, and sports broadcast technology all achieve mainstream adoption.",</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sports tech mandate",</w:t>
      </w:r>
    </w:p>
    <w:p>
      <w:pPr>
        <w:shd w:fill="F0F0F0" w:val="clear"/>
        <w:spacing w:after="14" w:before="14"/>
        <w:ind w:left="360"/>
      </w:pPr>
      <w:r>
        <w:rPr>
          <w:rFonts w:ascii="Courier New" w:cs="Courier New" w:eastAsia="Courier New" w:hAnsi="Courier New"/>
          <w:color w:val="1B2A4A"/>
          <w:sz w:val="16"/>
          <w:szCs w:val="16"/>
        </w:rPr>
        <w:t xml:space="preserve">    "stat2b": "Sports team technology directors, league commercial heads, and fan experience managers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"Market entry strategy delivery",</w:t>
      </w:r>
    </w:p>
    <w:p>
      <w:pPr>
        <w:shd w:fill="F0F0F0" w:val="clear"/>
        <w:spacing w:after="14" w:before="14"/>
        <w:ind w:left="360"/>
      </w:pPr>
      <w:r>
        <w:rPr>
          <w:rFonts w:ascii="Courier New" w:cs="Courier New" w:eastAsia="Courier New" w:hAnsi="Courier New"/>
          <w:color w:val="1B2A4A"/>
          <w:sz w:val="16"/>
          <w:szCs w:val="16"/>
        </w:rPr>
        <w:t xml:space="preserve">    "stat3b": "AI-augmented sports organisation demand mapping and Gulf programme research delivers sports technology market entry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After this batch — milestone: 180 pages complete</w:t>
      </w:r>
    </w:p>
    <w:p>
      <w:pPr>
        <w:spacing w:after="60" w:before="60"/>
      </w:pPr>
      <w:r>
        <w:rPr>
          <w:rFonts w:ascii="Arial" w:cs="Arial" w:eastAsia="Arial" w:hAnsi="Arial"/>
          <w:color w:val="222222"/>
          <w:sz w:val="20"/>
          <w:szCs w:val="20"/>
        </w:rPr>
        <w:t xml:space="preserve">With these 39 pages added, the GreyRadius SEO architecture reaches 180 fully written and built pages. To continue toward 300-400 pages, start Batch 9.</w:t>
      </w:r>
    </w:p>
    <w:p>
      <w:pPr>
        <w:pStyle w:val="ListParagraph"/>
        <w:numPr>
          <w:ilvl w:val="0"/>
          <w:numId w:val="2"/>
        </w:numPr>
        <w:spacing w:after="40" w:before="40"/>
      </w:pPr>
      <w:r>
        <w:rPr>
          <w:rFonts w:ascii="Arial" w:cs="Arial" w:eastAsia="Arial" w:hAnsi="Arial"/>
          <w:color w:val="222222"/>
          <w:sz w:val="20"/>
          <w:szCs w:val="20"/>
        </w:rPr>
        <w:t xml:space="preserve">Batch 9 priority pages: Regional entry guides (India, Southeast Asia, Gulf, Africa variants by sector), Community Solar, Battery-as-a-Service, Healthcare AI platforms, B2B SaaS emerging markets, Digital Infrastructure REIT, AgriTech Southeast Asia, Halal Pharma, Islamic Education</w:t>
      </w:r>
    </w:p>
    <w:p>
      <w:pPr>
        <w:spacing w:before="400"/>
      </w:pPr>
      <w:r>
        <w:rPr>
          <w:rFonts w:ascii="Arial" w:cs="Arial" w:eastAsia="Arial" w:hAnsi="Arial"/>
          <w:i/>
          <w:iCs/>
          <w:color w:val="666666"/>
          <w:sz w:val="16"/>
          <w:szCs w:val="16"/>
        </w:rPr>
        <w:t xml:space="preserve">GreyRadius Consulting | SEO Build Pack Batch 678b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2026-06-03T05:05:52.453Z</dcterms:created>
  <dcterms:modified xsi:type="dcterms:W3CDTF">2026-06-03T05:05:52.466Z</dcterms:modified>
</cp:coreProperties>
</file>

<file path=docProps/custom.xml><?xml version="1.0" encoding="utf-8"?>
<Properties xmlns="http://schemas.openxmlformats.org/officeDocument/2006/custom-properties" xmlns:vt="http://schemas.openxmlformats.org/officeDocument/2006/docPropsVTypes"/>
</file>