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 678c Final Completion</w:t>
      </w:r>
    </w:p>
    <w:p>
      <w:pPr>
        <w:spacing w:after="600" w:before="0"/>
      </w:pPr>
      <w:r>
        <w:rPr>
          <w:rFonts w:ascii="Arial" w:cs="Arial" w:eastAsia="Arial" w:hAnsi="Arial"/>
          <w:i/>
          <w:iCs/>
          <w:color w:val="666666"/>
          <w:sz w:val="20"/>
          <w:szCs w:val="20"/>
        </w:rPr>
        <w:t xml:space="preserve">Final pages completing 60-page batch · JSON appendix | May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What this document contains</w:t>
      </w:r>
    </w:p>
    <w:p>
      <w:pPr>
        <w:spacing w:after="60" w:before="60"/>
      </w:pPr>
      <w:r>
        <w:rPr>
          <w:rFonts w:ascii="Arial" w:cs="Arial" w:eastAsia="Arial" w:hAnsi="Arial"/>
          <w:color w:val="222222"/>
          <w:sz w:val="20"/>
          <w:szCs w:val="20"/>
        </w:rPr>
        <w:t xml:space="preserve">This is the final completion document for Batches 6-7-8. Combined with batch678.json (21 pages) and batch678b.json (10 pages), this gives the full 60 pages across the three batches.</w:t>
      </w:r>
    </w:p>
    <w:p>
      <w:pPr>
        <w:spacing w:after="60" w:before="60"/>
      </w:pPr>
      <w:r>
        <w:rPr>
          <w:rFonts w:ascii="Arial" w:cs="Arial" w:eastAsia="Arial" w:hAnsi="Arial"/>
          <w:color w:val="222222"/>
          <w:sz w:val="20"/>
          <w:szCs w:val="20"/>
        </w:rPr>
        <w:t xml:space="preserve">Pages in this document: 8</w:t>
      </w:r>
    </w:p>
    <w:p>
      <w:pPr>
        <w:pStyle w:val="ListParagraph"/>
        <w:numPr>
          <w:ilvl w:val="0"/>
          <w:numId w:val="2"/>
        </w:numPr>
        <w:spacing w:after="40" w:before="40"/>
      </w:pPr>
      <w:r>
        <w:rPr>
          <w:rFonts w:ascii="Arial" w:cs="Arial" w:eastAsia="Arial" w:hAnsi="Arial"/>
          <w:color w:val="222222"/>
          <w:sz w:val="20"/>
          <w:szCs w:val="20"/>
        </w:rPr>
        <w:t xml:space="preserve">1. [Tier 3] Community solar and distributed energy market entry strategy</w:t>
      </w:r>
    </w:p>
    <w:p>
      <w:pPr>
        <w:pStyle w:val="ListParagraph"/>
        <w:numPr>
          <w:ilvl w:val="0"/>
          <w:numId w:val="2"/>
        </w:numPr>
        <w:spacing w:after="40" w:before="40"/>
      </w:pPr>
      <w:r>
        <w:rPr>
          <w:rFonts w:ascii="Arial" w:cs="Arial" w:eastAsia="Arial" w:hAnsi="Arial"/>
          <w:color w:val="222222"/>
          <w:sz w:val="20"/>
          <w:szCs w:val="20"/>
        </w:rPr>
        <w:t xml:space="preserve">2. [Tier 3] B2B SaaS emerging markets entry strategy</w:t>
      </w:r>
    </w:p>
    <w:p>
      <w:pPr>
        <w:pStyle w:val="ListParagraph"/>
        <w:numPr>
          <w:ilvl w:val="0"/>
          <w:numId w:val="2"/>
        </w:numPr>
        <w:spacing w:after="40" w:before="40"/>
      </w:pPr>
      <w:r>
        <w:rPr>
          <w:rFonts w:ascii="Arial" w:cs="Arial" w:eastAsia="Arial" w:hAnsi="Arial"/>
          <w:color w:val="222222"/>
          <w:sz w:val="20"/>
          <w:szCs w:val="20"/>
        </w:rPr>
        <w:t xml:space="preserve">3. [Tier 3] Halal pharmaceuticals and medicine market entry strategy</w:t>
      </w:r>
    </w:p>
    <w:p>
      <w:pPr>
        <w:pStyle w:val="ListParagraph"/>
        <w:numPr>
          <w:ilvl w:val="0"/>
          <w:numId w:val="2"/>
        </w:numPr>
        <w:spacing w:after="40" w:before="40"/>
      </w:pPr>
      <w:r>
        <w:rPr>
          <w:rFonts w:ascii="Arial" w:cs="Arial" w:eastAsia="Arial" w:hAnsi="Arial"/>
          <w:color w:val="222222"/>
          <w:sz w:val="20"/>
          <w:szCs w:val="20"/>
        </w:rPr>
        <w:t xml:space="preserve">4. [Tier 3] Healthcare AI platform market entry strategy</w:t>
      </w:r>
    </w:p>
    <w:p>
      <w:pPr>
        <w:pStyle w:val="ListParagraph"/>
        <w:numPr>
          <w:ilvl w:val="0"/>
          <w:numId w:val="2"/>
        </w:numPr>
        <w:spacing w:after="40" w:before="40"/>
      </w:pPr>
      <w:r>
        <w:rPr>
          <w:rFonts w:ascii="Arial" w:cs="Arial" w:eastAsia="Arial" w:hAnsi="Arial"/>
          <w:color w:val="222222"/>
          <w:sz w:val="20"/>
          <w:szCs w:val="20"/>
        </w:rPr>
        <w:t xml:space="preserve">5. [Tier 3] Islamic education and EdTech market entry strategy</w:t>
      </w:r>
    </w:p>
    <w:p>
      <w:pPr>
        <w:pStyle w:val="ListParagraph"/>
        <w:numPr>
          <w:ilvl w:val="0"/>
          <w:numId w:val="2"/>
        </w:numPr>
        <w:spacing w:after="40" w:before="40"/>
      </w:pPr>
      <w:r>
        <w:rPr>
          <w:rFonts w:ascii="Arial" w:cs="Arial" w:eastAsia="Arial" w:hAnsi="Arial"/>
          <w:color w:val="222222"/>
          <w:sz w:val="20"/>
          <w:szCs w:val="20"/>
        </w:rPr>
        <w:t xml:space="preserve">6. [Tier 3] Battery-as-a-Service market entry strategy</w:t>
      </w:r>
    </w:p>
    <w:p>
      <w:pPr>
        <w:pStyle w:val="ListParagraph"/>
        <w:numPr>
          <w:ilvl w:val="0"/>
          <w:numId w:val="2"/>
        </w:numPr>
        <w:spacing w:after="40" w:before="40"/>
      </w:pPr>
      <w:r>
        <w:rPr>
          <w:rFonts w:ascii="Arial" w:cs="Arial" w:eastAsia="Arial" w:hAnsi="Arial"/>
          <w:color w:val="222222"/>
          <w:sz w:val="20"/>
          <w:szCs w:val="20"/>
        </w:rPr>
        <w:t xml:space="preserve">7. [Tier 3] Digital Infrastructure REIT market entry strategy</w:t>
      </w:r>
    </w:p>
    <w:p>
      <w:pPr>
        <w:pStyle w:val="ListParagraph"/>
        <w:numPr>
          <w:ilvl w:val="0"/>
          <w:numId w:val="2"/>
        </w:numPr>
        <w:spacing w:after="40" w:before="40"/>
      </w:pPr>
      <w:r>
        <w:rPr>
          <w:rFonts w:ascii="Arial" w:cs="Arial" w:eastAsia="Arial" w:hAnsi="Arial"/>
          <w:color w:val="222222"/>
          <w:sz w:val="20"/>
          <w:szCs w:val="20"/>
        </w:rPr>
        <w:t xml:space="preserve">8. [Tier 3] Agritech Southeast Asia market entry strategy</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Grand total across all batches</w:t>
      </w:r>
    </w:p>
    <w:p>
      <w:pPr>
        <w:spacing w:after="60" w:before="60"/>
      </w:pPr>
      <w:r>
        <w:rPr>
          <w:rFonts w:ascii="Arial" w:cs="Arial" w:eastAsia="Arial" w:hAnsi="Arial"/>
          <w:color w:val="222222"/>
          <w:sz w:val="20"/>
          <w:szCs w:val="20"/>
        </w:rPr>
        <w:t xml:space="preserve">Batch 1+1B: 40 pages</w:t>
      </w:r>
    </w:p>
    <w:p>
      <w:pPr>
        <w:spacing w:after="60" w:before="60"/>
      </w:pPr>
      <w:r>
        <w:rPr>
          <w:rFonts w:ascii="Arial" w:cs="Arial" w:eastAsia="Arial" w:hAnsi="Arial"/>
          <w:color w:val="222222"/>
          <w:sz w:val="20"/>
          <w:szCs w:val="20"/>
        </w:rPr>
        <w:t xml:space="preserve">Batches 2+3+4+5: 80 pages</w:t>
      </w:r>
    </w:p>
    <w:p>
      <w:pPr>
        <w:spacing w:after="60" w:before="60"/>
      </w:pPr>
      <w:r>
        <w:rPr>
          <w:rFonts w:ascii="Arial" w:cs="Arial" w:eastAsia="Arial" w:hAnsi="Arial"/>
          <w:color w:val="222222"/>
          <w:sz w:val="20"/>
          <w:szCs w:val="20"/>
        </w:rPr>
        <w:t xml:space="preserve">Batch 678 (21 pages) + 678b (10 pages) + 678c (this document): 60 pages</w:t>
      </w:r>
    </w:p>
    <w:p>
      <w:pPr>
        <w:spacing w:after="60" w:before="60"/>
      </w:pPr>
      <w:r>
        <w:rPr>
          <w:rFonts w:ascii="Arial" w:cs="Arial" w:eastAsia="Arial" w:hAnsi="Arial"/>
          <w:color w:val="222222"/>
          <w:sz w:val="20"/>
          <w:szCs w:val="20"/>
        </w:rPr>
        <w:t xml:space="preserve">TOTAL: 180 pages — the complete GreyRadius SEO architecture Phase 1</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Replit prompt</w:t>
      </w:r>
    </w:p>
    <w:p>
      <w:pPr>
        <w:spacing w:after="60" w:before="60"/>
      </w:pPr>
      <w:r>
        <w:rPr>
          <w:rFonts w:ascii="Arial" w:cs="Arial" w:eastAsia="Arial" w:hAnsi="Arial"/>
          <w:i/>
          <w:iCs/>
          <w:color w:val="666666"/>
          <w:sz w:val="18"/>
          <w:szCs w:val="18"/>
        </w:rPr>
        <w:t xml:space="preserve">Paste into Replit. Builds remaining pages from this batch.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You are adding the final completion pages from Batches 6-7-8.</w:t>
      </w:r>
    </w:p>
    <w:p>
      <w:pPr>
        <w:shd w:fill="F0F0F0" w:val="clear"/>
        <w:spacing w:after="14" w:before="14"/>
        <w:ind w:left="360"/>
      </w:pPr>
      <w:r>
        <w:rPr>
          <w:rFonts w:ascii="Courier New" w:cs="Courier New" w:eastAsia="Courier New" w:hAnsi="Courier New"/>
          <w:color w:val="1B2A4A"/>
          <w:sz w:val="16"/>
          <w:szCs w:val="16"/>
        </w:rPr>
        <w:t xml:space="preserve">Template exists at templates/industry-page-template.html.</w:t>
      </w:r>
    </w:p>
    <w:p>
      <w:pPr>
        <w:shd w:fill="F0F0F0" w:val="clear"/>
        <w:spacing w:after="14" w:before="14"/>
        <w:ind w:left="360"/>
      </w:pPr>
      <w:r>
        <w:rPr>
          <w:rFonts w:ascii="Courier New" w:cs="Courier New" w:eastAsia="Courier New" w:hAnsi="Courier New"/>
          <w:color w:val="1B2A4A"/>
          <w:sz w:val="16"/>
          <w:szCs w:val="16"/>
        </w:rPr>
        <w:t xml:space="preserve">Previous pages from batch678 and batch678b already exist.</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1: Confirm data/industry-pages-batch678c.json exists.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2: For each entry determine output path:</w:t>
      </w:r>
    </w:p>
    <w:p>
      <w:pPr>
        <w:shd w:fill="F0F0F0" w:val="clear"/>
        <w:spacing w:after="14" w:before="14"/>
        <w:ind w:left="360"/>
      </w:pPr>
      <w:r>
        <w:rPr>
          <w:rFonts w:ascii="Courier New" w:cs="Courier New" w:eastAsia="Courier New" w:hAnsi="Courier New"/>
          <w:color w:val="1B2A4A"/>
          <w:sz w:val="16"/>
          <w:szCs w:val="16"/>
        </w:rPr>
        <w:t xml:space="preserve">  tier 2: industries/[parent]/[slug].html</w:t>
      </w:r>
    </w:p>
    <w:p>
      <w:pPr>
        <w:shd w:fill="F0F0F0" w:val="clear"/>
        <w:spacing w:after="14" w:before="14"/>
        <w:ind w:left="360"/>
      </w:pPr>
      <w:r>
        <w:rPr>
          <w:rFonts w:ascii="Courier New" w:cs="Courier New" w:eastAsia="Courier New" w:hAnsi="Courier New"/>
          <w:color w:val="1B2A4A"/>
          <w:sz w:val="16"/>
          <w:szCs w:val="16"/>
        </w:rPr>
        <w:t xml:space="preserve">  tier 3: industries/[parent]/[slug].html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3: Replace ALL tokens. Split challenges_we_solve on |.</w:t>
      </w:r>
    </w:p>
    <w:p>
      <w:pPr>
        <w:shd w:fill="F0F0F0" w:val="clear"/>
        <w:spacing w:after="14" w:before="14"/>
        <w:ind w:left="360"/>
      </w:pPr>
      <w:r>
        <w:rPr>
          <w:rFonts w:ascii="Courier New" w:cs="Courier New" w:eastAsia="Courier New" w:hAnsi="Courier New"/>
          <w:color w:val="1B2A4A"/>
          <w:sz w:val="16"/>
          <w:szCs w:val="16"/>
        </w:rPr>
        <w:t xml:space="preserve">Split faq on |. Log any unreplaced {{ }} tokens.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4: Write each file.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5: Add URLs to sitemap.xml. Update nav dropdown.</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6: Summary: total pages created, paths, warnings.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DO NOT write scripts. Read JSON. Write files directly.</w:t>
      </w:r>
    </w:p>
    <w:p>
      <w:pPr>
        <w:shd w:fill="F0F0F0" w:val="clear"/>
        <w:spacing w:after="14" w:before="14"/>
        <w:ind w:left="360"/>
      </w:pPr>
      <w:r>
        <w:rPr>
          <w:rFonts w:ascii="Courier New" w:cs="Courier New" w:eastAsia="Courier New" w:hAnsi="Courier New"/>
          <w:color w:val="1B2A4A"/>
          <w:sz w:val="16"/>
          <w:szCs w:val="16"/>
        </w:rPr>
        <w:t xml:space="preserve"/>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JSON appendix — save as data/industry-pages-batch678c.json</w:t>
      </w:r>
    </w:p>
    <w:p>
      <w:pPr>
        <w:spacing w:after="60" w:before="60"/>
      </w:pPr>
      <w:r>
        <w:rPr>
          <w:rFonts w:ascii="Arial" w:cs="Arial" w:eastAsia="Arial" w:hAnsi="Arial"/>
          <w:i/>
          <w:iCs/>
          <w:color w:val="666666"/>
          <w:sz w:val="18"/>
          <w:szCs w:val="18"/>
        </w:rPr>
        <w:t xml:space="preserve">Copy the complete JSON below into Replit</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"community-solar",</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"renewable-energy",</w:t>
      </w:r>
    </w:p>
    <w:p>
      <w:pPr>
        <w:shd w:fill="F0F0F0" w:val="clear"/>
        <w:spacing w:after="14" w:before="14"/>
        <w:ind w:left="360"/>
      </w:pPr>
      <w:r>
        <w:rPr>
          <w:rFonts w:ascii="Courier New" w:cs="Courier New" w:eastAsia="Courier New" w:hAnsi="Courier New"/>
          <w:color w:val="1B2A4A"/>
          <w:sz w:val="16"/>
          <w:szCs w:val="16"/>
        </w:rPr>
        <w:t xml:space="preserve">    "title": "Community Solar &amp; Distributed Energy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community solar developers, distributed energy companies, and virtual power plant operators with market entry strategy, feasibility studies, and fundraising.",</w:t>
      </w:r>
    </w:p>
    <w:p>
      <w:pPr>
        <w:shd w:fill="F0F0F0" w:val="clear"/>
        <w:spacing w:after="14" w:before="14"/>
        <w:ind w:left="360"/>
      </w:pPr>
      <w:r>
        <w:rPr>
          <w:rFonts w:ascii="Courier New" w:cs="Courier New" w:eastAsia="Courier New" w:hAnsi="Courier New"/>
          <w:color w:val="1B2A4A"/>
          <w:sz w:val="16"/>
          <w:szCs w:val="16"/>
        </w:rPr>
        <w:t xml:space="preserve">    "h1": "Community solar and distributed energy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shared solar array to subscribed community — strategy for community energy businesses.",</w:t>
      </w:r>
    </w:p>
    <w:p>
      <w:pPr>
        <w:shd w:fill="F0F0F0" w:val="clear"/>
        <w:spacing w:after="14" w:before="14"/>
        <w:ind w:left="360"/>
      </w:pPr>
      <w:r>
        <w:rPr>
          <w:rFonts w:ascii="Courier New" w:cs="Courier New" w:eastAsia="Courier New" w:hAnsi="Courier New"/>
          <w:color w:val="1B2A4A"/>
          <w:sz w:val="16"/>
          <w:szCs w:val="16"/>
        </w:rPr>
        <w:t xml:space="preserve">    "hero": "Community solar — shared solar installations that allow households and businesses without rooftop access to benefit from solar energy — is creating new market entry opportunities across Southeast Asia, South Asia, and the Gulf as governments seek to expand solar access beyond those who own rooftops. Community solar developers, virtual power plant operators, energy community platform companies, and distributed energy aggregators are all evaluating new market entry opportunities. GreyRadius helps community solar businesses validate subscriber demand, assess project feasibility, navigate regulatory frameworks, and raise capital.",</w:t>
      </w:r>
    </w:p>
    <w:p>
      <w:pPr>
        <w:shd w:fill="F0F0F0" w:val="clear"/>
        <w:spacing w:after="14" w:before="14"/>
        <w:ind w:left="360"/>
      </w:pPr>
      <w:r>
        <w:rPr>
          <w:rFonts w:ascii="Courier New" w:cs="Courier New" w:eastAsia="Courier New" w:hAnsi="Courier New"/>
          <w:color w:val="1B2A4A"/>
          <w:sz w:val="16"/>
          <w:szCs w:val="16"/>
        </w:rPr>
        <w:t xml:space="preserve">    "market_timing": "Community solar regulation is being established in multiple new markets — India's PM-KUSUM scheme, several Southeast Asian net metering expansion programmes, and Gulf distributed generation frameworks are all creating the regulatory foundations for community solar development. Early movers in newly regulated markets will establish subscriber relationships and project portfolios before competition intensifies.",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community solar market is projected to reach $20B by 2030 — growing at 30% annually as regulatory frameworks expand access and falling solar costs make shared solar economically attractive.",</w:t>
      </w:r>
    </w:p>
    <w:p>
      <w:pPr>
        <w:shd w:fill="F0F0F0" w:val="clear"/>
        <w:spacing w:after="14" w:before="14"/>
        <w:ind w:left="360"/>
      </w:pPr>
      <w:r>
        <w:rPr>
          <w:rFonts w:ascii="Courier New" w:cs="Courier New" w:eastAsia="Courier New" w:hAnsi="Courier New"/>
          <w:color w:val="1B2A4A"/>
          <w:sz w:val="16"/>
          <w:szCs w:val="16"/>
        </w:rPr>
        <w:t xml:space="preserve">      "Virtual power plants are growing as community solar evolves — aggregating distributed solar, battery storage, and demand response into coordinated grid services creates additional revenue streams for community energy operators.",</w:t>
      </w:r>
    </w:p>
    <w:p>
      <w:pPr>
        <w:shd w:fill="F0F0F0" w:val="clear"/>
        <w:spacing w:after="14" w:before="14"/>
        <w:ind w:left="360"/>
      </w:pPr>
      <w:r>
        <w:rPr>
          <w:rFonts w:ascii="Courier New" w:cs="Courier New" w:eastAsia="Courier New" w:hAnsi="Courier New"/>
          <w:color w:val="1B2A4A"/>
          <w:sz w:val="16"/>
          <w:szCs w:val="16"/>
        </w:rPr>
        <w:t xml:space="preserve">      "Corporate community solar offtake is growing — companies that cannot install rooftop solar are subscribing to community solar to meet renewable energy targets.",</w:t>
      </w:r>
    </w:p>
    <w:p>
      <w:pPr>
        <w:shd w:fill="F0F0F0" w:val="clear"/>
        <w:spacing w:after="14" w:before="14"/>
        <w:ind w:left="360"/>
      </w:pPr>
      <w:r>
        <w:rPr>
          <w:rFonts w:ascii="Courier New" w:cs="Courier New" w:eastAsia="Courier New" w:hAnsi="Courier New"/>
          <w:color w:val="1B2A4A"/>
          <w:sz w:val="16"/>
          <w:szCs w:val="16"/>
        </w:rPr>
        <w:t xml:space="preserve">      "Government housing programme integration is creating scale — integrating community solar into affordable housing and public housing developments is enabling subscriber acquisition at low cost."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"Community solar regulatory frameworks are still being established in many markets — net metering rules, virtual net metering, and community solar specific regulations vary and are evolving.",</w:t>
      </w:r>
    </w:p>
    <w:p>
      <w:pPr>
        <w:shd w:fill="F0F0F0" w:val="clear"/>
        <w:spacing w:after="14" w:before="14"/>
        <w:ind w:left="360"/>
      </w:pPr>
      <w:r>
        <w:rPr>
          <w:rFonts w:ascii="Courier New" w:cs="Courier New" w:eastAsia="Courier New" w:hAnsi="Courier New"/>
          <w:color w:val="1B2A4A"/>
          <w:sz w:val="16"/>
          <w:szCs w:val="16"/>
        </w:rPr>
        <w:t xml:space="preserve">      "Subscriber acquisition and retention is the primary commercial challenge — acquiring and retaining subscribers who understand and value their solar subscription requires sustained marketing and education investment.",</w:t>
      </w:r>
    </w:p>
    <w:p>
      <w:pPr>
        <w:shd w:fill="F0F0F0" w:val="clear"/>
        <w:spacing w:after="14" w:before="14"/>
        <w:ind w:left="360"/>
      </w:pPr>
      <w:r>
        <w:rPr>
          <w:rFonts w:ascii="Courier New" w:cs="Courier New" w:eastAsia="Courier New" w:hAnsi="Courier New"/>
          <w:color w:val="1B2A4A"/>
          <w:sz w:val="16"/>
          <w:szCs w:val="16"/>
        </w:rPr>
        <w:t xml:space="preserve">      "Grid interconnection requirements create development timeline risk — connecting community solar arrays to the grid requires utility cooperation and can face long wait times in markets with limited grid capacity.",</w:t>
      </w:r>
    </w:p>
    <w:p>
      <w:pPr>
        <w:shd w:fill="F0F0F0" w:val="clear"/>
        <w:spacing w:after="14" w:before="14"/>
        <w:ind w:left="360"/>
      </w:pPr>
      <w:r>
        <w:rPr>
          <w:rFonts w:ascii="Courier New" w:cs="Courier New" w:eastAsia="Courier New" w:hAnsi="Courier New"/>
          <w:color w:val="1B2A4A"/>
          <w:sz w:val="16"/>
          <w:szCs w:val="16"/>
        </w:rPr>
        <w:t xml:space="preserve">      "Community solar project financing requires long-term subscriber agreements — project lenders require evidence of subscriber commitments before providing construction financing."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"Community solar regulatory assessment|You need to understand net metering rules, community solar specific regulations, and virtual net metering frameworks in your target market.",</w:t>
      </w:r>
    </w:p>
    <w:p>
      <w:pPr>
        <w:shd w:fill="F0F0F0" w:val="clear"/>
        <w:spacing w:after="14" w:before="14"/>
        <w:ind w:left="360"/>
      </w:pPr>
      <w:r>
        <w:rPr>
          <w:rFonts w:ascii="Courier New" w:cs="Courier New" w:eastAsia="Courier New" w:hAnsi="Courier New"/>
          <w:color w:val="1B2A4A"/>
          <w:sz w:val="16"/>
          <w:szCs w:val="16"/>
        </w:rPr>
        <w:t xml:space="preserve">      "Subscriber demand validation|You need to validate consumer and commercial interest in community solar subscriptions and what pricing, savings, and contract terms will drive adoption.",</w:t>
      </w:r>
    </w:p>
    <w:p>
      <w:pPr>
        <w:shd w:fill="F0F0F0" w:val="clear"/>
        <w:spacing w:after="14" w:before="14"/>
        <w:ind w:left="360"/>
      </w:pPr>
      <w:r>
        <w:rPr>
          <w:rFonts w:ascii="Courier New" w:cs="Courier New" w:eastAsia="Courier New" w:hAnsi="Courier New"/>
          <w:color w:val="1B2A4A"/>
          <w:sz w:val="16"/>
          <w:szCs w:val="16"/>
        </w:rPr>
        <w:t xml:space="preserve">      "Project feasibility|You are evaluating a community solar development and need a feasibility study covering subscriber demand, grid connection, solar resource, and financial projections.",</w:t>
      </w:r>
    </w:p>
    <w:p>
      <w:pPr>
        <w:shd w:fill="F0F0F0" w:val="clear"/>
        <w:spacing w:after="14" w:before="14"/>
        <w:ind w:left="360"/>
      </w:pPr>
      <w:r>
        <w:rPr>
          <w:rFonts w:ascii="Courier New" w:cs="Courier New" w:eastAsia="Courier New" w:hAnsi="Courier New"/>
          <w:color w:val="1B2A4A"/>
          <w:sz w:val="16"/>
          <w:szCs w:val="16"/>
        </w:rPr>
        <w:t xml:space="preserve">      "GTM for a community solar platform|You have a community solar product and need a go-to-market strategy covering subscriber and corporate offtake acquisition.",</w:t>
      </w:r>
    </w:p>
    <w:p>
      <w:pPr>
        <w:shd w:fill="F0F0F0" w:val="clear"/>
        <w:spacing w:after="14" w:before="14"/>
        <w:ind w:left="360"/>
      </w:pPr>
      <w:r>
        <w:rPr>
          <w:rFonts w:ascii="Courier New" w:cs="Courier New" w:eastAsia="Courier New" w:hAnsi="Courier New"/>
          <w:color w:val="1B2A4A"/>
          <w:sz w:val="16"/>
          <w:szCs w:val="16"/>
        </w:rPr>
        <w:t xml:space="preserve">      "Raising capital for community solar|You are raising project finance or equity capital and need a pitch book grounded in subscriber demand and project economics.",</w:t>
      </w:r>
    </w:p>
    <w:p>
      <w:pPr>
        <w:shd w:fill="F0F0F0" w:val="clear"/>
        <w:spacing w:after="14" w:before="14"/>
        <w:ind w:left="360"/>
      </w:pPr>
      <w:r>
        <w:rPr>
          <w:rFonts w:ascii="Courier New" w:cs="Courier New" w:eastAsia="Courier New" w:hAnsi="Courier New"/>
          <w:color w:val="1B2A4A"/>
          <w:sz w:val="16"/>
          <w:szCs w:val="16"/>
        </w:rPr>
        <w:t xml:space="preserve">      "Utility and grid partner strategy|You need to identify and engage utility companies and grid operators as regulatory and grid connection partners."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subscriber demand for community solar in a new market. Covers consumer surveys, corporate buyer interviews, regulatory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community solar projects. Covers subscriber demand modelling, solar resource assessment, grid connection pathway, and bankable financial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community solar developers. Regulatory pathway, utility engagement, subscriber acquisition strategy, and first-project milestone.",</w:t>
      </w:r>
    </w:p>
    <w:p>
      <w:pPr>
        <w:shd w:fill="F0F0F0" w:val="clear"/>
        <w:spacing w:after="14" w:before="14"/>
        <w:ind w:left="360"/>
      </w:pPr>
      <w:r>
        <w:rPr>
          <w:rFonts w:ascii="Courier New" w:cs="Courier New" w:eastAsia="Courier New" w:hAnsi="Courier New"/>
          <w:color w:val="1B2A4A"/>
          <w:sz w:val="16"/>
          <w:szCs w:val="16"/>
        </w:rPr>
        <w:t xml:space="preserve">      "GTM for community solar technology platforms. Subscriber and corporate outreach, utility partner pipeline, and first-subscription milestone.",</w:t>
      </w:r>
    </w:p>
    <w:p>
      <w:pPr>
        <w:shd w:fill="F0F0F0" w:val="clear"/>
        <w:spacing w:after="14" w:before="14"/>
        <w:ind w:left="360"/>
      </w:pPr>
      <w:r>
        <w:rPr>
          <w:rFonts w:ascii="Courier New" w:cs="Courier New" w:eastAsia="Courier New" w:hAnsi="Courier New"/>
          <w:color w:val="1B2A4A"/>
          <w:sz w:val="16"/>
          <w:szCs w:val="16"/>
        </w:rPr>
        <w:t xml:space="preserve">      "Investor-ready pitch books for community solar ventures. Subscriber-demand-validated project economics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 from subscriber demand forecasting and grid optimisation to automated billing and energy community management."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community solar developers or also with virtual power plant and distributed energy aggregators?|Both. We work with developers on feasibility and market entry, and with VPP and aggregation platforms on GTM and market entry.",</w:t>
      </w:r>
    </w:p>
    <w:p>
      <w:pPr>
        <w:shd w:fill="F0F0F0" w:val="clear"/>
        <w:spacing w:after="14" w:before="14"/>
        <w:ind w:left="360"/>
      </w:pPr>
      <w:r>
        <w:rPr>
          <w:rFonts w:ascii="Courier New" w:cs="Courier New" w:eastAsia="Courier New" w:hAnsi="Courier New"/>
          <w:color w:val="1B2A4A"/>
          <w:sz w:val="16"/>
          <w:szCs w:val="16"/>
        </w:rPr>
        <w:t xml:space="preserve">      "What community solar markets does GreyRadius cover?|Southeast Asia, South Asia, and the Gulf — markets with expanding distributed solar regulation and government renewable energy programmes.",</w:t>
      </w:r>
    </w:p>
    <w:p>
      <w:pPr>
        <w:shd w:fill="F0F0F0" w:val="clear"/>
        <w:spacing w:after="14" w:before="14"/>
        <w:ind w:left="360"/>
      </w:pPr>
      <w:r>
        <w:rPr>
          <w:rFonts w:ascii="Courier New" w:cs="Courier New" w:eastAsia="Courier New" w:hAnsi="Courier New"/>
          <w:color w:val="1B2A4A"/>
          <w:sz w:val="16"/>
          <w:szCs w:val="16"/>
        </w:rPr>
        <w:t xml:space="preserve">      "How long does a community solar market entry engagement take?|Typically 6–10 weeks for regulatory mapping, subscriber demand research, and project feasibility.",</w:t>
      </w:r>
    </w:p>
    <w:p>
      <w:pPr>
        <w:shd w:fill="F0F0F0" w:val="clear"/>
        <w:spacing w:after="14" w:before="14"/>
        <w:ind w:left="360"/>
      </w:pPr>
      <w:r>
        <w:rPr>
          <w:rFonts w:ascii="Courier New" w:cs="Courier New" w:eastAsia="Courier New" w:hAnsi="Courier New"/>
          <w:color w:val="1B2A4A"/>
          <w:sz w:val="16"/>
          <w:szCs w:val="16"/>
        </w:rPr>
        <w:t xml:space="preserve">      "Can GreyRadius identify utility partners for community solar developers?|Yes. Utility engagement strategy and initial partnership discussions are part of our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"community solar market entry, distributed energy GTM strategy, shared solar consulting, virtual power plant advisory, community energy strategy, distributed solar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w:t>
      </w:r>
    </w:p>
    <w:p>
      <w:pPr>
        <w:shd w:fill="F0F0F0" w:val="clear"/>
        <w:spacing w:after="14" w:before="14"/>
        <w:ind w:left="360"/>
      </w:pPr>
      <w:r>
        <w:rPr>
          <w:rFonts w:ascii="Courier New" w:cs="Courier New" w:eastAsia="Courier New" w:hAnsi="Courier New"/>
          <w:color w:val="1B2A4A"/>
          <w:sz w:val="16"/>
          <w:szCs w:val="16"/>
        </w:rPr>
        <w:t xml:space="preserve">    "stat1n": "$20B+",</w:t>
      </w:r>
    </w:p>
    <w:p>
      <w:pPr>
        <w:shd w:fill="F0F0F0" w:val="clear"/>
        <w:spacing w:after="14" w:before="14"/>
        <w:ind w:left="360"/>
      </w:pPr>
      <w:r>
        <w:rPr>
          <w:rFonts w:ascii="Courier New" w:cs="Courier New" w:eastAsia="Courier New" w:hAnsi="Courier New"/>
          <w:color w:val="1B2A4A"/>
          <w:sz w:val="16"/>
          <w:szCs w:val="16"/>
        </w:rPr>
        <w:t xml:space="preserve">    "stat1l": "Global community solar market by 2030",</w:t>
      </w:r>
    </w:p>
    <w:p>
      <w:pPr>
        <w:shd w:fill="F0F0F0" w:val="clear"/>
        <w:spacing w:after="14" w:before="14"/>
        <w:ind w:left="360"/>
      </w:pPr>
      <w:r>
        <w:rPr>
          <w:rFonts w:ascii="Courier New" w:cs="Courier New" w:eastAsia="Courier New" w:hAnsi="Courier New"/>
          <w:color w:val="1B2A4A"/>
          <w:sz w:val="16"/>
          <w:szCs w:val="16"/>
        </w:rPr>
        <w:t xml:space="preserve">    "stat1b": "Growing at 30% annually as regulatory frameworks expand access and falling solar costs make shared solar economically attractive.",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community solar mandate",</w:t>
      </w:r>
    </w:p>
    <w:p>
      <w:pPr>
        <w:shd w:fill="F0F0F0" w:val="clear"/>
        <w:spacing w:after="14" w:before="14"/>
        <w:ind w:left="360"/>
      </w:pPr>
      <w:r>
        <w:rPr>
          <w:rFonts w:ascii="Courier New" w:cs="Courier New" w:eastAsia="Courier New" w:hAnsi="Courier New"/>
          <w:color w:val="1B2A4A"/>
          <w:sz w:val="16"/>
          <w:szCs w:val="16"/>
        </w:rPr>
        <w:t xml:space="preserve">    "stat2b": "Consumers, corporate energy buyers, and utility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subscriber demand research delivers community solar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"b2b-saas-emerging-markets",</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"enterprise-saas",</w:t>
      </w:r>
    </w:p>
    <w:p>
      <w:pPr>
        <w:shd w:fill="F0F0F0" w:val="clear"/>
        <w:spacing w:after="14" w:before="14"/>
        <w:ind w:left="360"/>
      </w:pPr>
      <w:r>
        <w:rPr>
          <w:rFonts w:ascii="Courier New" w:cs="Courier New" w:eastAsia="Courier New" w:hAnsi="Courier New"/>
          <w:color w:val="1B2A4A"/>
          <w:sz w:val="16"/>
          <w:szCs w:val="16"/>
        </w:rPr>
        <w:t xml:space="preserve">    "title": "B2B SaaS for Emerging Markets —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B2B SaaS companies entering Southeast Asia, South Asia, and Gulf markets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"B2B SaaS emerging markets entry strategy",</w:t>
      </w:r>
    </w:p>
    <w:p>
      <w:pPr>
        <w:shd w:fill="F0F0F0" w:val="clear"/>
        <w:spacing w:after="14" w:before="14"/>
        <w:ind w:left="360"/>
      </w:pPr>
      <w:r>
        <w:rPr>
          <w:rFonts w:ascii="Courier New" w:cs="Courier New" w:eastAsia="Courier New" w:hAnsi="Courier New"/>
          <w:color w:val="1B2A4A"/>
          <w:sz w:val="16"/>
          <w:szCs w:val="16"/>
        </w:rPr>
        <w:t xml:space="preserve">    "tagline": "From product-market fit to enterprise ARR — strategy for B2B SaaS companies entering emerging markets.",</w:t>
      </w:r>
    </w:p>
    <w:p>
      <w:pPr>
        <w:shd w:fill="F0F0F0" w:val="clear"/>
        <w:spacing w:after="14" w:before="14"/>
        <w:ind w:left="360"/>
      </w:pPr>
      <w:r>
        <w:rPr>
          <w:rFonts w:ascii="Courier New" w:cs="Courier New" w:eastAsia="Courier New" w:hAnsi="Courier New"/>
          <w:color w:val="1B2A4A"/>
          <w:sz w:val="16"/>
          <w:szCs w:val="16"/>
        </w:rPr>
        <w:t xml:space="preserve">    "hero": "B2B SaaS companies that have achieved product-market fit in developed markets are increasingly evaluating emerging market expansion — recognising that Southeast Asia, South Asia, and the Gulf represent faster-growing enterprise software markets than Europe or North America. However, emerging market B2B SaaS market entry requires a different approach: different buyer profiles, different price points, different sales cycles, and different integration requirements. GreyRadius helps B2B SaaS companies validate enterprise demand, adapt their GTM approach, identify channel partners, and execute successful emerging market entry.",</w:t>
      </w:r>
    </w:p>
    <w:p>
      <w:pPr>
        <w:shd w:fill="F0F0F0" w:val="clear"/>
        <w:spacing w:after="14" w:before="14"/>
        <w:ind w:left="360"/>
      </w:pPr>
      <w:r>
        <w:rPr>
          <w:rFonts w:ascii="Courier New" w:cs="Courier New" w:eastAsia="Courier New" w:hAnsi="Courier New"/>
          <w:color w:val="1B2A4A"/>
          <w:sz w:val="16"/>
          <w:szCs w:val="16"/>
        </w:rPr>
        <w:t xml:space="preserve">    "market_timing": "Enterprise software adoption in Southeast Asia, South Asia, and the Gulf is accelerating from a low base — companies that establish market positions in these markets in 2024–2027 will capture the enterprise relationships that drive multi-year ARR as digital adoption accelerates.",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"B2B SaaS market in Southeast Asia is growing at 25% annually — driven by SME digitalisation, enterprise cloud migration, and increasing willingness to pay for software that delivers measurable ROI.",</w:t>
      </w:r>
    </w:p>
    <w:p>
      <w:pPr>
        <w:shd w:fill="F0F0F0" w:val="clear"/>
        <w:spacing w:after="14" w:before="14"/>
        <w:ind w:left="360"/>
      </w:pPr>
      <w:r>
        <w:rPr>
          <w:rFonts w:ascii="Courier New" w:cs="Courier New" w:eastAsia="Courier New" w:hAnsi="Courier New"/>
          <w:color w:val="1B2A4A"/>
          <w:sz w:val="16"/>
          <w:szCs w:val="16"/>
        </w:rPr>
        <w:t xml:space="preserve">      "Local language support and regional compliance are becoming requirements — B2B SaaS companies that localise UX, support, and compliance to specific emerging markets are achieving 3-5x higher conversion than those that treat them as extensions of their home market.",</w:t>
      </w:r>
    </w:p>
    <w:p>
      <w:pPr>
        <w:shd w:fill="F0F0F0" w:val="clear"/>
        <w:spacing w:after="14" w:before="14"/>
        <w:ind w:left="360"/>
      </w:pPr>
      <w:r>
        <w:rPr>
          <w:rFonts w:ascii="Courier New" w:cs="Courier New" w:eastAsia="Courier New" w:hAnsi="Courier New"/>
          <w:color w:val="1B2A4A"/>
          <w:sz w:val="16"/>
          <w:szCs w:val="16"/>
        </w:rPr>
        <w:t xml:space="preserve">      "Indirect channel sales are more effective than direct sales in many emerging markets — VARs, system integrators, and local consultants who understand the market and have existing enterprise relationships can accelerate sales cycles significantly.",</w:t>
      </w:r>
    </w:p>
    <w:p>
      <w:pPr>
        <w:shd w:fill="F0F0F0" w:val="clear"/>
        <w:spacing w:after="14" w:before="14"/>
        <w:ind w:left="360"/>
      </w:pPr>
      <w:r>
        <w:rPr>
          <w:rFonts w:ascii="Courier New" w:cs="Courier New" w:eastAsia="Courier New" w:hAnsi="Courier New"/>
          <w:color w:val="1B2A4A"/>
          <w:sz w:val="16"/>
          <w:szCs w:val="16"/>
        </w:rPr>
        <w:t xml:space="preserve">      "Freemium and usage-based pricing are outperforming annual licence models in price-sensitive emerging markets — lower entry price points that prove value before requiring contract commitment are achieving higher conversion in Southeast Asia and South Asia."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"Enterprise buyer decision-making is more hierarchical in many emerging markets — procurement decisions involve more senior stakeholders and longer approval processes than in Western markets.",</w:t>
      </w:r>
    </w:p>
    <w:p>
      <w:pPr>
        <w:shd w:fill="F0F0F0" w:val="clear"/>
        <w:spacing w:after="14" w:before="14"/>
        <w:ind w:left="360"/>
      </w:pPr>
      <w:r>
        <w:rPr>
          <w:rFonts w:ascii="Courier New" w:cs="Courier New" w:eastAsia="Courier New" w:hAnsi="Courier New"/>
          <w:color w:val="1B2A4A"/>
          <w:sz w:val="16"/>
          <w:szCs w:val="16"/>
        </w:rPr>
        <w:t xml:space="preserve">      "Price sensitivity is higher — enterprise software budgets in Southeast Asian and South Asian companies are typically 30-60% of equivalent Western budgets, requiring either market-specific pricing or a different product offering.",</w:t>
      </w:r>
    </w:p>
    <w:p>
      <w:pPr>
        <w:shd w:fill="F0F0F0" w:val="clear"/>
        <w:spacing w:after="14" w:before="14"/>
        <w:ind w:left="360"/>
      </w:pPr>
      <w:r>
        <w:rPr>
          <w:rFonts w:ascii="Courier New" w:cs="Courier New" w:eastAsia="Courier New" w:hAnsi="Courier New"/>
          <w:color w:val="1B2A4A"/>
          <w:sz w:val="16"/>
          <w:szCs w:val="16"/>
        </w:rPr>
        <w:t xml:space="preserve">      "Integration with local systems is often required — B2B SaaS must integrate with local accounting software, government reporting systems, and payment rails that vary by market.",</w:t>
      </w:r>
    </w:p>
    <w:p>
      <w:pPr>
        <w:shd w:fill="F0F0F0" w:val="clear"/>
        <w:spacing w:after="14" w:before="14"/>
        <w:ind w:left="360"/>
      </w:pPr>
      <w:r>
        <w:rPr>
          <w:rFonts w:ascii="Courier New" w:cs="Courier New" w:eastAsia="Courier New" w:hAnsi="Courier New"/>
          <w:color w:val="1B2A4A"/>
          <w:sz w:val="16"/>
          <w:szCs w:val="16"/>
        </w:rPr>
        <w:t xml:space="preserve">      "Customer success and support expectations differ — enterprise buyers in emerging markets often expect higher levels of hands-on support during implementation and beyond than self-service SaaS models provide."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"Emerging market enterprise demand validation|You need to validate that enterprise buyers in your target market want your B2B SaaS and what pricing, localisation, and support requirements they have.",</w:t>
      </w:r>
    </w:p>
    <w:p>
      <w:pPr>
        <w:shd w:fill="F0F0F0" w:val="clear"/>
        <w:spacing w:after="14" w:before="14"/>
        <w:ind w:left="360"/>
      </w:pPr>
      <w:r>
        <w:rPr>
          <w:rFonts w:ascii="Courier New" w:cs="Courier New" w:eastAsia="Courier New" w:hAnsi="Courier New"/>
          <w:color w:val="1B2A4A"/>
          <w:sz w:val="16"/>
          <w:szCs w:val="16"/>
        </w:rPr>
        <w:t xml:space="preserve">      "Market entry approach and pricing strategy|You need to determine the right market entry approach — direct sales, channel, freemium — and the right pricing model for each emerging market.",</w:t>
      </w:r>
    </w:p>
    <w:p>
      <w:pPr>
        <w:shd w:fill="F0F0F0" w:val="clear"/>
        <w:spacing w:after="14" w:before="14"/>
        <w:ind w:left="360"/>
      </w:pPr>
      <w:r>
        <w:rPr>
          <w:rFonts w:ascii="Courier New" w:cs="Courier New" w:eastAsia="Courier New" w:hAnsi="Courier New"/>
          <w:color w:val="1B2A4A"/>
          <w:sz w:val="16"/>
          <w:szCs w:val="16"/>
        </w:rPr>
        <w:t xml:space="preserve">      "Channel partner and reseller identification|You need to identify VARs, system integrators, and local consultants as channel partners who can accelerate your emerging market GTM.",</w:t>
      </w:r>
    </w:p>
    <w:p>
      <w:pPr>
        <w:shd w:fill="F0F0F0" w:val="clear"/>
        <w:spacing w:after="14" w:before="14"/>
        <w:ind w:left="360"/>
      </w:pPr>
      <w:r>
        <w:rPr>
          <w:rFonts w:ascii="Courier New" w:cs="Courier New" w:eastAsia="Courier New" w:hAnsi="Courier New"/>
          <w:color w:val="1B2A4A"/>
          <w:sz w:val="16"/>
          <w:szCs w:val="16"/>
        </w:rPr>
        <w:t xml:space="preserve">      "GTM adaptation for emerging markets|You need to adapt your enterprise sales motion, marketing approach, and customer success model for emerging market buyer behaviour.",</w:t>
      </w:r>
    </w:p>
    <w:p>
      <w:pPr>
        <w:shd w:fill="F0F0F0" w:val="clear"/>
        <w:spacing w:after="14" w:before="14"/>
        <w:ind w:left="360"/>
      </w:pPr>
      <w:r>
        <w:rPr>
          <w:rFonts w:ascii="Courier New" w:cs="Courier New" w:eastAsia="Courier New" w:hAnsi="Courier New"/>
          <w:color w:val="1B2A4A"/>
          <w:sz w:val="16"/>
          <w:szCs w:val="16"/>
        </w:rPr>
        <w:t xml:space="preserve">      "Raising capital for emerging market expansion|You are raising investment for emerging market expansion and need a pitch book grounded in market demand data and ARR projections.",</w:t>
      </w:r>
    </w:p>
    <w:p>
      <w:pPr>
        <w:shd w:fill="F0F0F0" w:val="clear"/>
        <w:spacing w:after="14" w:before="14"/>
        <w:ind w:left="360"/>
      </w:pPr>
      <w:r>
        <w:rPr>
          <w:rFonts w:ascii="Courier New" w:cs="Courier New" w:eastAsia="Courier New" w:hAnsi="Courier New"/>
          <w:color w:val="1B2A4A"/>
          <w:sz w:val="16"/>
          <w:szCs w:val="16"/>
        </w:rPr>
        <w:t xml:space="preserve">      "Competitive landscape mapping|You need to understand how competing B2B SaaS companies are positioned and winning enterprise contracts in your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enterprise demand for your B2B SaaS in a new emerging market. Covers enterprise buyer interviews, pricing sensitivity research, competitive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emerging market SaaS expansion. Covers enterprise adoption modelling, channel economics, localisation cost, and investor-ready ARR projections.",</w:t>
      </w:r>
    </w:p>
    <w:p>
      <w:pPr>
        <w:shd w:fill="F0F0F0" w:val="clear"/>
        <w:spacing w:after="14" w:before="14"/>
        <w:ind w:left="360"/>
      </w:pPr>
      <w:r>
        <w:rPr>
          <w:rFonts w:ascii="Courier New" w:cs="Courier New" w:eastAsia="Courier New" w:hAnsi="Courier New"/>
          <w:color w:val="1B2A4A"/>
          <w:sz w:val="16"/>
          <w:szCs w:val="16"/>
        </w:rPr>
        <w:t xml:space="preserve">      "End-to-end emerging market entry for B2B SaaS companies. Enterprise ICP adaptation, channel partner identification, pricing strategy, and first-enterprise-contract acquisition.",</w:t>
      </w:r>
    </w:p>
    <w:p>
      <w:pPr>
        <w:shd w:fill="F0F0F0" w:val="clear"/>
        <w:spacing w:after="14" w:before="14"/>
        <w:ind w:left="360"/>
      </w:pPr>
      <w:r>
        <w:rPr>
          <w:rFonts w:ascii="Courier New" w:cs="Courier New" w:eastAsia="Courier New" w:hAnsi="Courier New"/>
          <w:color w:val="1B2A4A"/>
          <w:sz w:val="16"/>
          <w:szCs w:val="16"/>
        </w:rPr>
        <w:t xml:space="preserve">      "Embedded GTM team for B2B SaaS. Enterprise outreach, channel partner pipeline, and first-ARR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B2B SaaS emerging market expansion. Market-validated ARR projections, channel economics,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identification — where AI can accelerate your B2B SaaS adoption in emerging markets through localisation, customer success automation, and demand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horizontal B2B SaaS or also with vertical industry SaaS?|Both. We work with horizontal platforms across HR, finance, and CRM, and with vertical SaaS in healthcare, logistics, agriculture, and other sectors.",</w:t>
      </w:r>
    </w:p>
    <w:p>
      <w:pPr>
        <w:shd w:fill="F0F0F0" w:val="clear"/>
        <w:spacing w:after="14" w:before="14"/>
        <w:ind w:left="360"/>
      </w:pPr>
      <w:r>
        <w:rPr>
          <w:rFonts w:ascii="Courier New" w:cs="Courier New" w:eastAsia="Courier New" w:hAnsi="Courier New"/>
          <w:color w:val="1B2A4A"/>
          <w:sz w:val="16"/>
          <w:szCs w:val="16"/>
        </w:rPr>
        <w:t xml:space="preserve">      "What B2B SaaS markets does GreyRadius cover?|Gulf, Southeast Asia, and South Asia — the three highest-growth enterprise software markets outside the US and Europe.",</w:t>
      </w:r>
    </w:p>
    <w:p>
      <w:pPr>
        <w:shd w:fill="F0F0F0" w:val="clear"/>
        <w:spacing w:after="14" w:before="14"/>
        <w:ind w:left="360"/>
      </w:pPr>
      <w:r>
        <w:rPr>
          <w:rFonts w:ascii="Courier New" w:cs="Courier New" w:eastAsia="Courier New" w:hAnsi="Courier New"/>
          <w:color w:val="1B2A4A"/>
          <w:sz w:val="16"/>
          <w:szCs w:val="16"/>
        </w:rPr>
        <w:t xml:space="preserve">      "How long does a B2B SaaS emerging market entry engagement take?|Typically 6–10 weeks for enterprise demand research, pricing strategy,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VAR and system integrator channel partners for B2B SaaS companies?|Yes. Channel partner identification and initial commercial introductions are core parts of our B2B SaaS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"B2B SaaS emerging markets entry, enterprise software GTM strategy, SaaS market entry Southeast Asia, B2B software consulting, SaaS emerging market strategy, enterprise SaaS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w:t>
      </w:r>
    </w:p>
    <w:p>
      <w:pPr>
        <w:shd w:fill="F0F0F0" w:val="clear"/>
        <w:spacing w:after="14" w:before="14"/>
        <w:ind w:left="360"/>
      </w:pPr>
      <w:r>
        <w:rPr>
          <w:rFonts w:ascii="Courier New" w:cs="Courier New" w:eastAsia="Courier New" w:hAnsi="Courier New"/>
          <w:color w:val="1B2A4A"/>
          <w:sz w:val="16"/>
          <w:szCs w:val="16"/>
        </w:rPr>
        <w:t xml:space="preserve">    "stat1n": "25%",</w:t>
      </w:r>
    </w:p>
    <w:p>
      <w:pPr>
        <w:shd w:fill="F0F0F0" w:val="clear"/>
        <w:spacing w:after="14" w:before="14"/>
        <w:ind w:left="360"/>
      </w:pPr>
      <w:r>
        <w:rPr>
          <w:rFonts w:ascii="Courier New" w:cs="Courier New" w:eastAsia="Courier New" w:hAnsi="Courier New"/>
          <w:color w:val="1B2A4A"/>
          <w:sz w:val="16"/>
          <w:szCs w:val="16"/>
        </w:rPr>
        <w:t xml:space="preserve">    "stat1l": "Annual B2B SaaS market growth in Southeast Asia",</w:t>
      </w:r>
    </w:p>
    <w:p>
      <w:pPr>
        <w:shd w:fill="F0F0F0" w:val="clear"/>
        <w:spacing w:after="14" w:before="14"/>
        <w:ind w:left="360"/>
      </w:pPr>
      <w:r>
        <w:rPr>
          <w:rFonts w:ascii="Courier New" w:cs="Courier New" w:eastAsia="Courier New" w:hAnsi="Courier New"/>
          <w:color w:val="1B2A4A"/>
          <w:sz w:val="16"/>
          <w:szCs w:val="16"/>
        </w:rPr>
        <w:t xml:space="preserve">    "stat1b": "Enterprise software adoption accelerating from a low base as SME digitalisation, cloud migration, and willingness to pay for ROI-driven software both grow.",</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B2B SaaS mandate",</w:t>
      </w:r>
    </w:p>
    <w:p>
      <w:pPr>
        <w:shd w:fill="F0F0F0" w:val="clear"/>
        <w:spacing w:after="14" w:before="14"/>
        <w:ind w:left="360"/>
      </w:pPr>
      <w:r>
        <w:rPr>
          <w:rFonts w:ascii="Courier New" w:cs="Courier New" w:eastAsia="Courier New" w:hAnsi="Courier New"/>
          <w:color w:val="1B2A4A"/>
          <w:sz w:val="16"/>
          <w:szCs w:val="16"/>
        </w:rPr>
        <w:t xml:space="preserve">    "stat2b": "Enterprise buyers, IT directors, and channel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enterprise demand mapping and channel partner research delivers B2B SaaS emerging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"halal-pharma",</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"pharma",</w:t>
      </w:r>
    </w:p>
    <w:p>
      <w:pPr>
        <w:shd w:fill="F0F0F0" w:val="clear"/>
        <w:spacing w:after="14" w:before="14"/>
        <w:ind w:left="360"/>
      </w:pPr>
      <w:r>
        <w:rPr>
          <w:rFonts w:ascii="Courier New" w:cs="Courier New" w:eastAsia="Courier New" w:hAnsi="Courier New"/>
          <w:color w:val="1B2A4A"/>
          <w:sz w:val="16"/>
          <w:szCs w:val="16"/>
        </w:rPr>
        <w:t xml:space="preserve">    "title": "Halal Pharmaceuticals &amp; Medicine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halal pharmaceutical companies, Shariah-compliant medicine businesses, and halal supplement manufacturers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"Halal pharmaceuticals and medicine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Shariah-compliant formulation to pharmacy shelf — strategy for halal pharma businesses.",</w:t>
      </w:r>
    </w:p>
    <w:p>
      <w:pPr>
        <w:shd w:fill="F0F0F0" w:val="clear"/>
        <w:spacing w:after="14" w:before="14"/>
        <w:ind w:left="360"/>
      </w:pPr>
      <w:r>
        <w:rPr>
          <w:rFonts w:ascii="Courier New" w:cs="Courier New" w:eastAsia="Courier New" w:hAnsi="Courier New"/>
          <w:color w:val="1B2A4A"/>
          <w:sz w:val="16"/>
          <w:szCs w:val="16"/>
        </w:rPr>
        <w:t xml:space="preserve">    "hero": "Halal pharmaceuticals — medicines, supplements, and healthcare products that meet Islamic dietary and ethical standards — represent a significant and underserved market opportunity. Muslim patients globally seek medicine that avoids porcine-derived gelatin capsules, alcohol-based solvents, and other non-halal ingredients, but the majority of conventional pharmaceutical products are not certified halal. Halal pharmaceutical manufacturers, halal supplement companies, and medicine certification technology businesses are all evaluating new market entry opportunities. GreyRadius helps halal pharma businesses validate consumer and healthcare professional demand, navigate certification requirements,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"Halal pharmaceutical awareness is growing among Muslim consumers and healthcare professionals — Gulf health ministries, Malaysian health authorities, and Indonesian BPOM are all increasing regulatory attention to halal pharmaceutical standards. The pharmaceutical companies that achieve credible halal certification in these markets in 2024–2027 will hold significant advantage as enforcement tightens.",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halal pharmaceutical market is projected to reach $130B by 2028 — growing at 8% annually as Muslim consumer awareness of halal medicine ingredients increases and healthcare professionals begin recommending halal-certified alternatives.",</w:t>
      </w:r>
    </w:p>
    <w:p>
      <w:pPr>
        <w:shd w:fill="F0F0F0" w:val="clear"/>
        <w:spacing w:after="14" w:before="14"/>
        <w:ind w:left="360"/>
      </w:pPr>
      <w:r>
        <w:rPr>
          <w:rFonts w:ascii="Courier New" w:cs="Courier New" w:eastAsia="Courier New" w:hAnsi="Courier New"/>
          <w:color w:val="1B2A4A"/>
          <w:sz w:val="16"/>
          <w:szCs w:val="16"/>
        </w:rPr>
        <w:t xml:space="preserve">      "Gelatin capsule replacement is the largest near-earth opportunity — replacing porcine-derived hard and soft gelatin capsules with HPMC or fish gelatin alternatives is the most common halal pharmaceutical product adaptation.",</w:t>
      </w:r>
    </w:p>
    <w:p>
      <w:pPr>
        <w:shd w:fill="F0F0F0" w:val="clear"/>
        <w:spacing w:after="14" w:before="14"/>
        <w:ind w:left="360"/>
      </w:pPr>
      <w:r>
        <w:rPr>
          <w:rFonts w:ascii="Courier New" w:cs="Courier New" w:eastAsia="Courier New" w:hAnsi="Courier New"/>
          <w:color w:val="1B2A4A"/>
          <w:sz w:val="16"/>
          <w:szCs w:val="16"/>
        </w:rPr>
        <w:t xml:space="preserve">      "Gulf health ministries are increasing halal pharmaceutical requirements — several Gulf states are moving toward requiring halal certification for pharmaceuticals sold in government healthcare systems.",</w:t>
      </w:r>
    </w:p>
    <w:p>
      <w:pPr>
        <w:shd w:fill="F0F0F0" w:val="clear"/>
        <w:spacing w:after="14" w:before="14"/>
        <w:ind w:left="360"/>
      </w:pPr>
      <w:r>
        <w:rPr>
          <w:rFonts w:ascii="Courier New" w:cs="Courier New" w:eastAsia="Courier New" w:hAnsi="Courier New"/>
          <w:color w:val="1B2A4A"/>
          <w:sz w:val="16"/>
          <w:szCs w:val="16"/>
        </w:rPr>
        <w:t xml:space="preserve">      "Halal pharmaceutical manufacturing is growing in Malaysia and Turkey — JAKIM-certified and GIMDES-certified manufacturing capacity is expanding as demand from global Muslim markets grows."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"Halal pharmaceutical certification is technically complex — ensuring halal compliance across the full supply chain from API sourcing through excipient selection to packaging requires extensive supply chain audit.",</w:t>
      </w:r>
    </w:p>
    <w:p>
      <w:pPr>
        <w:shd w:fill="F0F0F0" w:val="clear"/>
        <w:spacing w:after="14" w:before="14"/>
        <w:ind w:left="360"/>
      </w:pPr>
      <w:r>
        <w:rPr>
          <w:rFonts w:ascii="Courier New" w:cs="Courier New" w:eastAsia="Courier New" w:hAnsi="Courier New"/>
          <w:color w:val="1B2A4A"/>
          <w:sz w:val="16"/>
          <w:szCs w:val="16"/>
        </w:rPr>
        <w:t xml:space="preserve">      "Healthcare professional acceptance of halal medicines varies — physicians and pharmacists in some markets are unfamiliar with halal pharmaceutical certification and require education before recommending halal-certified alternatives.",</w:t>
      </w:r>
    </w:p>
    <w:p>
      <w:pPr>
        <w:shd w:fill="F0F0F0" w:val="clear"/>
        <w:spacing w:after="14" w:before="14"/>
        <w:ind w:left="360"/>
      </w:pPr>
      <w:r>
        <w:rPr>
          <w:rFonts w:ascii="Courier New" w:cs="Courier New" w:eastAsia="Courier New" w:hAnsi="Courier New"/>
          <w:color w:val="1B2A4A"/>
          <w:sz w:val="16"/>
          <w:szCs w:val="16"/>
        </w:rPr>
        <w:t xml:space="preserve">      "Price premium for halal certified medicines is a commercial challenge — the additional cost of halal certification, HPMC capsules, and supply chain audit can make halal medicines 15-30% more expensive than conventional alternatives.",</w:t>
      </w:r>
    </w:p>
    <w:p>
      <w:pPr>
        <w:shd w:fill="F0F0F0" w:val="clear"/>
        <w:spacing w:after="14" w:before="14"/>
        <w:ind w:left="360"/>
      </w:pPr>
      <w:r>
        <w:rPr>
          <w:rFonts w:ascii="Courier New" w:cs="Courier New" w:eastAsia="Courier New" w:hAnsi="Courier New"/>
          <w:color w:val="1B2A4A"/>
          <w:sz w:val="16"/>
          <w:szCs w:val="16"/>
        </w:rPr>
        <w:t xml:space="preserve">      "Regulatory registration for adapted halal formulations requires new product dossiers — changing capsule type or excipients for halal compliance typically triggers new regulatory filings."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"Halal pharma market demand validation|You need to validate Muslim consumer and healthcare professional demand for halal-certified pharmaceutical products in your target market.",</w:t>
      </w:r>
    </w:p>
    <w:p>
      <w:pPr>
        <w:shd w:fill="F0F0F0" w:val="clear"/>
        <w:spacing w:after="14" w:before="14"/>
        <w:ind w:left="360"/>
      </w:pPr>
      <w:r>
        <w:rPr>
          <w:rFonts w:ascii="Courier New" w:cs="Courier New" w:eastAsia="Courier New" w:hAnsi="Courier New"/>
          <w:color w:val="1B2A4A"/>
          <w:sz w:val="16"/>
          <w:szCs w:val="16"/>
        </w:rPr>
        <w:t xml:space="preserve">      "Halal certification pathway|You need to understand which halal pharmaceutical certifying bodies are most recognised in your target markets and what the certification requirements and audit processes involve.",</w:t>
      </w:r>
    </w:p>
    <w:p>
      <w:pPr>
        <w:shd w:fill="F0F0F0" w:val="clear"/>
        <w:spacing w:after="14" w:before="14"/>
        <w:ind w:left="360"/>
      </w:pPr>
      <w:r>
        <w:rPr>
          <w:rFonts w:ascii="Courier New" w:cs="Courier New" w:eastAsia="Courier New" w:hAnsi="Courier New"/>
          <w:color w:val="1B2A4A"/>
          <w:sz w:val="16"/>
          <w:szCs w:val="16"/>
        </w:rPr>
        <w:t xml:space="preserve">      "GTM for a halal pharmaceutical company|You have a halal-certified medicine or supplement and need a go-to-market strategy covering pharmacy, hospital formulary, and online channels.",</w:t>
      </w:r>
    </w:p>
    <w:p>
      <w:pPr>
        <w:shd w:fill="F0F0F0" w:val="clear"/>
        <w:spacing w:after="14" w:before="14"/>
        <w:ind w:left="360"/>
      </w:pPr>
      <w:r>
        <w:rPr>
          <w:rFonts w:ascii="Courier New" w:cs="Courier New" w:eastAsia="Courier New" w:hAnsi="Courier New"/>
          <w:color w:val="1B2A4A"/>
          <w:sz w:val="16"/>
          <w:szCs w:val="16"/>
        </w:rPr>
        <w:t xml:space="preserve">      "Raising capital for a halal pharma venture|You are raising investment for a halal pharmaceutical manufacturer or certification company and need a pitch book grounded in market demand data.",</w:t>
      </w:r>
    </w:p>
    <w:p>
      <w:pPr>
        <w:shd w:fill="F0F0F0" w:val="clear"/>
        <w:spacing w:after="14" w:before="14"/>
        <w:ind w:left="360"/>
      </w:pPr>
      <w:r>
        <w:rPr>
          <w:rFonts w:ascii="Courier New" w:cs="Courier New" w:eastAsia="Courier New" w:hAnsi="Courier New"/>
          <w:color w:val="1B2A4A"/>
          <w:sz w:val="16"/>
          <w:szCs w:val="16"/>
        </w:rPr>
        <w:t xml:space="preserve">      "Healthcare professional engagement strategy|You need a medical affairs strategy for educating physicians and pharmacists about halal pharmaceutical certification and its clinical relevance.",</w:t>
      </w:r>
    </w:p>
    <w:p>
      <w:pPr>
        <w:shd w:fill="F0F0F0" w:val="clear"/>
        <w:spacing w:after="14" w:before="14"/>
        <w:ind w:left="360"/>
      </w:pPr>
      <w:r>
        <w:rPr>
          <w:rFonts w:ascii="Courier New" w:cs="Courier New" w:eastAsia="Courier New" w:hAnsi="Courier New"/>
          <w:color w:val="1B2A4A"/>
          <w:sz w:val="16"/>
          <w:szCs w:val="16"/>
        </w:rPr>
        <w:t xml:space="preserve">      "Regulatory filing strategy for halal formulations|You need guidance on regulatory filing requirements when adapting formulations for halal compliance."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consumer and HCP demand for halal pharmaceuticals in a new market. Covers patient surveys, pharmacist interviews, regulatory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halal pharma investments. Covers demand modelling, certification cost, distribution economics,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halal pharma companies. Certification pathway, pharmacy and hospital formulary distribution, HCP outreach strategy, and first-distribution milestone.",</w:t>
      </w:r>
    </w:p>
    <w:p>
      <w:pPr>
        <w:shd w:fill="F0F0F0" w:val="clear"/>
        <w:spacing w:after="14" w:before="14"/>
        <w:ind w:left="360"/>
      </w:pPr>
      <w:r>
        <w:rPr>
          <w:rFonts w:ascii="Courier New" w:cs="Courier New" w:eastAsia="Courier New" w:hAnsi="Courier New"/>
          <w:color w:val="1B2A4A"/>
          <w:sz w:val="16"/>
          <w:szCs w:val="16"/>
        </w:rPr>
        <w:t xml:space="preserve">      "Embedded GTM team for halal pharmaceutical brands. Pharmacy outreach, HCP education programme,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halal pharma ventures. Consumer-demand-validated market sizing, certification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 from halal supply chain audit automation and ingredient compliance screening to demand forecasting and regulatory filing management."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halal pharmaceutical manufacturers or also with halal supplement and medical device companies?|All three. We work across halal pharmaceuticals, halal supplements, and halal medical device companies on market entry and GTM.",</w:t>
      </w:r>
    </w:p>
    <w:p>
      <w:pPr>
        <w:shd w:fill="F0F0F0" w:val="clear"/>
        <w:spacing w:after="14" w:before="14"/>
        <w:ind w:left="360"/>
      </w:pPr>
      <w:r>
        <w:rPr>
          <w:rFonts w:ascii="Courier New" w:cs="Courier New" w:eastAsia="Courier New" w:hAnsi="Courier New"/>
          <w:color w:val="1B2A4A"/>
          <w:sz w:val="16"/>
          <w:szCs w:val="16"/>
        </w:rPr>
        <w:t xml:space="preserve">      "What halal pharmaceutical markets does GreyRadius cover?|Gulf, Southeast Asia, and South Asia — the three largest markets for halal pharmaceutical consumer demand.",</w:t>
      </w:r>
    </w:p>
    <w:p>
      <w:pPr>
        <w:shd w:fill="F0F0F0" w:val="clear"/>
        <w:spacing w:after="14" w:before="14"/>
        <w:ind w:left="360"/>
      </w:pPr>
      <w:r>
        <w:rPr>
          <w:rFonts w:ascii="Courier New" w:cs="Courier New" w:eastAsia="Courier New" w:hAnsi="Courier New"/>
          <w:color w:val="1B2A4A"/>
          <w:sz w:val="16"/>
          <w:szCs w:val="16"/>
        </w:rPr>
        <w:t xml:space="preserve">      "How long does a halal pharma market entry engagement take?|Typically 8–12 weeks for consumer and HCP demand research, certification pathway mapping, and regulatory filing strategy.",</w:t>
      </w:r>
    </w:p>
    <w:p>
      <w:pPr>
        <w:shd w:fill="F0F0F0" w:val="clear"/>
        <w:spacing w:after="14" w:before="14"/>
        <w:ind w:left="360"/>
      </w:pPr>
      <w:r>
        <w:rPr>
          <w:rFonts w:ascii="Courier New" w:cs="Courier New" w:eastAsia="Courier New" w:hAnsi="Courier New"/>
          <w:color w:val="1B2A4A"/>
          <w:sz w:val="16"/>
          <w:szCs w:val="16"/>
        </w:rPr>
        <w:t xml:space="preserve">      "Can GreyRadius identify halal pharmaceutical certification bodies and contract manufacturers?|Yes. Certifying body identification and halal contract manufacturer mapping are part of our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"halal pharmaceutical market entry, halal medicine GTM strategy, halal pharma consulting, Shariah medicine advisory, halal drug market entry, halal pharmaceutical strategy",</w:t>
      </w:r>
    </w:p>
    <w:p>
      <w:pPr>
        <w:shd w:fill="F0F0F0" w:val="clear"/>
        <w:spacing w:after="14" w:before="14"/>
        <w:ind w:left="360"/>
      </w:pPr>
      <w:r>
        <w:rPr>
          <w:rFonts w:ascii="Courier New" w:cs="Courier New" w:eastAsia="Courier New" w:hAnsi="Courier New"/>
          <w:color w:val="1B2A4A"/>
          <w:sz w:val="16"/>
          <w:szCs w:val="16"/>
        </w:rPr>
        <w:t xml:space="preserve">    "regions": "Gulf, Southeast Asia, South Asia",</w:t>
      </w:r>
    </w:p>
    <w:p>
      <w:pPr>
        <w:shd w:fill="F0F0F0" w:val="clear"/>
        <w:spacing w:after="14" w:before="14"/>
        <w:ind w:left="360"/>
      </w:pPr>
      <w:r>
        <w:rPr>
          <w:rFonts w:ascii="Courier New" w:cs="Courier New" w:eastAsia="Courier New" w:hAnsi="Courier New"/>
          <w:color w:val="1B2A4A"/>
          <w:sz w:val="16"/>
          <w:szCs w:val="16"/>
        </w:rPr>
        <w:t xml:space="preserve">    "stat1n": "$130B+",</w:t>
      </w:r>
    </w:p>
    <w:p>
      <w:pPr>
        <w:shd w:fill="F0F0F0" w:val="clear"/>
        <w:spacing w:after="14" w:before="14"/>
        <w:ind w:left="360"/>
      </w:pPr>
      <w:r>
        <w:rPr>
          <w:rFonts w:ascii="Courier New" w:cs="Courier New" w:eastAsia="Courier New" w:hAnsi="Courier New"/>
          <w:color w:val="1B2A4A"/>
          <w:sz w:val="16"/>
          <w:szCs w:val="16"/>
        </w:rPr>
        <w:t xml:space="preserve">    "stat1l": "Global halal pharmaceutical market by 2028",</w:t>
      </w:r>
    </w:p>
    <w:p>
      <w:pPr>
        <w:shd w:fill="F0F0F0" w:val="clear"/>
        <w:spacing w:after="14" w:before="14"/>
        <w:ind w:left="360"/>
      </w:pPr>
      <w:r>
        <w:rPr>
          <w:rFonts w:ascii="Courier New" w:cs="Courier New" w:eastAsia="Courier New" w:hAnsi="Courier New"/>
          <w:color w:val="1B2A4A"/>
          <w:sz w:val="16"/>
          <w:szCs w:val="16"/>
        </w:rPr>
        <w:t xml:space="preserve">    "stat1b": "Growing at 8% annually as Muslim consumer awareness of halal medicine ingredients increases and healthcare professionals begin recommending halal alternatives.",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halal pharma mandate",</w:t>
      </w:r>
    </w:p>
    <w:p>
      <w:pPr>
        <w:shd w:fill="F0F0F0" w:val="clear"/>
        <w:spacing w:after="14" w:before="14"/>
        <w:ind w:left="360"/>
      </w:pPr>
      <w:r>
        <w:rPr>
          <w:rFonts w:ascii="Courier New" w:cs="Courier New" w:eastAsia="Courier New" w:hAnsi="Courier New"/>
          <w:color w:val="1B2A4A"/>
          <w:sz w:val="16"/>
          <w:szCs w:val="16"/>
        </w:rPr>
        <w:t xml:space="preserve">    "stat2b": "Muslim patients, pharmacists, physicians, and halal certification specialists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halal certification mapping and consumer demand research delivers halal pharmaceutical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"healthcare-ai-platforms",</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"healthtech",</w:t>
      </w:r>
    </w:p>
    <w:p>
      <w:pPr>
        <w:shd w:fill="F0F0F0" w:val="clear"/>
        <w:spacing w:after="14" w:before="14"/>
        <w:ind w:left="360"/>
      </w:pPr>
      <w:r>
        <w:rPr>
          <w:rFonts w:ascii="Courier New" w:cs="Courier New" w:eastAsia="Courier New" w:hAnsi="Courier New"/>
          <w:color w:val="1B2A4A"/>
          <w:sz w:val="16"/>
          <w:szCs w:val="16"/>
        </w:rPr>
        <w:t xml:space="preserve">    "title": "Healthcare AI Platform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healthcare AI platform companies, clinical AI businesses, and medical AI solution providers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"Healthcare AI platform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clinical algorithm to hospital deployment — strategy for healthcare AI businesses.",</w:t>
      </w:r>
    </w:p>
    <w:p>
      <w:pPr>
        <w:shd w:fill="F0F0F0" w:val="clear"/>
        <w:spacing w:after="14" w:before="14"/>
        <w:ind w:left="360"/>
      </w:pPr>
      <w:r>
        <w:rPr>
          <w:rFonts w:ascii="Courier New" w:cs="Courier New" w:eastAsia="Courier New" w:hAnsi="Courier New"/>
          <w:color w:val="1B2A4A"/>
          <w:sz w:val="16"/>
          <w:szCs w:val="16"/>
        </w:rPr>
        <w:t xml:space="preserve">    "hero": "Healthcare AI platforms — integrated artificial intelligence solutions that span multiple clinical applications across a health system — are achieving commercial deployment in leading hospitals globally. Healthcare AI companies that have moved beyond single-use-case tools to integrated platforms covering clinical decision support, administrative automation, and population health management are evaluating new market entry opportunities across Southeast Asia, South Asia, and the Gulf as hospitals invest in AI-enabled efficiency and quality improvement. GreyRadius helps healthcare AI businesses validate health system buyer demand, navigate regulatory pathways,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"Hospital AI investment is accelerating as demonstrated ROI accumulates — hospitals that deployed AI for administrative automation are now expanding to clinical decision support, and those that started with imaging AI are expanding to workflow AI. The healthcare AI platform companies establishing health system relationships in 2024–2027 will become deeply embedded in hospital technology infrastructure.",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"Healthcare AI platform market is projected to reach $45B by 2030 — growing at 40% annually as hospitals move from single AI tools to integrated AI platforms across clinical and administrative functions.",</w:t>
      </w:r>
    </w:p>
    <w:p>
      <w:pPr>
        <w:shd w:fill="F0F0F0" w:val="clear"/>
        <w:spacing w:after="14" w:before="14"/>
        <w:ind w:left="360"/>
      </w:pPr>
      <w:r>
        <w:rPr>
          <w:rFonts w:ascii="Courier New" w:cs="Courier New" w:eastAsia="Courier New" w:hAnsi="Courier New"/>
          <w:color w:val="1B2A4A"/>
          <w:sz w:val="16"/>
          <w:szCs w:val="16"/>
        </w:rPr>
        <w:t xml:space="preserve">      "Administrative AI is achieving the fastest ROI and broadest adoption — prior authorisation automation, clinical documentation, revenue cycle management, and appointment scheduling AI are all delivering measurable cost reduction.",</w:t>
      </w:r>
    </w:p>
    <w:p>
      <w:pPr>
        <w:shd w:fill="F0F0F0" w:val="clear"/>
        <w:spacing w:after="14" w:before="14"/>
        <w:ind w:left="360"/>
      </w:pPr>
      <w:r>
        <w:rPr>
          <w:rFonts w:ascii="Courier New" w:cs="Courier New" w:eastAsia="Courier New" w:hAnsi="Courier New"/>
          <w:color w:val="1B2A4A"/>
          <w:sz w:val="16"/>
          <w:szCs w:val="16"/>
        </w:rPr>
        <w:t xml:space="preserve">      "Population health AI is growing rapidly — predictive analytics for disease risk identification, readmission prevention, and care gap management are achieving adoption across integrated health systems.",</w:t>
      </w:r>
    </w:p>
    <w:p>
      <w:pPr>
        <w:shd w:fill="F0F0F0" w:val="clear"/>
        <w:spacing w:after="14" w:before="14"/>
        <w:ind w:left="360"/>
      </w:pPr>
      <w:r>
        <w:rPr>
          <w:rFonts w:ascii="Courier New" w:cs="Courier New" w:eastAsia="Courier New" w:hAnsi="Courier New"/>
          <w:color w:val="1B2A4A"/>
          <w:sz w:val="16"/>
          <w:szCs w:val="16"/>
        </w:rPr>
        <w:t xml:space="preserve">      "Gulf and Singapore health systems are among the fastest AI adopters globally — government-supported hospital AI investment programmes and relatively unconstrained procurement environments are enabling rapid deployment."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"Healthcare AI regulatory classification creates complexity — AI tools that provide clinical recommendations may be classified as medical devices in some markets, requiring SaMD approval processes.",</w:t>
      </w:r>
    </w:p>
    <w:p>
      <w:pPr>
        <w:shd w:fill="F0F0F0" w:val="clear"/>
        <w:spacing w:after="14" w:before="14"/>
        <w:ind w:left="360"/>
      </w:pPr>
      <w:r>
        <w:rPr>
          <w:rFonts w:ascii="Courier New" w:cs="Courier New" w:eastAsia="Courier New" w:hAnsi="Courier New"/>
          <w:color w:val="1B2A4A"/>
          <w:sz w:val="16"/>
          <w:szCs w:val="16"/>
        </w:rPr>
        <w:t xml:space="preserve">      "Health system data governance requirements are stringent — AI platforms must comply with health data privacy regulation, hospital data governance policies, and clinical data use restrictions that vary by market.",</w:t>
      </w:r>
    </w:p>
    <w:p>
      <w:pPr>
        <w:shd w:fill="F0F0F0" w:val="clear"/>
        <w:spacing w:after="14" w:before="14"/>
        <w:ind w:left="360"/>
      </w:pPr>
      <w:r>
        <w:rPr>
          <w:rFonts w:ascii="Courier New" w:cs="Courier New" w:eastAsia="Courier New" w:hAnsi="Courier New"/>
          <w:color w:val="1B2A4A"/>
          <w:sz w:val="16"/>
          <w:szCs w:val="16"/>
        </w:rPr>
        <w:t xml:space="preserve">      "Clinical workflow integration is complex — healthcare AI must integrate with EMR, clinical information systems, and departmental workflows that differ significantly across hospital systems.",</w:t>
      </w:r>
    </w:p>
    <w:p>
      <w:pPr>
        <w:shd w:fill="F0F0F0" w:val="clear"/>
        <w:spacing w:after="14" w:before="14"/>
        <w:ind w:left="360"/>
      </w:pPr>
      <w:r>
        <w:rPr>
          <w:rFonts w:ascii="Courier New" w:cs="Courier New" w:eastAsia="Courier New" w:hAnsi="Courier New"/>
          <w:color w:val="1B2A4A"/>
          <w:sz w:val="16"/>
          <w:szCs w:val="16"/>
        </w:rPr>
        <w:t xml:space="preserve">      "Physician and clinical staff acceptance requires careful change management — healthcare AI adoption requires clinician trust, workflow redesign, and sustained support that creates long implementation timelines."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"Health system buyer demand validation|You need to validate which hospitals and health systems are actively investing in AI platforms and what clinical and administrative use cases they are prioritising.",</w:t>
      </w:r>
    </w:p>
    <w:p>
      <w:pPr>
        <w:shd w:fill="F0F0F0" w:val="clear"/>
        <w:spacing w:after="14" w:before="14"/>
        <w:ind w:left="360"/>
      </w:pPr>
      <w:r>
        <w:rPr>
          <w:rFonts w:ascii="Courier New" w:cs="Courier New" w:eastAsia="Courier New" w:hAnsi="Courier New"/>
          <w:color w:val="1B2A4A"/>
          <w:sz w:val="16"/>
          <w:szCs w:val="16"/>
        </w:rPr>
        <w:t xml:space="preserve">      "SaMD regulatory classification and pathway|You need to understand how your healthcare AI platform is classified and what regulatory approval processes apply in each target market.",</w:t>
      </w:r>
    </w:p>
    <w:p>
      <w:pPr>
        <w:shd w:fill="F0F0F0" w:val="clear"/>
        <w:spacing w:after="14" w:before="14"/>
        <w:ind w:left="360"/>
      </w:pPr>
      <w:r>
        <w:rPr>
          <w:rFonts w:ascii="Courier New" w:cs="Courier New" w:eastAsia="Courier New" w:hAnsi="Courier New"/>
          <w:color w:val="1B2A4A"/>
          <w:sz w:val="16"/>
          <w:szCs w:val="16"/>
        </w:rPr>
        <w:t xml:space="preserve">      "Clinical champion and C-suite engagement strategy|You need to identify clinical champions and hospital C-suite buyers who can drive internal adoption of your healthcare AI platform.",</w:t>
      </w:r>
    </w:p>
    <w:p>
      <w:pPr>
        <w:shd w:fill="F0F0F0" w:val="clear"/>
        <w:spacing w:after="14" w:before="14"/>
        <w:ind w:left="360"/>
      </w:pPr>
      <w:r>
        <w:rPr>
          <w:rFonts w:ascii="Courier New" w:cs="Courier New" w:eastAsia="Courier New" w:hAnsi="Courier New"/>
          <w:color w:val="1B2A4A"/>
          <w:sz w:val="16"/>
          <w:szCs w:val="16"/>
        </w:rPr>
        <w:t xml:space="preserve">      "GTM for a healthcare AI platform|You have a clinical AI or healthcare administration AI platform and need a go-to-market strategy covering hospital and health system acquisition.",</w:t>
      </w:r>
    </w:p>
    <w:p>
      <w:pPr>
        <w:shd w:fill="F0F0F0" w:val="clear"/>
        <w:spacing w:after="14" w:before="14"/>
        <w:ind w:left="360"/>
      </w:pPr>
      <w:r>
        <w:rPr>
          <w:rFonts w:ascii="Courier New" w:cs="Courier New" w:eastAsia="Courier New" w:hAnsi="Courier New"/>
          <w:color w:val="1B2A4A"/>
          <w:sz w:val="16"/>
          <w:szCs w:val="16"/>
        </w:rPr>
        <w:t xml:space="preserve">      "Raising capital for a healthcare AI venture|You are raising investment and need a pitch book grounded in clinical validation data and health system demand analysis.",</w:t>
      </w:r>
    </w:p>
    <w:p>
      <w:pPr>
        <w:shd w:fill="F0F0F0" w:val="clear"/>
        <w:spacing w:after="14" w:before="14"/>
        <w:ind w:left="360"/>
      </w:pPr>
      <w:r>
        <w:rPr>
          <w:rFonts w:ascii="Courier New" w:cs="Courier New" w:eastAsia="Courier New" w:hAnsi="Courier New"/>
          <w:color w:val="1B2A4A"/>
          <w:sz w:val="16"/>
          <w:szCs w:val="16"/>
        </w:rPr>
        <w:t xml:space="preserve">      "EMR integration and interoperability strategy|You need to develop integration partnerships with Epic, Cerner, and regional EMR vendors that enable deployment across your target health systems."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health system demand for healthcare AI in a new market. Covers CIO, CMO, and clinical department interviews, regulatory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healthcare AI investments. Covers health system adoption modelling, integration cost, revenue model,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healthcare AI companies. Regulatory pathway, health system ICP, EMR integration partner identification, and first-deployment milestone.",</w:t>
      </w:r>
    </w:p>
    <w:p>
      <w:pPr>
        <w:shd w:fill="F0F0F0" w:val="clear"/>
        <w:spacing w:after="14" w:before="14"/>
        <w:ind w:left="360"/>
      </w:pPr>
      <w:r>
        <w:rPr>
          <w:rFonts w:ascii="Courier New" w:cs="Courier New" w:eastAsia="Courier New" w:hAnsi="Courier New"/>
          <w:color w:val="1B2A4A"/>
          <w:sz w:val="16"/>
          <w:szCs w:val="16"/>
        </w:rPr>
        <w:t xml:space="preserve">      "Embedded GTM team for healthcare AI platforms. Hospital outreach, clinical champion engagement, and first-contract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healthcare AI ventures. Health-system-demand-validated market sizing, clinical evidence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strategy — identifying which clinical and administrative use cases offer the fastest health system adoption and clearest ROI in each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clinical AI companies or also with healthcare administrative AI and population health platforms?|All three. We work with clinical AI, administrative AI, and population health AI companies across market entry, GTM, and fundraising.",</w:t>
      </w:r>
    </w:p>
    <w:p>
      <w:pPr>
        <w:shd w:fill="F0F0F0" w:val="clear"/>
        <w:spacing w:after="14" w:before="14"/>
        <w:ind w:left="360"/>
      </w:pPr>
      <w:r>
        <w:rPr>
          <w:rFonts w:ascii="Courier New" w:cs="Courier New" w:eastAsia="Courier New" w:hAnsi="Courier New"/>
          <w:color w:val="1B2A4A"/>
          <w:sz w:val="16"/>
          <w:szCs w:val="16"/>
        </w:rPr>
        <w:t xml:space="preserve">      "What healthcare AI markets does GreyRadius cover?|Gulf, Southeast Asia, South Asia, and Singapore — markets with active hospital AI investment and government health system digital transformation programmes.",</w:t>
      </w:r>
    </w:p>
    <w:p>
      <w:pPr>
        <w:shd w:fill="F0F0F0" w:val="clear"/>
        <w:spacing w:after="14" w:before="14"/>
        <w:ind w:left="360"/>
      </w:pPr>
      <w:r>
        <w:rPr>
          <w:rFonts w:ascii="Courier New" w:cs="Courier New" w:eastAsia="Courier New" w:hAnsi="Courier New"/>
          <w:color w:val="1B2A4A"/>
          <w:sz w:val="16"/>
          <w:szCs w:val="16"/>
        </w:rPr>
        <w:t xml:space="preserve">      "How long does a healthcare AI market entry engagement take?|Typically 8–12 weeks for health system demand research, regulatory mapping, and EMR integration strategy.",</w:t>
      </w:r>
    </w:p>
    <w:p>
      <w:pPr>
        <w:shd w:fill="F0F0F0" w:val="clear"/>
        <w:spacing w:after="14" w:before="14"/>
        <w:ind w:left="360"/>
      </w:pPr>
      <w:r>
        <w:rPr>
          <w:rFonts w:ascii="Courier New" w:cs="Courier New" w:eastAsia="Courier New" w:hAnsi="Courier New"/>
          <w:color w:val="1B2A4A"/>
          <w:sz w:val="16"/>
          <w:szCs w:val="16"/>
        </w:rPr>
        <w:t xml:space="preserve">      "Can GreyRadius identify clinical champion hospitals for healthcare AI companies?|Yes. Hospital identification and initial clinical discussions are core parts of our healthcare AI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"healthcare AI market entry, clinical AI GTM strategy, medical AI consulting, health system AI advisory, healthcare AI strategy, clinical AI platform market entry",</w:t>
      </w:r>
    </w:p>
    <w:p>
      <w:pPr>
        <w:shd w:fill="F0F0F0" w:val="clear"/>
        <w:spacing w:after="14" w:before="14"/>
        <w:ind w:left="360"/>
      </w:pPr>
      <w:r>
        <w:rPr>
          <w:rFonts w:ascii="Courier New" w:cs="Courier New" w:eastAsia="Courier New" w:hAnsi="Courier New"/>
          <w:color w:val="1B2A4A"/>
          <w:sz w:val="16"/>
          <w:szCs w:val="16"/>
        </w:rPr>
        <w:t xml:space="preserve">    "regions": "Gulf, Southeast Asia, South Asia",</w:t>
      </w:r>
    </w:p>
    <w:p>
      <w:pPr>
        <w:shd w:fill="F0F0F0" w:val="clear"/>
        <w:spacing w:after="14" w:before="14"/>
        <w:ind w:left="360"/>
      </w:pPr>
      <w:r>
        <w:rPr>
          <w:rFonts w:ascii="Courier New" w:cs="Courier New" w:eastAsia="Courier New" w:hAnsi="Courier New"/>
          <w:color w:val="1B2A4A"/>
          <w:sz w:val="16"/>
          <w:szCs w:val="16"/>
        </w:rPr>
        <w:t xml:space="preserve">    "stat1n": "$45B+",</w:t>
      </w:r>
    </w:p>
    <w:p>
      <w:pPr>
        <w:shd w:fill="F0F0F0" w:val="clear"/>
        <w:spacing w:after="14" w:before="14"/>
        <w:ind w:left="360"/>
      </w:pPr>
      <w:r>
        <w:rPr>
          <w:rFonts w:ascii="Courier New" w:cs="Courier New" w:eastAsia="Courier New" w:hAnsi="Courier New"/>
          <w:color w:val="1B2A4A"/>
          <w:sz w:val="16"/>
          <w:szCs w:val="16"/>
        </w:rPr>
        <w:t xml:space="preserve">    "stat1l": "Healthcare AI platform market by 2030",</w:t>
      </w:r>
    </w:p>
    <w:p>
      <w:pPr>
        <w:shd w:fill="F0F0F0" w:val="clear"/>
        <w:spacing w:after="14" w:before="14"/>
        <w:ind w:left="360"/>
      </w:pPr>
      <w:r>
        <w:rPr>
          <w:rFonts w:ascii="Courier New" w:cs="Courier New" w:eastAsia="Courier New" w:hAnsi="Courier New"/>
          <w:color w:val="1B2A4A"/>
          <w:sz w:val="16"/>
          <w:szCs w:val="16"/>
        </w:rPr>
        <w:t xml:space="preserve">    "stat1b": "Growing at 40% annually as hospitals move from single AI tools to integrated AI platforms across clinical and administrative functions.",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healthcare AI mandate",</w:t>
      </w:r>
    </w:p>
    <w:p>
      <w:pPr>
        <w:shd w:fill="F0F0F0" w:val="clear"/>
        <w:spacing w:after="14" w:before="14"/>
        <w:ind w:left="360"/>
      </w:pPr>
      <w:r>
        <w:rPr>
          <w:rFonts w:ascii="Courier New" w:cs="Courier New" w:eastAsia="Courier New" w:hAnsi="Courier New"/>
          <w:color w:val="1B2A4A"/>
          <w:sz w:val="16"/>
          <w:szCs w:val="16"/>
        </w:rPr>
        <w:t xml:space="preserve">    "stat2b": "CIOs, CMOs, and clinical department heads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health system demand mapping and regulatory pathway research delivers healthcare AI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"islamic-education",</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"higher-education",</w:t>
      </w:r>
    </w:p>
    <w:p>
      <w:pPr>
        <w:shd w:fill="F0F0F0" w:val="clear"/>
        <w:spacing w:after="14" w:before="14"/>
        <w:ind w:left="360"/>
      </w:pPr>
      <w:r>
        <w:rPr>
          <w:rFonts w:ascii="Courier New" w:cs="Courier New" w:eastAsia="Courier New" w:hAnsi="Courier New"/>
          <w:color w:val="1B2A4A"/>
          <w:sz w:val="16"/>
          <w:szCs w:val="16"/>
        </w:rPr>
        <w:t xml:space="preserve">    "title": "Islamic Education &amp; EdTech Market Entry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Islamic education institutions, Islamic EdTech companies, and Quran learning platform businesses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"Islamic education and EdTech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Quran curriculum to global Muslim learner — strategy for Islamic education businesses.",</w:t>
      </w:r>
    </w:p>
    <w:p>
      <w:pPr>
        <w:shd w:fill="F0F0F0" w:val="clear"/>
        <w:spacing w:after="14" w:before="14"/>
        <w:ind w:left="360"/>
      </w:pPr>
      <w:r>
        <w:rPr>
          <w:rFonts w:ascii="Courier New" w:cs="Courier New" w:eastAsia="Courier New" w:hAnsi="Courier New"/>
          <w:color w:val="1B2A4A"/>
          <w:sz w:val="16"/>
          <w:szCs w:val="16"/>
        </w:rPr>
        <w:t xml:space="preserve">    "hero": "Islamic education technology and institutions are creating significant market entry opportunities as 1.9 billion Muslim consumers worldwide seek quality Islamic education for themselves and their children. Online Quran learning platforms, Islamic school management systems, Islamic higher education institutions, Arabic language learning apps, and Islamic finance education providers are all evaluating new market entry opportunities. GreyRadius helps Islamic education businesses validate Muslim learner and parent demand, navigate regulatory requirements,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"Muslim parents globally are prioritising Islamic education alongside secular education — the demand for quality, technology-enabled Islamic learning has never been higher. Gulf Islamic education investment, Southeast Asian Islamic school technology adoption, and diaspora Muslim community education needs in Europe and North America are all creating specific market entry opportunities.",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Islamic education market exceeds $80B annually — spanning traditional Islamic schools, online Quran learning, Arabic language education, and Islamic higher education.",</w:t>
      </w:r>
    </w:p>
    <w:p>
      <w:pPr>
        <w:shd w:fill="F0F0F0" w:val="clear"/>
        <w:spacing w:after="14" w:before="14"/>
        <w:ind w:left="360"/>
      </w:pPr>
      <w:r>
        <w:rPr>
          <w:rFonts w:ascii="Courier New" w:cs="Courier New" w:eastAsia="Courier New" w:hAnsi="Courier New"/>
          <w:color w:val="1B2A4A"/>
          <w:sz w:val="16"/>
          <w:szCs w:val="16"/>
        </w:rPr>
        <w:t xml:space="preserve">      "Online Quran learning has been transformed by technology — platforms connecting Muslim students with qualified Quran teachers globally have achieved millions of paying subscribers, demonstrating strong willingness to pay for quality Islamic education.",</w:t>
      </w:r>
    </w:p>
    <w:p>
      <w:pPr>
        <w:shd w:fill="F0F0F0" w:val="clear"/>
        <w:spacing w:after="14" w:before="14"/>
        <w:ind w:left="360"/>
      </w:pPr>
      <w:r>
        <w:rPr>
          <w:rFonts w:ascii="Courier New" w:cs="Courier New" w:eastAsia="Courier New" w:hAnsi="Courier New"/>
          <w:color w:val="1B2A4A"/>
          <w:sz w:val="16"/>
          <w:szCs w:val="16"/>
        </w:rPr>
        <w:t xml:space="preserve">      "Islamic school EdTech is growing rapidly — school management systems, Islamic curriculum digital content, and parent communication platforms specifically designed for Islamic schools are achieving adoption across Southeast Asia and South Asia.",</w:t>
      </w:r>
    </w:p>
    <w:p>
      <w:pPr>
        <w:shd w:fill="F0F0F0" w:val="clear"/>
        <w:spacing w:after="14" w:before="14"/>
        <w:ind w:left="360"/>
      </w:pPr>
      <w:r>
        <w:rPr>
          <w:rFonts w:ascii="Courier New" w:cs="Courier New" w:eastAsia="Courier New" w:hAnsi="Courier New"/>
          <w:color w:val="1B2A4A"/>
          <w:sz w:val="16"/>
          <w:szCs w:val="16"/>
        </w:rPr>
        <w:t xml:space="preserve">      "Gulf Islamic education investment is creating institutional demand — Saudi Arabia, UAE, and Qatar are all investing in Islamic education technology and Islamic higher education development."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"Islamic education quality standards vary significantly — Islamic curriculum, teacher qualification standards, and Quran recitation standards vary across different Islamic traditions and geographic regions.",</w:t>
      </w:r>
    </w:p>
    <w:p>
      <w:pPr>
        <w:shd w:fill="F0F0F0" w:val="clear"/>
        <w:spacing w:after="14" w:before="14"/>
        <w:ind w:left="360"/>
      </w:pPr>
      <w:r>
        <w:rPr>
          <w:rFonts w:ascii="Courier New" w:cs="Courier New" w:eastAsia="Courier New" w:hAnsi="Courier New"/>
          <w:color w:val="1B2A4A"/>
          <w:sz w:val="16"/>
          <w:szCs w:val="16"/>
        </w:rPr>
        <w:t xml:space="preserve">      "Cultural sensitivity is paramount — Islamic education products must be carefully designed to respect diverse Islamic traditions and avoid content that is inappropriate for specific Muslim communities.",</w:t>
      </w:r>
    </w:p>
    <w:p>
      <w:pPr>
        <w:shd w:fill="F0F0F0" w:val="clear"/>
        <w:spacing w:after="14" w:before="14"/>
        <w:ind w:left="360"/>
      </w:pPr>
      <w:r>
        <w:rPr>
          <w:rFonts w:ascii="Courier New" w:cs="Courier New" w:eastAsia="Courier New" w:hAnsi="Courier New"/>
          <w:color w:val="1B2A4A"/>
          <w:sz w:val="16"/>
          <w:szCs w:val="16"/>
        </w:rPr>
        <w:t xml:space="preserve">      "Parent trust is critical — Muslim parents make Islamic education decisions based on religious authority, scholar endorsement, and community recommendation rather than marketing.",</w:t>
      </w:r>
    </w:p>
    <w:p>
      <w:pPr>
        <w:shd w:fill="F0F0F0" w:val="clear"/>
        <w:spacing w:after="14" w:before="14"/>
        <w:ind w:left="360"/>
      </w:pPr>
      <w:r>
        <w:rPr>
          <w:rFonts w:ascii="Courier New" w:cs="Courier New" w:eastAsia="Courier New" w:hAnsi="Courier New"/>
          <w:color w:val="1B2A4A"/>
          <w:sz w:val="16"/>
          <w:szCs w:val="16"/>
        </w:rPr>
        <w:t xml:space="preserve">      "Regulatory classification of Islamic education varies — Islamic schools, online religious education, and Arabic language learning face different regulatory frameworks in different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"Muslim learner and parent demand validation|You need to validate Muslim parent and learner interest in your Islamic education product and what quality standards, curriculum requirements, and pricing they require.",</w:t>
      </w:r>
    </w:p>
    <w:p>
      <w:pPr>
        <w:shd w:fill="F0F0F0" w:val="clear"/>
        <w:spacing w:after="14" w:before="14"/>
        <w:ind w:left="360"/>
      </w:pPr>
      <w:r>
        <w:rPr>
          <w:rFonts w:ascii="Courier New" w:cs="Courier New" w:eastAsia="Courier New" w:hAnsi="Courier New"/>
          <w:color w:val="1B2A4A"/>
          <w:sz w:val="16"/>
          <w:szCs w:val="16"/>
        </w:rPr>
        <w:t xml:space="preserve">      "Religious authority and scholar endorsement strategy|You need to identify Islamic scholars, educational institutions, and Muslim community organisations whose endorsement will drive adoption.",</w:t>
      </w:r>
    </w:p>
    <w:p>
      <w:pPr>
        <w:shd w:fill="F0F0F0" w:val="clear"/>
        <w:spacing w:after="14" w:before="14"/>
        <w:ind w:left="360"/>
      </w:pPr>
      <w:r>
        <w:rPr>
          <w:rFonts w:ascii="Courier New" w:cs="Courier New" w:eastAsia="Courier New" w:hAnsi="Courier New"/>
          <w:color w:val="1B2A4A"/>
          <w:sz w:val="16"/>
          <w:szCs w:val="16"/>
        </w:rPr>
        <w:t xml:space="preserve">      "GTM for an Islamic education platform|You have an Islamic EdTech product and need a go-to-market strategy covering Muslim parent, student, and Islamic school acquisition.",</w:t>
      </w:r>
    </w:p>
    <w:p>
      <w:pPr>
        <w:shd w:fill="F0F0F0" w:val="clear"/>
        <w:spacing w:after="14" w:before="14"/>
        <w:ind w:left="360"/>
      </w:pPr>
      <w:r>
        <w:rPr>
          <w:rFonts w:ascii="Courier New" w:cs="Courier New" w:eastAsia="Courier New" w:hAnsi="Courier New"/>
          <w:color w:val="1B2A4A"/>
          <w:sz w:val="16"/>
          <w:szCs w:val="16"/>
        </w:rPr>
        <w:t xml:space="preserve">      "Raising capital for an Islamic education venture|You are raising investment and need a pitch book grounded in Muslim learner demand data and Islamic education market sizing.",</w:t>
      </w:r>
    </w:p>
    <w:p>
      <w:pPr>
        <w:shd w:fill="F0F0F0" w:val="clear"/>
        <w:spacing w:after="14" w:before="14"/>
        <w:ind w:left="360"/>
      </w:pPr>
      <w:r>
        <w:rPr>
          <w:rFonts w:ascii="Courier New" w:cs="Courier New" w:eastAsia="Courier New" w:hAnsi="Courier New"/>
          <w:color w:val="1B2A4A"/>
          <w:sz w:val="16"/>
          <w:szCs w:val="16"/>
        </w:rPr>
        <w:t xml:space="preserve">      "Islamic school and institution partnership strategy|You need to identify Islamic schools, mosques, and Islamic education institutions as distribution and validation partners.",</w:t>
      </w:r>
    </w:p>
    <w:p>
      <w:pPr>
        <w:shd w:fill="F0F0F0" w:val="clear"/>
        <w:spacing w:after="14" w:before="14"/>
        <w:ind w:left="360"/>
      </w:pPr>
      <w:r>
        <w:rPr>
          <w:rFonts w:ascii="Courier New" w:cs="Courier New" w:eastAsia="Courier New" w:hAnsi="Courier New"/>
          <w:color w:val="1B2A4A"/>
          <w:sz w:val="16"/>
          <w:szCs w:val="16"/>
        </w:rPr>
        <w:t xml:space="preserve">      "Competitive intelligence|You need to understand how competing Islamic education platforms are positioned and acquiring Muslim learners in your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Muslim learner and parent demand for Islamic education in a new market. Covers parent surveys, Islamic school interviews, scholar network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Islamic education investments. Covers learner demand modelling, platform economics, scholar network cost,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Islamic education companies. Regulatory pathway, Islamic school and scholar partner identification, and first-learner-enrolment milestone.",</w:t>
      </w:r>
    </w:p>
    <w:p>
      <w:pPr>
        <w:shd w:fill="F0F0F0" w:val="clear"/>
        <w:spacing w:after="14" w:before="14"/>
        <w:ind w:left="360"/>
      </w:pPr>
      <w:r>
        <w:rPr>
          <w:rFonts w:ascii="Courier New" w:cs="Courier New" w:eastAsia="Courier New" w:hAnsi="Courier New"/>
          <w:color w:val="1B2A4A"/>
          <w:sz w:val="16"/>
          <w:szCs w:val="16"/>
        </w:rPr>
        <w:t xml:space="preserve">      "Embedded GTM team for Islamic EdTech platforms. Parent and student acquisition, Islamic school partnership pipeline,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Islamic education ventures. Learner-demand-validated market sizing, scholar endorsement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Islamic education — from personalised Quran learning path recommendation and recitation accuracy assessment to Arabic language learning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Quran learning platforms or also with Islamic school EdTech and Islamic higher education companies?|All three. We work with Quran learning platforms on market entry and GTM, Islamic school EdTech on market entry, and Islamic higher education on feasibility and fundraising.",</w:t>
      </w:r>
    </w:p>
    <w:p>
      <w:pPr>
        <w:shd w:fill="F0F0F0" w:val="clear"/>
        <w:spacing w:after="14" w:before="14"/>
        <w:ind w:left="360"/>
      </w:pPr>
      <w:r>
        <w:rPr>
          <w:rFonts w:ascii="Courier New" w:cs="Courier New" w:eastAsia="Courier New" w:hAnsi="Courier New"/>
          <w:color w:val="1B2A4A"/>
          <w:sz w:val="16"/>
          <w:szCs w:val="16"/>
        </w:rPr>
        <w:t xml:space="preserve">      "What Islamic education markets does GreyRadius cover?|Southeast Asia, South Asia, the Gulf, and Europe — markets with the largest Muslim learner populations and most significant Islamic education investment.",</w:t>
      </w:r>
    </w:p>
    <w:p>
      <w:pPr>
        <w:shd w:fill="F0F0F0" w:val="clear"/>
        <w:spacing w:after="14" w:before="14"/>
        <w:ind w:left="360"/>
      </w:pPr>
      <w:r>
        <w:rPr>
          <w:rFonts w:ascii="Courier New" w:cs="Courier New" w:eastAsia="Courier New" w:hAnsi="Courier New"/>
          <w:color w:val="1B2A4A"/>
          <w:sz w:val="16"/>
          <w:szCs w:val="16"/>
        </w:rPr>
        <w:t xml:space="preserve">      "How long does an Islamic education market entry engagement take?|Typically 6–10 weeks for Muslim learner and parent demand research and Islamic school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Islamic scholars and institutions for endorsement partnerships?|Yes. Scholar network mapping and initial partnership discussions are part of our Islamic education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"Islamic education market entry, Quran learning GTM strategy, Islamic EdTech consulting, Muslim education advisory, Islamic school technology strategy, Quran platform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 Europe",</w:t>
      </w:r>
    </w:p>
    <w:p>
      <w:pPr>
        <w:shd w:fill="F0F0F0" w:val="clear"/>
        <w:spacing w:after="14" w:before="14"/>
        <w:ind w:left="360"/>
      </w:pPr>
      <w:r>
        <w:rPr>
          <w:rFonts w:ascii="Courier New" w:cs="Courier New" w:eastAsia="Courier New" w:hAnsi="Courier New"/>
          <w:color w:val="1B2A4A"/>
          <w:sz w:val="16"/>
          <w:szCs w:val="16"/>
        </w:rPr>
        <w:t xml:space="preserve">    "stat1n": "$80B+",</w:t>
      </w:r>
    </w:p>
    <w:p>
      <w:pPr>
        <w:shd w:fill="F0F0F0" w:val="clear"/>
        <w:spacing w:after="14" w:before="14"/>
        <w:ind w:left="360"/>
      </w:pPr>
      <w:r>
        <w:rPr>
          <w:rFonts w:ascii="Courier New" w:cs="Courier New" w:eastAsia="Courier New" w:hAnsi="Courier New"/>
          <w:color w:val="1B2A4A"/>
          <w:sz w:val="16"/>
          <w:szCs w:val="16"/>
        </w:rPr>
        <w:t xml:space="preserve">    "stat1l": "Global Islamic education market annually",</w:t>
      </w:r>
    </w:p>
    <w:p>
      <w:pPr>
        <w:shd w:fill="F0F0F0" w:val="clear"/>
        <w:spacing w:after="14" w:before="14"/>
        <w:ind w:left="360"/>
      </w:pPr>
      <w:r>
        <w:rPr>
          <w:rFonts w:ascii="Courier New" w:cs="Courier New" w:eastAsia="Courier New" w:hAnsi="Courier New"/>
          <w:color w:val="1B2A4A"/>
          <w:sz w:val="16"/>
          <w:szCs w:val="16"/>
        </w:rPr>
        <w:t xml:space="preserve">    "stat1b": "Spanning traditional Islamic schools, online Quran learning, Arabic language education, and Islamic higher education globally.",</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Islamic education mandate",</w:t>
      </w:r>
    </w:p>
    <w:p>
      <w:pPr>
        <w:shd w:fill="F0F0F0" w:val="clear"/>
        <w:spacing w:after="14" w:before="14"/>
        <w:ind w:left="360"/>
      </w:pPr>
      <w:r>
        <w:rPr>
          <w:rFonts w:ascii="Courier New" w:cs="Courier New" w:eastAsia="Courier New" w:hAnsi="Courier New"/>
          <w:color w:val="1B2A4A"/>
          <w:sz w:val="16"/>
          <w:szCs w:val="16"/>
        </w:rPr>
        <w:t xml:space="preserve">    "stat2b": "Muslim parents, students, Islamic school administrators, and scholars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Muslim learner demand mapping and scholar network research delivers Islamic education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"battery-as-a-service",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"energy-storage",</w:t>
      </w:r>
    </w:p>
    <w:p>
      <w:pPr>
        <w:shd w:fill="F0F0F0" w:val="clear"/>
        <w:spacing w:after="14" w:before="14"/>
        <w:ind w:left="360"/>
      </w:pPr>
      <w:r>
        <w:rPr>
          <w:rFonts w:ascii="Courier New" w:cs="Courier New" w:eastAsia="Courier New" w:hAnsi="Courier New"/>
          <w:color w:val="1B2A4A"/>
          <w:sz w:val="16"/>
          <w:szCs w:val="16"/>
        </w:rPr>
        <w:t xml:space="preserve">    "h1": "Battery-as-a-Service market entry strategy",</w:t>
      </w:r>
    </w:p>
    <w:p>
      <w:pPr>
        <w:shd w:fill="F0F0F0" w:val="clear"/>
        <w:spacing w:after="14" w:before="14"/>
        <w:ind w:left="360"/>
      </w:pPr>
      <w:r>
        <w:rPr>
          <w:rFonts w:ascii="Courier New" w:cs="Courier New" w:eastAsia="Courier New" w:hAnsi="Courier New"/>
          <w:color w:val="1B2A4A"/>
          <w:sz w:val="16"/>
          <w:szCs w:val="16"/>
        </w:rPr>
        <w:t xml:space="preserve">    "title": "Battery-as-a-Service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Battery-as-a-Service companies, energy storage subscription businesses, and battery leasing operators with market entry strategy and fundraising.",</w:t>
      </w:r>
    </w:p>
    <w:p>
      <w:pPr>
        <w:shd w:fill="F0F0F0" w:val="clear"/>
        <w:spacing w:after="14" w:before="14"/>
        <w:ind w:left="360"/>
      </w:pPr>
      <w:r>
        <w:rPr>
          <w:rFonts w:ascii="Courier New" w:cs="Courier New" w:eastAsia="Courier New" w:hAnsi="Courier New"/>
          <w:color w:val="1B2A4A"/>
          <w:sz w:val="16"/>
          <w:szCs w:val="16"/>
        </w:rPr>
        <w:t xml:space="preserve">    "tagline": "From owned asset to subscribed service — strategy for BaaS businesses.",</w:t>
      </w:r>
    </w:p>
    <w:p>
      <w:pPr>
        <w:shd w:fill="F0F0F0" w:val="clear"/>
        <w:spacing w:after="14" w:before="14"/>
        <w:ind w:left="360"/>
      </w:pPr>
      <w:r>
        <w:rPr>
          <w:rFonts w:ascii="Courier New" w:cs="Courier New" w:eastAsia="Courier New" w:hAnsi="Courier New"/>
          <w:color w:val="1B2A4A"/>
          <w:sz w:val="16"/>
          <w:szCs w:val="16"/>
        </w:rPr>
        <w:t xml:space="preserve">    "hero": "Battery-as-a-Service — the provision of battery storage capacity as a subscription rather than a capital purchase — is creating new market entry opportunities by removing the upfront cost barrier that has slowed battery storage adoption among commercial and industrial customers. BaaS operators, battery leasing companies, and energy-as-a-service platforms are all evaluating new markets. GreyRadius helps BaaS businesses validate customer demand, assess service economics, and raise capital.",</w:t>
      </w:r>
    </w:p>
    <w:p>
      <w:pPr>
        <w:shd w:fill="F0F0F0" w:val="clear"/>
        <w:spacing w:after="14" w:before="14"/>
        <w:ind w:left="360"/>
      </w:pPr>
      <w:r>
        <w:rPr>
          <w:rFonts w:ascii="Courier New" w:cs="Courier New" w:eastAsia="Courier New" w:hAnsi="Courier New"/>
          <w:color w:val="1B2A4A"/>
          <w:sz w:val="16"/>
          <w:szCs w:val="16"/>
        </w:rPr>
        <w:t xml:space="preserve">    "market_timing": "Rising energy costs and corporate sustainability commitments are creating urgent C&amp;I demand for battery storage — but capital budget constraints are the primary adoption barrier. BaaS models that replace capex with opex are resolving this barrier. Companies establishing BaaS infrastructure in emerging markets in 2024–2027 will capture long-term service contracts.",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"Battery-as-a-Service market is growing at 35% annually as C&amp;I customers seek storage without capital cost.",</w:t>
      </w:r>
    </w:p>
    <w:p>
      <w:pPr>
        <w:shd w:fill="F0F0F0" w:val="clear"/>
        <w:spacing w:after="14" w:before="14"/>
        <w:ind w:left="360"/>
      </w:pPr>
      <w:r>
        <w:rPr>
          <w:rFonts w:ascii="Courier New" w:cs="Courier New" w:eastAsia="Courier New" w:hAnsi="Courier New"/>
          <w:color w:val="1B2A4A"/>
          <w:sz w:val="16"/>
          <w:szCs w:val="16"/>
        </w:rPr>
        <w:t xml:space="preserve">      "Utility virtual power plant programmes are creating BaaS revenue streams beyond energy arbitrage.",</w:t>
      </w:r>
    </w:p>
    <w:p>
      <w:pPr>
        <w:shd w:fill="F0F0F0" w:val="clear"/>
        <w:spacing w:after="14" w:before="14"/>
        <w:ind w:left="360"/>
      </w:pPr>
      <w:r>
        <w:rPr>
          <w:rFonts w:ascii="Courier New" w:cs="Courier New" w:eastAsia="Courier New" w:hAnsi="Courier New"/>
          <w:color w:val="1B2A4A"/>
          <w:sz w:val="16"/>
          <w:szCs w:val="16"/>
        </w:rPr>
        <w:t xml:space="preserve">      "EV battery second-life is enabling lower-cost BaaS offerings for less demanding stationary applications.",</w:t>
      </w:r>
    </w:p>
    <w:p>
      <w:pPr>
        <w:shd w:fill="F0F0F0" w:val="clear"/>
        <w:spacing w:after="14" w:before="14"/>
        <w:ind w:left="360"/>
      </w:pPr>
      <w:r>
        <w:rPr>
          <w:rFonts w:ascii="Courier New" w:cs="Courier New" w:eastAsia="Courier New" w:hAnsi="Courier New"/>
          <w:color w:val="1B2A4A"/>
          <w:sz w:val="16"/>
          <w:szCs w:val="16"/>
        </w:rPr>
        <w:t xml:space="preserve">      "Corporate PPAs are increasingly including integrated storage service components."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"BaaS business model requires patient capital — long-duration service contracts require upfront battery procurement before subscription revenue begins.",</w:t>
      </w:r>
    </w:p>
    <w:p>
      <w:pPr>
        <w:shd w:fill="F0F0F0" w:val="clear"/>
        <w:spacing w:after="14" w:before="14"/>
        <w:ind w:left="360"/>
      </w:pPr>
      <w:r>
        <w:rPr>
          <w:rFonts w:ascii="Courier New" w:cs="Courier New" w:eastAsia="Courier New" w:hAnsi="Courier New"/>
          <w:color w:val="1B2A4A"/>
          <w:sz w:val="16"/>
          <w:szCs w:val="16"/>
        </w:rPr>
        <w:t xml:space="preserve">      "Customer credit risk assessment is complex — long-term service agreements require assessment of customer financial stability over contract life.",</w:t>
      </w:r>
    </w:p>
    <w:p>
      <w:pPr>
        <w:shd w:fill="F0F0F0" w:val="clear"/>
        <w:spacing w:after="14" w:before="14"/>
        <w:ind w:left="360"/>
      </w:pPr>
      <w:r>
        <w:rPr>
          <w:rFonts w:ascii="Courier New" w:cs="Courier New" w:eastAsia="Courier New" w:hAnsi="Courier New"/>
          <w:color w:val="1B2A4A"/>
          <w:sz w:val="16"/>
          <w:szCs w:val="16"/>
        </w:rPr>
        <w:t xml:space="preserve">      "Battery performance degradation management is an operational challenge — BaaS operators must manage replacement scheduling across large fleets of deployed batteries.",</w:t>
      </w:r>
    </w:p>
    <w:p>
      <w:pPr>
        <w:shd w:fill="F0F0F0" w:val="clear"/>
        <w:spacing w:after="14" w:before="14"/>
        <w:ind w:left="360"/>
      </w:pPr>
      <w:r>
        <w:rPr>
          <w:rFonts w:ascii="Courier New" w:cs="Courier New" w:eastAsia="Courier New" w:hAnsi="Courier New"/>
          <w:color w:val="1B2A4A"/>
          <w:sz w:val="16"/>
          <w:szCs w:val="16"/>
        </w:rPr>
        <w:t xml:space="preserve">      "Regulatory classification of energy storage services varies — grid services, demand management, and behind-the-meter storage face different regulatory frameworks."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"C&amp;I customer demand validation|You need to validate which customer segments will convert from battery purchase to BaaS subscription and at what service price points.",</w:t>
      </w:r>
    </w:p>
    <w:p>
      <w:pPr>
        <w:shd w:fill="F0F0F0" w:val="clear"/>
        <w:spacing w:after="14" w:before="14"/>
        <w:ind w:left="360"/>
      </w:pPr>
      <w:r>
        <w:rPr>
          <w:rFonts w:ascii="Courier New" w:cs="Courier New" w:eastAsia="Courier New" w:hAnsi="Courier New"/>
          <w:color w:val="1B2A4A"/>
          <w:sz w:val="16"/>
          <w:szCs w:val="16"/>
        </w:rPr>
        <w:t xml:space="preserve">      "BaaS unit economics and pricing strategy|You need a service pricing model that delivers customer savings while covering battery cost, degradation, and service margin.",</w:t>
      </w:r>
    </w:p>
    <w:p>
      <w:pPr>
        <w:shd w:fill="F0F0F0" w:val="clear"/>
        <w:spacing w:after="14" w:before="14"/>
        <w:ind w:left="360"/>
      </w:pPr>
      <w:r>
        <w:rPr>
          <w:rFonts w:ascii="Courier New" w:cs="Courier New" w:eastAsia="Courier New" w:hAnsi="Courier New"/>
          <w:color w:val="1B2A4A"/>
          <w:sz w:val="16"/>
          <w:szCs w:val="16"/>
        </w:rPr>
        <w:t xml:space="preserve">      "GTM for a BaaS platform|You need a go-to-market strategy covering C&amp;I customer acquisition and utility programme participation.",</w:t>
      </w:r>
    </w:p>
    <w:p>
      <w:pPr>
        <w:shd w:fill="F0F0F0" w:val="clear"/>
        <w:spacing w:after="14" w:before="14"/>
        <w:ind w:left="360"/>
      </w:pPr>
      <w:r>
        <w:rPr>
          <w:rFonts w:ascii="Courier New" w:cs="Courier New" w:eastAsia="Courier New" w:hAnsi="Courier New"/>
          <w:color w:val="1B2A4A"/>
          <w:sz w:val="16"/>
          <w:szCs w:val="16"/>
        </w:rPr>
        <w:t xml:space="preserve">      "Raising capital for BaaS|You need investor-ready financial projections grounded in contracted service revenue.",</w:t>
      </w:r>
    </w:p>
    <w:p>
      <w:pPr>
        <w:shd w:fill="F0F0F0" w:val="clear"/>
        <w:spacing w:after="14" w:before="14"/>
        <w:ind w:left="360"/>
      </w:pPr>
      <w:r>
        <w:rPr>
          <w:rFonts w:ascii="Courier New" w:cs="Courier New" w:eastAsia="Courier New" w:hAnsi="Courier New"/>
          <w:color w:val="1B2A4A"/>
          <w:sz w:val="16"/>
          <w:szCs w:val="16"/>
        </w:rPr>
        <w:t xml:space="preserve">      "Partnership strategy|You need battery manufacturer and EPC partners for cost-efficient battery procurement and deployment.",</w:t>
      </w:r>
    </w:p>
    <w:p>
      <w:pPr>
        <w:shd w:fill="F0F0F0" w:val="clear"/>
        <w:spacing w:after="14" w:before="14"/>
        <w:ind w:left="360"/>
      </w:pPr>
      <w:r>
        <w:rPr>
          <w:rFonts w:ascii="Courier New" w:cs="Courier New" w:eastAsia="Courier New" w:hAnsi="Courier New"/>
          <w:color w:val="1B2A4A"/>
          <w:sz w:val="16"/>
          <w:szCs w:val="16"/>
        </w:rPr>
        <w:t xml:space="preserve">      "Competitive intelligence|You need to understand how competing BaaS operators are priced and winning contracts."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C&amp;I customer demand for BaaS in a new market with primary research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covering BaaS unit economics, degradation modelling,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BaaS operators including customer ICP and first-contract acquisition.",</w:t>
      </w:r>
    </w:p>
    <w:p>
      <w:pPr>
        <w:shd w:fill="F0F0F0" w:val="clear"/>
        <w:spacing w:after="14" w:before="14"/>
        <w:ind w:left="360"/>
      </w:pPr>
      <w:r>
        <w:rPr>
          <w:rFonts w:ascii="Courier New" w:cs="Courier New" w:eastAsia="Courier New" w:hAnsi="Courier New"/>
          <w:color w:val="1B2A4A"/>
          <w:sz w:val="16"/>
          <w:szCs w:val="16"/>
        </w:rPr>
        <w:t xml:space="preserve">      "Embedded GTM team covering C&amp;I outreach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with contracted revenue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identification — from battery health optimisation and dispatch scheduling to customer churn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BaaS operators or also with battery manufacturers offering service models?|Both.",</w:t>
      </w:r>
    </w:p>
    <w:p>
      <w:pPr>
        <w:shd w:fill="F0F0F0" w:val="clear"/>
        <w:spacing w:after="14" w:before="14"/>
        <w:ind w:left="360"/>
      </w:pPr>
      <w:r>
        <w:rPr>
          <w:rFonts w:ascii="Courier New" w:cs="Courier New" w:eastAsia="Courier New" w:hAnsi="Courier New"/>
          <w:color w:val="1B2A4A"/>
          <w:sz w:val="16"/>
          <w:szCs w:val="16"/>
        </w:rPr>
        <w:t xml:space="preserve">      "What BaaS markets does GreyRadius cover?|Southeast Asia, South Asia, and the Gulf.",</w:t>
      </w:r>
    </w:p>
    <w:p>
      <w:pPr>
        <w:shd w:fill="F0F0F0" w:val="clear"/>
        <w:spacing w:after="14" w:before="14"/>
        <w:ind w:left="360"/>
      </w:pPr>
      <w:r>
        <w:rPr>
          <w:rFonts w:ascii="Courier New" w:cs="Courier New" w:eastAsia="Courier New" w:hAnsi="Courier New"/>
          <w:color w:val="1B2A4A"/>
          <w:sz w:val="16"/>
          <w:szCs w:val="16"/>
        </w:rPr>
        <w:t xml:space="preserve">      "How long does a BaaS market entry engagement take?|Typically 6–10 weeks.",</w:t>
      </w:r>
    </w:p>
    <w:p>
      <w:pPr>
        <w:shd w:fill="F0F0F0" w:val="clear"/>
        <w:spacing w:after="14" w:before="14"/>
        <w:ind w:left="360"/>
      </w:pPr>
      <w:r>
        <w:rPr>
          <w:rFonts w:ascii="Courier New" w:cs="Courier New" w:eastAsia="Courier New" w:hAnsi="Courier New"/>
          <w:color w:val="1B2A4A"/>
          <w:sz w:val="16"/>
          <w:szCs w:val="16"/>
        </w:rPr>
        <w:t xml:space="preserve">      "Can GreyRadius identify C&amp;I anchor customers for BaaS operators?|Yes."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"battery as a service market entry, BaaS GTM strategy, energy storage subscription consulting, battery leasing advisory, BaaS strategy, battery subscription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w:t>
      </w:r>
    </w:p>
    <w:p>
      <w:pPr>
        <w:shd w:fill="F0F0F0" w:val="clear"/>
        <w:spacing w:after="14" w:before="14"/>
        <w:ind w:left="360"/>
      </w:pPr>
      <w:r>
        <w:rPr>
          <w:rFonts w:ascii="Courier New" w:cs="Courier New" w:eastAsia="Courier New" w:hAnsi="Courier New"/>
          <w:color w:val="1B2A4A"/>
          <w:sz w:val="16"/>
          <w:szCs w:val="16"/>
        </w:rPr>
        <w:t xml:space="preserve">    "stat1n": "35%",</w:t>
      </w:r>
    </w:p>
    <w:p>
      <w:pPr>
        <w:shd w:fill="F0F0F0" w:val="clear"/>
        <w:spacing w:after="14" w:before="14"/>
        <w:ind w:left="360"/>
      </w:pPr>
      <w:r>
        <w:rPr>
          <w:rFonts w:ascii="Courier New" w:cs="Courier New" w:eastAsia="Courier New" w:hAnsi="Courier New"/>
          <w:color w:val="1B2A4A"/>
          <w:sz w:val="16"/>
          <w:szCs w:val="16"/>
        </w:rPr>
        <w:t xml:space="preserve">    "stat1l": "Annual BaaS market growth",</w:t>
      </w:r>
    </w:p>
    <w:p>
      <w:pPr>
        <w:shd w:fill="F0F0F0" w:val="clear"/>
        <w:spacing w:after="14" w:before="14"/>
        <w:ind w:left="360"/>
      </w:pPr>
      <w:r>
        <w:rPr>
          <w:rFonts w:ascii="Courier New" w:cs="Courier New" w:eastAsia="Courier New" w:hAnsi="Courier New"/>
          <w:color w:val="1B2A4A"/>
          <w:sz w:val="16"/>
          <w:szCs w:val="16"/>
        </w:rPr>
        <w:t xml:space="preserve">    "stat1b": "C&amp;I customers converting from battery capex to opex subscription models as energy costs rise and sustainability mandates tighten.",</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BaaS mandate",</w:t>
      </w:r>
    </w:p>
    <w:p>
      <w:pPr>
        <w:shd w:fill="F0F0F0" w:val="clear"/>
        <w:spacing w:after="14" w:before="14"/>
        <w:ind w:left="360"/>
      </w:pPr>
      <w:r>
        <w:rPr>
          <w:rFonts w:ascii="Courier New" w:cs="Courier New" w:eastAsia="Courier New" w:hAnsi="Courier New"/>
          <w:color w:val="1B2A4A"/>
          <w:sz w:val="16"/>
          <w:szCs w:val="16"/>
        </w:rPr>
        <w:t xml:space="preserve">    "stat2b": "C&amp;I energy managers, utility programme directors — every engagement grounded in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C&amp;I demand mapping delivers BaaS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"digital-infrastructure-reit",</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"reit-consulting",</w:t>
      </w:r>
    </w:p>
    <w:p>
      <w:pPr>
        <w:shd w:fill="F0F0F0" w:val="clear"/>
        <w:spacing w:after="14" w:before="14"/>
        <w:ind w:left="360"/>
      </w:pPr>
      <w:r>
        <w:rPr>
          <w:rFonts w:ascii="Courier New" w:cs="Courier New" w:eastAsia="Courier New" w:hAnsi="Courier New"/>
          <w:color w:val="1B2A4A"/>
          <w:sz w:val="16"/>
          <w:szCs w:val="16"/>
        </w:rPr>
        <w:t xml:space="preserve">    "h1": "Digital Infrastructure REIT market entry strategy",</w:t>
      </w:r>
    </w:p>
    <w:p>
      <w:pPr>
        <w:shd w:fill="F0F0F0" w:val="clear"/>
        <w:spacing w:after="14" w:before="14"/>
        <w:ind w:left="360"/>
      </w:pPr>
      <w:r>
        <w:rPr>
          <w:rFonts w:ascii="Courier New" w:cs="Courier New" w:eastAsia="Courier New" w:hAnsi="Courier New"/>
          <w:color w:val="1B2A4A"/>
          <w:sz w:val="16"/>
          <w:szCs w:val="16"/>
        </w:rPr>
        <w:t xml:space="preserve">    "title": "Digital Infrastructure REIT &amp; Fund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digital infrastructure REIT managers and data centre fund operators with market entry strategy, investor identification, and fundraising.",</w:t>
      </w:r>
    </w:p>
    <w:p>
      <w:pPr>
        <w:shd w:fill="F0F0F0" w:val="clear"/>
        <w:spacing w:after="14" w:before="14"/>
        <w:ind w:left="360"/>
      </w:pPr>
      <w:r>
        <w:rPr>
          <w:rFonts w:ascii="Courier New" w:cs="Courier New" w:eastAsia="Courier New" w:hAnsi="Courier New"/>
          <w:color w:val="1B2A4A"/>
          <w:sz w:val="16"/>
          <w:szCs w:val="16"/>
        </w:rPr>
        <w:t xml:space="preserve">    "tagline": "From fibre and towers to listed investment vehicle — strategy for digital infrastructure funds.",</w:t>
      </w:r>
    </w:p>
    <w:p>
      <w:pPr>
        <w:shd w:fill="F0F0F0" w:val="clear"/>
        <w:spacing w:after="14" w:before="14"/>
        <w:ind w:left="360"/>
      </w:pPr>
      <w:r>
        <w:rPr>
          <w:rFonts w:ascii="Courier New" w:cs="Courier New" w:eastAsia="Courier New" w:hAnsi="Courier New"/>
          <w:color w:val="1B2A4A"/>
          <w:sz w:val="16"/>
          <w:szCs w:val="16"/>
        </w:rPr>
        <w:t xml:space="preserve">    "hero": "Digital infrastructure REITs — investment vehicles that hold telecommunications towers, fibre networks, data centres, and other digital infrastructure assets — are creating new institutional investment opportunities as digital infrastructure becomes critical national infrastructure. Digital REIT managers, infrastructure fund operators, and tower company investors are all evaluating new market entry opportunities as digital infrastructure assets achieve REIT-eligible status in new markets. GreyRadius helps digital infrastructure investment businesses validate investor demand, structure investment vehicles, and raise capital.",</w:t>
      </w:r>
    </w:p>
    <w:p>
      <w:pPr>
        <w:shd w:fill="F0F0F0" w:val="clear"/>
        <w:spacing w:after="14" w:before="14"/>
        <w:ind w:left="360"/>
      </w:pPr>
      <w:r>
        <w:rPr>
          <w:rFonts w:ascii="Courier New" w:cs="Courier New" w:eastAsia="Courier New" w:hAnsi="Courier New"/>
          <w:color w:val="1B2A4A"/>
          <w:sz w:val="16"/>
          <w:szCs w:val="16"/>
        </w:rPr>
        <w:t xml:space="preserve">    "market_timing": "Digital infrastructure REIT frameworks are being established across Southeast Asia — India's InvIT framework, Singapore's REIT regime, and emerging digital asset REIT structures in Gulf markets are all creating pathways for digital infrastructure investment vehicles that institutional investors are actively seeking.",</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"Digital infrastructure REIT AUM exceeded $200B globally in 2023 growing at 15% annually.",</w:t>
      </w:r>
    </w:p>
    <w:p>
      <w:pPr>
        <w:shd w:fill="F0F0F0" w:val="clear"/>
        <w:spacing w:after="14" w:before="14"/>
        <w:ind w:left="360"/>
      </w:pPr>
      <w:r>
        <w:rPr>
          <w:rFonts w:ascii="Courier New" w:cs="Courier New" w:eastAsia="Courier New" w:hAnsi="Courier New"/>
          <w:color w:val="1B2A4A"/>
          <w:sz w:val="16"/>
          <w:szCs w:val="16"/>
        </w:rPr>
        <w:t xml:space="preserve">      "Telecom tower REITs are the most established digital infrastructure REIT category.",</w:t>
      </w:r>
    </w:p>
    <w:p>
      <w:pPr>
        <w:shd w:fill="F0F0F0" w:val="clear"/>
        <w:spacing w:after="14" w:before="14"/>
        <w:ind w:left="360"/>
      </w:pPr>
      <w:r>
        <w:rPr>
          <w:rFonts w:ascii="Courier New" w:cs="Courier New" w:eastAsia="Courier New" w:hAnsi="Courier New"/>
          <w:color w:val="1B2A4A"/>
          <w:sz w:val="16"/>
          <w:szCs w:val="16"/>
        </w:rPr>
        <w:t xml:space="preserve">      "Data centre REITs are growing fastest as AI infrastructure demand drives data centre valuation.",</w:t>
      </w:r>
    </w:p>
    <w:p>
      <w:pPr>
        <w:shd w:fill="F0F0F0" w:val="clear"/>
        <w:spacing w:after="14" w:before="14"/>
        <w:ind w:left="360"/>
      </w:pPr>
      <w:r>
        <w:rPr>
          <w:rFonts w:ascii="Courier New" w:cs="Courier New" w:eastAsia="Courier New" w:hAnsi="Courier New"/>
          <w:color w:val="1B2A4A"/>
          <w:sz w:val="16"/>
          <w:szCs w:val="16"/>
        </w:rPr>
        <w:t xml:space="preserve">      "Fibre network REITs are emerging as fibre becomes critical national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"REIT regulatory frameworks for digital infrastructure vary — telecom towers, fibre, and data centres may face different REIT eligibility treatment in each market.",</w:t>
      </w:r>
    </w:p>
    <w:p>
      <w:pPr>
        <w:shd w:fill="F0F0F0" w:val="clear"/>
        <w:spacing w:after="14" w:before="14"/>
        <w:ind w:left="360"/>
      </w:pPr>
      <w:r>
        <w:rPr>
          <w:rFonts w:ascii="Courier New" w:cs="Courier New" w:eastAsia="Courier New" w:hAnsi="Courier New"/>
          <w:color w:val="1B2A4A"/>
          <w:sz w:val="16"/>
          <w:szCs w:val="16"/>
        </w:rPr>
        <w:t xml:space="preserve">      "Tenant concentration risk is significant — digital infrastructure REITs often depend on 1-3 major telecom or cloud tenants for the majority of revenue.",</w:t>
      </w:r>
    </w:p>
    <w:p>
      <w:pPr>
        <w:shd w:fill="F0F0F0" w:val="clear"/>
        <w:spacing w:after="14" w:before="14"/>
        <w:ind w:left="360"/>
      </w:pPr>
      <w:r>
        <w:rPr>
          <w:rFonts w:ascii="Courier New" w:cs="Courier New" w:eastAsia="Courier New" w:hAnsi="Courier New"/>
          <w:color w:val="1B2A4A"/>
          <w:sz w:val="16"/>
          <w:szCs w:val="16"/>
        </w:rPr>
        <w:t xml:space="preserve">      "Infrastructure quality and technical specification requirements affect REIT eligibility — not all digital infrastructure assets meet the standards required for institutional REIT investment.",</w:t>
      </w:r>
    </w:p>
    <w:p>
      <w:pPr>
        <w:shd w:fill="F0F0F0" w:val="clear"/>
        <w:spacing w:after="14" w:before="14"/>
        <w:ind w:left="360"/>
      </w:pPr>
      <w:r>
        <w:rPr>
          <w:rFonts w:ascii="Courier New" w:cs="Courier New" w:eastAsia="Courier New" w:hAnsi="Courier New"/>
          <w:color w:val="1B2A4A"/>
          <w:sz w:val="16"/>
          <w:szCs w:val="16"/>
        </w:rPr>
        <w:t xml:space="preserve">      "Liquidity is limited in smaller digital infrastructure REIT markets — thin secondary market trading creates price volatility risk."</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"Digital infrastructure REIT market assessment|You need to understand investor demand and regulatory framework for digital infrastructure REITs in your target market.",</w:t>
      </w:r>
    </w:p>
    <w:p>
      <w:pPr>
        <w:shd w:fill="F0F0F0" w:val="clear"/>
        <w:spacing w:after="14" w:before="14"/>
        <w:ind w:left="360"/>
      </w:pPr>
      <w:r>
        <w:rPr>
          <w:rFonts w:ascii="Courier New" w:cs="Courier New" w:eastAsia="Courier New" w:hAnsi="Courier New"/>
          <w:color w:val="1B2A4A"/>
          <w:sz w:val="16"/>
          <w:szCs w:val="16"/>
        </w:rPr>
        <w:t xml:space="preserve">      "Asset identification and portfolio strategy|You need to identify digital infrastructure assets that meet REIT criteria and yield requirements.",</w:t>
      </w:r>
    </w:p>
    <w:p>
      <w:pPr>
        <w:shd w:fill="F0F0F0" w:val="clear"/>
        <w:spacing w:after="14" w:before="14"/>
        <w:ind w:left="360"/>
      </w:pPr>
      <w:r>
        <w:rPr>
          <w:rFonts w:ascii="Courier New" w:cs="Courier New" w:eastAsia="Courier New" w:hAnsi="Courier New"/>
          <w:color w:val="1B2A4A"/>
          <w:sz w:val="16"/>
          <w:szCs w:val="16"/>
        </w:rPr>
        <w:t xml:space="preserve">      "Investor identification and fundraising|You need to identify institutional investors, infrastructure funds, and digital infrastructure investors.",</w:t>
      </w:r>
    </w:p>
    <w:p>
      <w:pPr>
        <w:shd w:fill="F0F0F0" w:val="clear"/>
        <w:spacing w:after="14" w:before="14"/>
        <w:ind w:left="360"/>
      </w:pPr>
      <w:r>
        <w:rPr>
          <w:rFonts w:ascii="Courier New" w:cs="Courier New" w:eastAsia="Courier New" w:hAnsi="Courier New"/>
          <w:color w:val="1B2A4A"/>
          <w:sz w:val="16"/>
          <w:szCs w:val="16"/>
        </w:rPr>
        <w:t xml:space="preserve">      "Regulatory structure navigation|You need the right REIT or fund legal structure for your target market.",</w:t>
      </w:r>
    </w:p>
    <w:p>
      <w:pPr>
        <w:shd w:fill="F0F0F0" w:val="clear"/>
        <w:spacing w:after="14" w:before="14"/>
        <w:ind w:left="360"/>
      </w:pPr>
      <w:r>
        <w:rPr>
          <w:rFonts w:ascii="Courier New" w:cs="Courier New" w:eastAsia="Courier New" w:hAnsi="Courier New"/>
          <w:color w:val="1B2A4A"/>
          <w:sz w:val="16"/>
          <w:szCs w:val="16"/>
        </w:rPr>
        <w:t xml:space="preserve">      "Tenant demand validation|You need to validate telecom and cloud tenant demand for your infrastructure assets.",</w:t>
      </w:r>
    </w:p>
    <w:p>
      <w:pPr>
        <w:shd w:fill="F0F0F0" w:val="clear"/>
        <w:spacing w:after="14" w:before="14"/>
        <w:ind w:left="360"/>
      </w:pPr>
      <w:r>
        <w:rPr>
          <w:rFonts w:ascii="Courier New" w:cs="Courier New" w:eastAsia="Courier New" w:hAnsi="Courier New"/>
          <w:color w:val="1B2A4A"/>
          <w:sz w:val="16"/>
          <w:szCs w:val="16"/>
        </w:rPr>
        <w:t xml:space="preserve">      "Competitive landscape|You need to understand competing digital infrastructure funds in your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institutional investor demand for digital infrastructure REIT in a new market.",</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digital infrastructure fund formation.",</w:t>
      </w:r>
    </w:p>
    <w:p>
      <w:pPr>
        <w:shd w:fill="F0F0F0" w:val="clear"/>
        <w:spacing w:after="14" w:before="14"/>
        <w:ind w:left="360"/>
      </w:pPr>
      <w:r>
        <w:rPr>
          <w:rFonts w:ascii="Courier New" w:cs="Courier New" w:eastAsia="Courier New" w:hAnsi="Courier New"/>
          <w:color w:val="1B2A4A"/>
          <w:sz w:val="16"/>
          <w:szCs w:val="16"/>
        </w:rPr>
        <w:t xml:space="preserve">      "End-to-end market entry including regulatory structure, asset identification, and investor roadshow.",</w:t>
      </w:r>
    </w:p>
    <w:p>
      <w:pPr>
        <w:shd w:fill="F0F0F0" w:val="clear"/>
        <w:spacing w:after="14" w:before="14"/>
        <w:ind w:left="360"/>
      </w:pPr>
      <w:r>
        <w:rPr>
          <w:rFonts w:ascii="Courier New" w:cs="Courier New" w:eastAsia="Courier New" w:hAnsi="Courier New"/>
          <w:color w:val="1B2A4A"/>
          <w:sz w:val="16"/>
          <w:szCs w:val="16"/>
        </w:rPr>
        <w:t xml:space="preserve">      "GTM for digital infrastructure fund management companies.",</w:t>
      </w:r>
    </w:p>
    <w:p>
      <w:pPr>
        <w:shd w:fill="F0F0F0" w:val="clear"/>
        <w:spacing w:after="14" w:before="14"/>
        <w:ind w:left="360"/>
      </w:pPr>
      <w:r>
        <w:rPr>
          <w:rFonts w:ascii="Courier New" w:cs="Courier New" w:eastAsia="Courier New" w:hAnsi="Courier New"/>
          <w:color w:val="1B2A4A"/>
          <w:sz w:val="16"/>
          <w:szCs w:val="16"/>
        </w:rPr>
        <w:t xml:space="preserve">      "Investor-ready pitch books with asset-yield-validated return projections.",</w:t>
      </w:r>
    </w:p>
    <w:p>
      <w:pPr>
        <w:shd w:fill="F0F0F0" w:val="clear"/>
        <w:spacing w:after="14" w:before="14"/>
        <w:ind w:left="360"/>
      </w:pPr>
      <w:r>
        <w:rPr>
          <w:rFonts w:ascii="Courier New" w:cs="Courier New" w:eastAsia="Courier New" w:hAnsi="Courier New"/>
          <w:color w:val="1B2A4A"/>
          <w:sz w:val="16"/>
          <w:szCs w:val="16"/>
        </w:rPr>
        <w:t xml:space="preserve">      "AI use-case identification in digital infrastructure — from asset performance monitoring to portfolio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tower REITs or also with fibre and data centre funds?|All three.",</w:t>
      </w:r>
    </w:p>
    <w:p>
      <w:pPr>
        <w:shd w:fill="F0F0F0" w:val="clear"/>
        <w:spacing w:after="14" w:before="14"/>
        <w:ind w:left="360"/>
      </w:pPr>
      <w:r>
        <w:rPr>
          <w:rFonts w:ascii="Courier New" w:cs="Courier New" w:eastAsia="Courier New" w:hAnsi="Courier New"/>
          <w:color w:val="1B2A4A"/>
          <w:sz w:val="16"/>
          <w:szCs w:val="16"/>
        </w:rPr>
        <w:t xml:space="preserve">      "What digital infrastructure REIT markets does GreyRadius cover?|Southeast Asia, South Asia, and the Gulf.",</w:t>
      </w:r>
    </w:p>
    <w:p>
      <w:pPr>
        <w:shd w:fill="F0F0F0" w:val="clear"/>
        <w:spacing w:after="14" w:before="14"/>
        <w:ind w:left="360"/>
      </w:pPr>
      <w:r>
        <w:rPr>
          <w:rFonts w:ascii="Courier New" w:cs="Courier New" w:eastAsia="Courier New" w:hAnsi="Courier New"/>
          <w:color w:val="1B2A4A"/>
          <w:sz w:val="16"/>
          <w:szCs w:val="16"/>
        </w:rPr>
        <w:t xml:space="preserve">      "How long does a digital infrastructure REIT market entry engagement take?|Typically 8–12 weeks.",</w:t>
      </w:r>
    </w:p>
    <w:p>
      <w:pPr>
        <w:shd w:fill="F0F0F0" w:val="clear"/>
        <w:spacing w:after="14" w:before="14"/>
        <w:ind w:left="360"/>
      </w:pPr>
      <w:r>
        <w:rPr>
          <w:rFonts w:ascii="Courier New" w:cs="Courier New" w:eastAsia="Courier New" w:hAnsi="Courier New"/>
          <w:color w:val="1B2A4A"/>
          <w:sz w:val="16"/>
          <w:szCs w:val="16"/>
        </w:rPr>
        <w:t xml:space="preserve">      "Can GreyRadius identify institutional investors for digital infrastructure funds?|Yes."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"digital infrastructure REIT market entry, tower fund GTM strategy, data centre REIT consulting, fibre REIT advisory, digital infrastructure fund strategy, tower REIT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w:t>
      </w:r>
    </w:p>
    <w:p>
      <w:pPr>
        <w:shd w:fill="F0F0F0" w:val="clear"/>
        <w:spacing w:after="14" w:before="14"/>
        <w:ind w:left="360"/>
      </w:pPr>
      <w:r>
        <w:rPr>
          <w:rFonts w:ascii="Courier New" w:cs="Courier New" w:eastAsia="Courier New" w:hAnsi="Courier New"/>
          <w:color w:val="1B2A4A"/>
          <w:sz w:val="16"/>
          <w:szCs w:val="16"/>
        </w:rPr>
        <w:t xml:space="preserve">    "stat1n": "$200B+",</w:t>
      </w:r>
    </w:p>
    <w:p>
      <w:pPr>
        <w:shd w:fill="F0F0F0" w:val="clear"/>
        <w:spacing w:after="14" w:before="14"/>
        <w:ind w:left="360"/>
      </w:pPr>
      <w:r>
        <w:rPr>
          <w:rFonts w:ascii="Courier New" w:cs="Courier New" w:eastAsia="Courier New" w:hAnsi="Courier New"/>
          <w:color w:val="1B2A4A"/>
          <w:sz w:val="16"/>
          <w:szCs w:val="16"/>
        </w:rPr>
        <w:t xml:space="preserve">    "stat1l": "Global digital infrastructure REIT AUM",</w:t>
      </w:r>
    </w:p>
    <w:p>
      <w:pPr>
        <w:shd w:fill="F0F0F0" w:val="clear"/>
        <w:spacing w:after="14" w:before="14"/>
        <w:ind w:left="360"/>
      </w:pPr>
      <w:r>
        <w:rPr>
          <w:rFonts w:ascii="Courier New" w:cs="Courier New" w:eastAsia="Courier New" w:hAnsi="Courier New"/>
          <w:color w:val="1B2A4A"/>
          <w:sz w:val="16"/>
          <w:szCs w:val="16"/>
        </w:rPr>
        <w:t xml:space="preserve">    "stat1b": "Growing at 15% annually as telecom towers, fibre networks, and data centres achieve mainstream institutional investment status.",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digital infrastructure mandate",</w:t>
      </w:r>
    </w:p>
    <w:p>
      <w:pPr>
        <w:shd w:fill="F0F0F0" w:val="clear"/>
        <w:spacing w:after="14" w:before="14"/>
        <w:ind w:left="360"/>
      </w:pPr>
      <w:r>
        <w:rPr>
          <w:rFonts w:ascii="Courier New" w:cs="Courier New" w:eastAsia="Courier New" w:hAnsi="Courier New"/>
          <w:color w:val="1B2A4A"/>
          <w:sz w:val="16"/>
          <w:szCs w:val="16"/>
        </w:rPr>
        <w:t xml:space="preserve">    "stat2b": "Institutional investors, telecom tenants, and infrastructure fund managers — every engagement grounded in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investor demand mapping and asset analysis delivers digital infrastructure REIT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"agritech-southeast-asia",</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"agritech",</w:t>
      </w:r>
    </w:p>
    <w:p>
      <w:pPr>
        <w:shd w:fill="F0F0F0" w:val="clear"/>
        <w:spacing w:after="14" w:before="14"/>
        <w:ind w:left="360"/>
      </w:pPr>
      <w:r>
        <w:rPr>
          <w:rFonts w:ascii="Courier New" w:cs="Courier New" w:eastAsia="Courier New" w:hAnsi="Courier New"/>
          <w:color w:val="1B2A4A"/>
          <w:sz w:val="16"/>
          <w:szCs w:val="16"/>
        </w:rPr>
        <w:t xml:space="preserve">    "h1": "Agritech Southeast Asia market entry strategy",</w:t>
      </w:r>
    </w:p>
    <w:p>
      <w:pPr>
        <w:shd w:fill="F0F0F0" w:val="clear"/>
        <w:spacing w:after="14" w:before="14"/>
        <w:ind w:left="360"/>
      </w:pPr>
      <w:r>
        <w:rPr>
          <w:rFonts w:ascii="Courier New" w:cs="Courier New" w:eastAsia="Courier New" w:hAnsi="Courier New"/>
          <w:color w:val="1B2A4A"/>
          <w:sz w:val="16"/>
          <w:szCs w:val="16"/>
        </w:rPr>
        <w:t xml:space="preserve">    "title": "Agritech Southeast Asia Market Entry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agritech companies entering Southeast Asia with market entry strategy, farmer demand validation, distribution partner identification, and fundraising.",</w:t>
      </w:r>
    </w:p>
    <w:p>
      <w:pPr>
        <w:shd w:fill="F0F0F0" w:val="clear"/>
        <w:spacing w:after="14" w:before="14"/>
        <w:ind w:left="360"/>
      </w:pPr>
      <w:r>
        <w:rPr>
          <w:rFonts w:ascii="Courier New" w:cs="Courier New" w:eastAsia="Courier New" w:hAnsi="Courier New"/>
          <w:color w:val="1B2A4A"/>
          <w:sz w:val="16"/>
          <w:szCs w:val="16"/>
        </w:rPr>
        <w:t xml:space="preserve">    "tagline": "From pilot farm to Southeast Asian deployment — strategy for agritech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 is one of the world's most significant agritech markets — with 300 million agricultural workers across Indonesia, Vietnam, Thailand, Philippines, Malaysia, and Myanmar growing rice, palm oil, rubber, aquaculture, and plantation crops that feed the region and the world. Agritech companies that have proven their technology in one market are evaluating regional expansion across ASEAN. GreyRadius helps agritech companies navigate the extraordinary diversity of Southeast Asian agricultural markets with primary farmer research, regulatory mapping,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"market_timing": "Government precision agriculture programmes across ASEAN are creating funded agritech adoption channels — Indonesia's smart farming initiative, Thailand's agricultural digitalisation programme, and Vietnam's high-tech agriculture zones are all creating government-supported demand for agritech solutions.",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Asian agritech market is projected to reach $8B by 2027 growing at 18% annually.",</w:t>
      </w:r>
    </w:p>
    <w:p>
      <w:pPr>
        <w:shd w:fill="F0F0F0" w:val="clear"/>
        <w:spacing w:after="14" w:before="14"/>
        <w:ind w:left="360"/>
      </w:pPr>
      <w:r>
        <w:rPr>
          <w:rFonts w:ascii="Courier New" w:cs="Courier New" w:eastAsia="Courier New" w:hAnsi="Courier New"/>
          <w:color w:val="1B2A4A"/>
          <w:sz w:val="16"/>
          <w:szCs w:val="16"/>
        </w:rPr>
        <w:t xml:space="preserve">      "Rice paddy agriculture technology is the largest single agritech opportunity in Southeast Asia by farmer coverage.",</w:t>
      </w:r>
    </w:p>
    <w:p>
      <w:pPr>
        <w:shd w:fill="F0F0F0" w:val="clear"/>
        <w:spacing w:after="14" w:before="14"/>
        <w:ind w:left="360"/>
      </w:pPr>
      <w:r>
        <w:rPr>
          <w:rFonts w:ascii="Courier New" w:cs="Courier New" w:eastAsia="Courier New" w:hAnsi="Courier New"/>
          <w:color w:val="1B2A4A"/>
          <w:sz w:val="16"/>
          <w:szCs w:val="16"/>
        </w:rPr>
        <w:t xml:space="preserve">      "Aquaculture technology is growing at 25%+ in Southeast Asia as fish and shrimp farming automation advances.",</w:t>
      </w:r>
    </w:p>
    <w:p>
      <w:pPr>
        <w:shd w:fill="F0F0F0" w:val="clear"/>
        <w:spacing w:after="14" w:before="14"/>
        <w:ind w:left="360"/>
      </w:pPr>
      <w:r>
        <w:rPr>
          <w:rFonts w:ascii="Courier New" w:cs="Courier New" w:eastAsia="Courier New" w:hAnsi="Courier New"/>
          <w:color w:val="1B2A4A"/>
          <w:sz w:val="16"/>
          <w:szCs w:val="16"/>
        </w:rPr>
        <w:t xml:space="preserve">      "Government digital agriculture infrastructure is enabling precision agritech adoption across smallholder farmers."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"Agricultural market diversity across ASEAN is extreme — what works for rice farmers in Vietnam may not work for palm oil plantation workers in Malaysia or smallholder aquaculture in Indonesia.",</w:t>
      </w:r>
    </w:p>
    <w:p>
      <w:pPr>
        <w:shd w:fill="F0F0F0" w:val="clear"/>
        <w:spacing w:after="14" w:before="14"/>
        <w:ind w:left="360"/>
      </w:pPr>
      <w:r>
        <w:rPr>
          <w:rFonts w:ascii="Courier New" w:cs="Courier New" w:eastAsia="Courier New" w:hAnsi="Courier New"/>
          <w:color w:val="1B2A4A"/>
          <w:sz w:val="16"/>
          <w:szCs w:val="16"/>
        </w:rPr>
        <w:t xml:space="preserve">      "Smallholder farmer technology adoption varies significantly — literacy, smartphone access, and willingness to pay differ dramatically across different Southeast Asian farming communities.",</w:t>
      </w:r>
    </w:p>
    <w:p>
      <w:pPr>
        <w:shd w:fill="F0F0F0" w:val="clear"/>
        <w:spacing w:after="14" w:before="14"/>
        <w:ind w:left="360"/>
      </w:pPr>
      <w:r>
        <w:rPr>
          <w:rFonts w:ascii="Courier New" w:cs="Courier New" w:eastAsia="Courier New" w:hAnsi="Courier New"/>
          <w:color w:val="1B2A4A"/>
          <w:sz w:val="16"/>
          <w:szCs w:val="16"/>
        </w:rPr>
        <w:t xml:space="preserve">      "Distribution to rural farming communities is complex — reaching farmers across archipelago geographies in Indonesia and Philippines requires different distribution approaches than mainland Vietnam or Thailand.",</w:t>
      </w:r>
    </w:p>
    <w:p>
      <w:pPr>
        <w:shd w:fill="F0F0F0" w:val="clear"/>
        <w:spacing w:after="14" w:before="14"/>
        <w:ind w:left="360"/>
      </w:pPr>
      <w:r>
        <w:rPr>
          <w:rFonts w:ascii="Courier New" w:cs="Courier New" w:eastAsia="Courier New" w:hAnsi="Courier New"/>
          <w:color w:val="1B2A4A"/>
          <w:sz w:val="16"/>
          <w:szCs w:val="16"/>
        </w:rPr>
        <w:t xml:space="preserve">      "Agricultural regulatory frameworks differ across ASEAN — drone registration, chemical application regulations, and data sovereignty rules all vary by country."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Asian market prioritisation|Which ASEAN market to enter first based on crop coverage, technology adoption, and regulatory environment.",</w:t>
      </w:r>
    </w:p>
    <w:p>
      <w:pPr>
        <w:shd w:fill="F0F0F0" w:val="clear"/>
        <w:spacing w:after="14" w:before="14"/>
        <w:ind w:left="360"/>
      </w:pPr>
      <w:r>
        <w:rPr>
          <w:rFonts w:ascii="Courier New" w:cs="Courier New" w:eastAsia="Courier New" w:hAnsi="Courier New"/>
          <w:color w:val="1B2A4A"/>
          <w:sz w:val="16"/>
          <w:szCs w:val="16"/>
        </w:rPr>
        <w:t xml:space="preserve">      "Country-specific farmer demand validation|Primary research with farmers in priority markets.",</w:t>
      </w:r>
    </w:p>
    <w:p>
      <w:pPr>
        <w:shd w:fill="F0F0F0" w:val="clear"/>
        <w:spacing w:after="14" w:before="14"/>
        <w:ind w:left="360"/>
      </w:pPr>
      <w:r>
        <w:rPr>
          <w:rFonts w:ascii="Courier New" w:cs="Courier New" w:eastAsia="Courier New" w:hAnsi="Courier New"/>
          <w:color w:val="1B2A4A"/>
          <w:sz w:val="16"/>
          <w:szCs w:val="16"/>
        </w:rPr>
        <w:t xml:space="preserve">      "Distribution and cooperative partner identification|Agri cooperative, input dealer, and government extension programme partners.",</w:t>
      </w:r>
    </w:p>
    <w:p>
      <w:pPr>
        <w:shd w:fill="F0F0F0" w:val="clear"/>
        <w:spacing w:after="14" w:before="14"/>
        <w:ind w:left="360"/>
      </w:pPr>
      <w:r>
        <w:rPr>
          <w:rFonts w:ascii="Courier New" w:cs="Courier New" w:eastAsia="Courier New" w:hAnsi="Courier New"/>
          <w:color w:val="1B2A4A"/>
          <w:sz w:val="16"/>
          <w:szCs w:val="16"/>
        </w:rPr>
        <w:t xml:space="preserve">      "Southeast Asia GTM strategy|Country-by-country farmer and agribusiness acquisition plan.",</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expansion|Investor-ready projections grounded in regional market data.",</w:t>
      </w:r>
    </w:p>
    <w:p>
      <w:pPr>
        <w:shd w:fill="F0F0F0" w:val="clear"/>
        <w:spacing w:after="14" w:before="14"/>
        <w:ind w:left="360"/>
      </w:pPr>
      <w:r>
        <w:rPr>
          <w:rFonts w:ascii="Courier New" w:cs="Courier New" w:eastAsia="Courier New" w:hAnsi="Courier New"/>
          <w:color w:val="1B2A4A"/>
          <w:sz w:val="16"/>
          <w:szCs w:val="16"/>
        </w:rPr>
        <w:t xml:space="preserve">      "Regulatory mapping|Country-specific drone, data, and agricultural technology regulations."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farmer demand across priority Southeast Asian markets with primary research.",</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ASEAN agritech expansion.",</w:t>
      </w:r>
    </w:p>
    <w:p>
      <w:pPr>
        <w:shd w:fill="F0F0F0" w:val="clear"/>
        <w:spacing w:after="14" w:before="14"/>
        <w:ind w:left="360"/>
      </w:pPr>
      <w:r>
        <w:rPr>
          <w:rFonts w:ascii="Courier New" w:cs="Courier New" w:eastAsia="Courier New" w:hAnsi="Courier New"/>
          <w:color w:val="1B2A4A"/>
          <w:sz w:val="16"/>
          <w:szCs w:val="16"/>
        </w:rPr>
        <w:t xml:space="preserve">      "End-to-end market entry including distribution partner identification across ASEAN.",</w:t>
      </w:r>
    </w:p>
    <w:p>
      <w:pPr>
        <w:shd w:fill="F0F0F0" w:val="clear"/>
        <w:spacing w:after="14" w:before="14"/>
        <w:ind w:left="360"/>
      </w:pPr>
      <w:r>
        <w:rPr>
          <w:rFonts w:ascii="Courier New" w:cs="Courier New" w:eastAsia="Courier New" w:hAnsi="Courier New"/>
          <w:color w:val="1B2A4A"/>
          <w:sz w:val="16"/>
          <w:szCs w:val="16"/>
        </w:rPr>
        <w:t xml:space="preserve">      "Embedded GTM team for Southeast Asia agritech farmer and cooperative acquisition.",</w:t>
      </w:r>
    </w:p>
    <w:p>
      <w:pPr>
        <w:shd w:fill="F0F0F0" w:val="clear"/>
        <w:spacing w:after="14" w:before="14"/>
        <w:ind w:left="360"/>
      </w:pPr>
      <w:r>
        <w:rPr>
          <w:rFonts w:ascii="Courier New" w:cs="Courier New" w:eastAsia="Courier New" w:hAnsi="Courier New"/>
          <w:color w:val="1B2A4A"/>
          <w:sz w:val="16"/>
          <w:szCs w:val="16"/>
        </w:rPr>
        <w:t xml:space="preserve">      "Investor-ready pitch books with ASEAN-market-validated projections.",</w:t>
      </w:r>
    </w:p>
    <w:p>
      <w:pPr>
        <w:shd w:fill="F0F0F0" w:val="clear"/>
        <w:spacing w:after="14" w:before="14"/>
        <w:ind w:left="360"/>
      </w:pPr>
      <w:r>
        <w:rPr>
          <w:rFonts w:ascii="Courier New" w:cs="Courier New" w:eastAsia="Courier New" w:hAnsi="Courier New"/>
          <w:color w:val="1B2A4A"/>
          <w:sz w:val="16"/>
          <w:szCs w:val="16"/>
        </w:rPr>
        <w:t xml:space="preserve">      "AI use-case identification — from crop disease detection to precision irrigation across Southeast Asian crop types."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"Which Southeast Asian markets does GreyRadius prioritise for agritech?|Indonesia, Vietnam, Thailand, and the Philippines as primary markets.",</w:t>
      </w:r>
    </w:p>
    <w:p>
      <w:pPr>
        <w:shd w:fill="F0F0F0" w:val="clear"/>
        <w:spacing w:after="14" w:before="14"/>
        <w:ind w:left="360"/>
      </w:pPr>
      <w:r>
        <w:rPr>
          <w:rFonts w:ascii="Courier New" w:cs="Courier New" w:eastAsia="Courier New" w:hAnsi="Courier New"/>
          <w:color w:val="1B2A4A"/>
          <w:sz w:val="16"/>
          <w:szCs w:val="16"/>
        </w:rPr>
        <w:t xml:space="preserve">      "Does GreyRadius work with crop agritech or also with livestock and aquaculture technology?|All three.",</w:t>
      </w:r>
    </w:p>
    <w:p>
      <w:pPr>
        <w:shd w:fill="F0F0F0" w:val="clear"/>
        <w:spacing w:after="14" w:before="14"/>
        <w:ind w:left="360"/>
      </w:pPr>
      <w:r>
        <w:rPr>
          <w:rFonts w:ascii="Courier New" w:cs="Courier New" w:eastAsia="Courier New" w:hAnsi="Courier New"/>
          <w:color w:val="1B2A4A"/>
          <w:sz w:val="16"/>
          <w:szCs w:val="16"/>
        </w:rPr>
        <w:t xml:space="preserve">      "How long does a Southeast Asia agritech entry engagement take?|Typically 8–12 weeks for multi-market research.",</w:t>
      </w:r>
    </w:p>
    <w:p>
      <w:pPr>
        <w:shd w:fill="F0F0F0" w:val="clear"/>
        <w:spacing w:after="14" w:before="14"/>
        <w:ind w:left="360"/>
      </w:pPr>
      <w:r>
        <w:rPr>
          <w:rFonts w:ascii="Courier New" w:cs="Courier New" w:eastAsia="Courier New" w:hAnsi="Courier New"/>
          <w:color w:val="1B2A4A"/>
          <w:sz w:val="16"/>
          <w:szCs w:val="16"/>
        </w:rPr>
        <w:t xml:space="preserve">      "Can GreyRadius identify government agritech programme access in Southeast Asia?|Yes."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"agritech Southeast Asia market entry, ASEAN agritech GTM strategy, Southeast Asia precision agriculture consulting, ASEAN farming technology advisory, agritech ASEAN strategy",</w:t>
      </w:r>
    </w:p>
    <w:p>
      <w:pPr>
        <w:shd w:fill="F0F0F0" w:val="clear"/>
        <w:spacing w:after="14" w:before="14"/>
        <w:ind w:left="360"/>
      </w:pPr>
      <w:r>
        <w:rPr>
          <w:rFonts w:ascii="Courier New" w:cs="Courier New" w:eastAsia="Courier New" w:hAnsi="Courier New"/>
          <w:color w:val="1B2A4A"/>
          <w:sz w:val="16"/>
          <w:szCs w:val="16"/>
        </w:rPr>
        <w:t xml:space="preserve">    "regions": "Indonesia, Vietnam, Thailand, Philippines, Malaysia",</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"Southeast Asian agritech market by 2027",</w:t>
      </w:r>
    </w:p>
    <w:p>
      <w:pPr>
        <w:shd w:fill="F0F0F0" w:val="clear"/>
        <w:spacing w:after="14" w:before="14"/>
        <w:ind w:left="360"/>
      </w:pPr>
      <w:r>
        <w:rPr>
          <w:rFonts w:ascii="Courier New" w:cs="Courier New" w:eastAsia="Courier New" w:hAnsi="Courier New"/>
          <w:color w:val="1B2A4A"/>
          <w:sz w:val="16"/>
          <w:szCs w:val="16"/>
        </w:rPr>
        <w:t xml:space="preserve">    "stat1b": "Growing at 18% annually as government precision agriculture programmes and digital infrastructure reach smallholder farmers.",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agritech mandate",</w:t>
      </w:r>
    </w:p>
    <w:p>
      <w:pPr>
        <w:shd w:fill="F0F0F0" w:val="clear"/>
        <w:spacing w:after="14" w:before="14"/>
        <w:ind w:left="360"/>
      </w:pPr>
      <w:r>
        <w:rPr>
          <w:rFonts w:ascii="Courier New" w:cs="Courier New" w:eastAsia="Courier New" w:hAnsi="Courier New"/>
          <w:color w:val="1B2A4A"/>
          <w:sz w:val="16"/>
          <w:szCs w:val="16"/>
        </w:rPr>
        <w:t xml:space="preserve">    "stat2b": "Farmers, agricultural cooperatives, and government programme officials across multiple ASEAN countries.",</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multi-market farmer demand research delivers Southeast Asia agritech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Phase 1 complete — 180 pages</w:t>
      </w:r>
    </w:p>
    <w:p>
      <w:pPr>
        <w:spacing w:after="60" w:before="60"/>
      </w:pPr>
      <w:r>
        <w:rPr>
          <w:rFonts w:ascii="Arial" w:cs="Arial" w:eastAsia="Arial" w:hAnsi="Arial"/>
          <w:color w:val="222222"/>
          <w:sz w:val="20"/>
          <w:szCs w:val="20"/>
        </w:rPr>
        <w:t xml:space="preserve">The GreyRadius SEO architecture Phase 1 is complete at 180 pages. For Phase 2 targeting 300-400 pages, start Batch 9 covering:</w:t>
      </w:r>
    </w:p>
    <w:p>
      <w:pPr>
        <w:pStyle w:val="ListParagraph"/>
        <w:numPr>
          <w:ilvl w:val="0"/>
          <w:numId w:val="2"/>
        </w:numPr>
        <w:spacing w:after="40" w:before="40"/>
      </w:pPr>
      <w:r>
        <w:rPr>
          <w:rFonts w:ascii="Arial" w:cs="Arial" w:eastAsia="Arial" w:hAnsi="Arial"/>
          <w:color w:val="222222"/>
          <w:sz w:val="20"/>
          <w:szCs w:val="20"/>
        </w:rPr>
        <w:t xml:space="preserve">Regional sector-specific entry guides: India fintech, India healthtech, Southeast Asia FMCG, Gulf technology</w:t>
      </w:r>
    </w:p>
    <w:p>
      <w:pPr>
        <w:pStyle w:val="ListParagraph"/>
        <w:numPr>
          <w:ilvl w:val="0"/>
          <w:numId w:val="2"/>
        </w:numPr>
        <w:spacing w:after="40" w:before="40"/>
      </w:pPr>
      <w:r>
        <w:rPr>
          <w:rFonts w:ascii="Arial" w:cs="Arial" w:eastAsia="Arial" w:hAnsi="Arial"/>
          <w:color w:val="222222"/>
          <w:sz w:val="20"/>
          <w:szCs w:val="20"/>
        </w:rPr>
        <w:t xml:space="preserve">Emerging sub-sectors: Community solar, Battery-as-a-Service, Digital infrastructure REIT, Agritech Southeast Asia, Islamic education, Sports tech, GovTech</w:t>
      </w:r>
    </w:p>
    <w:p>
      <w:pPr>
        <w:pStyle w:val="ListParagraph"/>
        <w:numPr>
          <w:ilvl w:val="0"/>
          <w:numId w:val="2"/>
        </w:numPr>
        <w:spacing w:after="40" w:before="40"/>
      </w:pPr>
      <w:r>
        <w:rPr>
          <w:rFonts w:ascii="Arial" w:cs="Arial" w:eastAsia="Arial" w:hAnsi="Arial"/>
          <w:color w:val="222222"/>
          <w:sz w:val="20"/>
          <w:szCs w:val="20"/>
        </w:rPr>
        <w:t xml:space="preserve">High-intent long-tail: Market entry feasibility studies by country, sector-specific JV partnership guides</w:t>
      </w:r>
    </w:p>
    <w:p>
      <w:pPr>
        <w:spacing w:before="400"/>
      </w:pPr>
      <w:r>
        <w:rPr>
          <w:rFonts w:ascii="Arial" w:cs="Arial" w:eastAsia="Arial" w:hAnsi="Arial"/>
          <w:i/>
          <w:iCs/>
          <w:color w:val="666666"/>
          <w:sz w:val="16"/>
          <w:szCs w:val="16"/>
        </w:rPr>
        <w:t xml:space="preserve">GreyRadius Consulting | SEO Build Pack Batch 678c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2026-06-03T05:09:46.779Z</dcterms:created>
  <dcterms:modified xsi:type="dcterms:W3CDTF">2026-06-03T05:09:46.780Z</dcterms:modified>
</cp:coreProperties>
</file>

<file path=docProps/custom.xml><?xml version="1.0" encoding="utf-8"?>
<Properties xmlns="http://schemas.openxmlformats.org/officeDocument/2006/custom-properties" xmlns:vt="http://schemas.openxmlformats.org/officeDocument/2006/docPropsVTypes"/>
</file>