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National Reach Was Not the Same as Market Access</w:t>
      </w:r>
    </w:p>
    <w:p>
      <w:pPr>
        <w:jc w:val="center"/>
      </w:pPr>
      <w:r>
        <w:rPr>
          <w:i/>
          <w:sz w:val="22"/>
        </w:rPr>
        <w:t>How GreyRadius helped an international consumer brand shift from nationwide distributor-led entry to an SKU-first, channel-specific and geography-sequenced launch in Indonesia.</w:t>
      </w:r>
    </w:p>
    <w:p/>
    <w:p>
      <w:pPr>
        <w:pStyle w:val="Heading1"/>
      </w:pPr>
      <w:r>
        <w:t>Context</w:t>
      </w:r>
    </w:p>
    <w:p>
      <w:r>
        <w:t>An international consumer brand was preparing to enter Indonesia.</w:t>
      </w:r>
    </w:p>
    <w:p>
      <w:r>
        <w:t>The market opportunity was attractive. The immediate commercial question appeared to be straightforward: appoint a distributor with sufficient national reach, establish channel access, and launch.</w:t>
      </w:r>
    </w:p>
    <w:p>
      <w:r>
        <w:t>But Indonesia did not behave like one distribution market.</w:t>
      </w:r>
    </w:p>
    <w:p>
      <w:r>
        <w:t>Modern trade, traditional trade, distributor capabilities and route-to-market economics varied materially across commercial clusters and islands. Logistics complexity added another layer: theoretical national coverage did not necessarily translate into reliable product availability at the outlets that mattered.</w:t>
      </w:r>
    </w:p>
    <w:p>
      <w:r>
        <w:t>That created a critical entry risk.</w:t>
      </w:r>
    </w:p>
    <w:p>
      <w:r>
        <w:t>A distributor could appear strong at the national level while being weak in the specific channels or geographies required for the first SKU. Expanding too broadly at launch could also increase distribution costs and inventory exposure before the company had validated where demand could convert into revenue.</w:t>
      </w:r>
    </w:p>
    <w:p>
      <w:r>
        <w:t>The challenge was therefore not simply entering Indonesia.</w:t>
      </w:r>
    </w:p>
    <w:p>
      <w:r>
        <w:t>It was determining how much of Indonesia the company needed to enter first.</w:t>
      </w:r>
    </w:p>
    <w:p>
      <w:pPr>
        <w:pStyle w:val="Heading1"/>
      </w:pPr>
      <w:r>
        <w:t>The Core Challenge</w:t>
      </w:r>
    </w:p>
    <w:p>
      <w:r>
        <w:t>The surface problem was distributor selection.</w:t>
      </w:r>
    </w:p>
    <w:p>
      <w:r>
        <w:t>Leadership needed a partner capable of putting the product into market and supporting the initial launch. National reach naturally appeared to be an important selection criterion.</w:t>
      </w:r>
    </w:p>
    <w:p>
      <w:r>
        <w:t>The structural issue was different.</w:t>
      </w:r>
    </w:p>
    <w:p>
      <w:r>
        <w:t>The entry model assumed that distribution scale should precede commercial validation.</w:t>
      </w:r>
    </w:p>
    <w:p>
      <w:r>
        <w:t>That assumption created scaling friction before the business had established product-channel fit. Modern and traditional trade were being treated primarily as distribution routes rather than different commercial systems with distinct consumers, economics, coverage requirements and execution dependencies.</w:t>
      </w:r>
    </w:p>
    <w:p>
      <w:r>
        <w:t>Geographic expansion carried the same problem. Broad coverage could create the appearance of market presence while spreading inventory, management attention and distributor effort across locations that had not yet demonstrated sufficient commercial value.</w:t>
      </w:r>
    </w:p>
    <w:p>
      <w:r>
        <w:t>The risk was not only inefficient distribution.</w:t>
      </w:r>
    </w:p>
    <w:p>
      <w:r>
        <w:t>It was losing visibility into what was actually working.</w:t>
      </w:r>
    </w:p>
    <w:p>
      <w:r>
        <w:t>If the first SKU underperformed, leadership would struggle to distinguish between weak demand, poor channel selection, insufficient distributor capability, geographic dispersion or route-to-market economics.</w:t>
      </w:r>
    </w:p>
    <w:p>
      <w:r>
        <w:t>A nationwide launch would increase reach while reducing the clarity needed to make the next decision.</w:t>
      </w:r>
    </w:p>
    <w:p>
      <w:pPr>
        <w:pStyle w:val="Heading1"/>
      </w:pPr>
      <w:r>
        <w:t>The Decision Shift</w:t>
      </w:r>
    </w:p>
    <w:p>
      <w:r>
        <w:t>The company stopped treating Indonesia entry as a national distribution problem and started treating it as a sequence of commercial validation decisions.</w:t>
      </w:r>
    </w:p>
    <w:p>
      <w:pPr>
        <w:spacing w:before="120" w:after="160"/>
        <w:ind w:left="360" w:right="360"/>
      </w:pPr>
      <w:r>
        <w:rPr>
          <w:b/>
          <w:sz w:val="22"/>
        </w:rPr>
        <w:t>From nationwide distributor-led entry → to SKU-first, channel-specific and geography-sequenced market entry.</w:t>
      </w:r>
    </w:p>
    <w:p>
      <w:r>
        <w:t>National reach was no longer the primary indicator of distributor quality. What mattered was whether a partner could create effective availability for the priority SKU within the right channel and commercial cluster.</w:t>
      </w:r>
    </w:p>
    <w:p>
      <w:r>
        <w:t>The role of modern versus traditional trade was also reframed.</w:t>
      </w:r>
    </w:p>
    <w:p>
      <w:r>
        <w:rPr>
          <w:i/>
        </w:rPr>
        <w:t>The question was no longer, “Which channel gives us the widest distribution?”</w:t>
      </w:r>
    </w:p>
    <w:p>
      <w:r>
        <w:rPr>
          <w:i/>
        </w:rPr>
        <w:t>It became, “Which channel gives this SKU the strongest combination of consumer access, route-to-market economics and execution feasibility?”</w:t>
      </w:r>
    </w:p>
    <w:p>
      <w:r>
        <w:t>Geographic scale would follow evidence rather than precede it.</w:t>
      </w:r>
    </w:p>
    <w:p>
      <w:r>
        <w:t>Most importantly, first-SKU revenue became a commercial validation gate. Portfolio and geographic expansion would no longer be justified primarily by market potential. They would depend on evidence that the initial route to market could convert distribution into revenue.</w:t>
      </w:r>
    </w:p>
    <w:p>
      <w:pPr>
        <w:pStyle w:val="Heading1"/>
      </w:pPr>
      <w:r>
        <w:t>What Changed in Execution</w:t>
      </w:r>
    </w:p>
    <w:p>
      <w:r>
        <w:t>Distributor accountability shifted from claimed national coverage to demonstrated channel and island-level capability.</w:t>
      </w:r>
    </w:p>
    <w:p>
      <w:r>
        <w:t>This created clearer execution visibility. Distributor selection could be tied to where the priority SKU actually needed to win rather than how large a partner's overall footprint appeared.</w:t>
      </w:r>
    </w:p>
    <w:p>
      <w:r>
        <w:t>Channel roles became SKU-specific.</w:t>
      </w:r>
    </w:p>
    <w:p>
      <w:r>
        <w:t>Modern and traditional trade were assessed against the target consumer, availability requirements and route-to-market economics instead of being treated as interchangeable paths to coverage.</w:t>
      </w:r>
    </w:p>
    <w:p>
      <w:r>
        <w:t>Geographic expansion became sequenced.</w:t>
      </w:r>
    </w:p>
    <w:p>
      <w:r>
        <w:t>Initial distribution was concentrated in priority commercial clusters, allowing management attention, distributor effort and inventory to remain focused during the highest-uncertainty stage of entry.</w:t>
      </w:r>
    </w:p>
    <w:p>
      <w:r>
        <w:t>The operating logic also changed.</w:t>
      </w:r>
    </w:p>
    <w:p>
      <w:r>
        <w:t>Sell-in and first-SKU revenue became decision gates. Wider geographic coverage and portfolio expansion would follow demonstrated commercial traction rather than an assumed national rollout timetable.</w:t>
      </w:r>
    </w:p>
    <w:p>
      <w:r>
        <w:t>This reduced the number of variables being scaled simultaneously.</w:t>
      </w:r>
    </w:p>
    <w:p>
      <w:pPr>
        <w:pStyle w:val="Heading1"/>
      </w:pPr>
      <w:r>
        <w:t>Business Impact Delivered</w:t>
      </w:r>
    </w:p>
    <w:p>
      <w:r>
        <w:t>The revised entry model reduced distribution risk by making expansion conditional on commercial evidence.</w:t>
      </w:r>
    </w:p>
    <w:p>
      <w:r>
        <w:t>Launch resources became more concentrated. Distributor performance became easier to evaluate. Channel economics became more visible before wider investment.</w:t>
      </w:r>
    </w:p>
    <w:p>
      <w:r>
        <w:t>The business also gained a clearer path to first revenue.</w:t>
      </w:r>
    </w:p>
    <w:p>
      <w:r>
        <w:t>Rather than building national distribution infrastructure before proving the commercial model, the company could validate one SKU through the most relevant channel and geography, then use that evidence to guide the next expansion decision.</w:t>
      </w:r>
    </w:p>
    <w:p>
      <w:r>
        <w:t>This improved operating clarity without limiting long-term ambition.</w:t>
      </w:r>
    </w:p>
    <w:p>
      <w:r>
        <w:t>The objective remained scale across Indonesia. What changed was the sequence through which scale would be earned.</w:t>
      </w:r>
    </w:p>
    <w:p>
      <w:pPr>
        <w:pStyle w:val="Heading1"/>
      </w:pPr>
      <w:r>
        <w:t>Key Outcomes</w:t>
      </w:r>
    </w:p>
    <w:p>
      <w:pPr>
        <w:pStyle w:val="ListBullet"/>
      </w:pPr>
      <w:r>
        <w:rPr>
          <w:b/>
        </w:rPr>
        <w:t>1 priority SKU</w:t>
      </w:r>
      <w:r>
        <w:t xml:space="preserve"> established as the initial market-validation unit.</w:t>
      </w:r>
    </w:p>
    <w:p>
      <w:pPr>
        <w:pStyle w:val="ListBullet"/>
      </w:pPr>
      <w:r>
        <w:rPr>
          <w:b/>
        </w:rPr>
        <w:t>2 core channel routes</w:t>
      </w:r>
      <w:r>
        <w:t xml:space="preserve"> — modern trade and traditional trade — assessed against SKU, consumer and route-to-market economics.</w:t>
      </w:r>
    </w:p>
    <w:p>
      <w:pPr>
        <w:pStyle w:val="ListBullet"/>
      </w:pPr>
      <w:r>
        <w:rPr>
          <w:b/>
        </w:rPr>
        <w:t>Distributor selection</w:t>
      </w:r>
      <w:r>
        <w:t xml:space="preserve"> shifted from national reach to channel and island-level execution capability.</w:t>
      </w:r>
    </w:p>
    <w:p>
      <w:pPr>
        <w:pStyle w:val="ListBullet"/>
      </w:pPr>
      <w:r>
        <w:rPr>
          <w:b/>
        </w:rPr>
        <w:t>Initial distribution</w:t>
      </w:r>
      <w:r>
        <w:t xml:space="preserve"> concentrated in priority commercial clusters before broader island expansion.</w:t>
      </w:r>
    </w:p>
    <w:p>
      <w:pPr>
        <w:pStyle w:val="ListBullet"/>
      </w:pPr>
      <w:r>
        <w:rPr>
          <w:b/>
        </w:rPr>
        <w:t>First-SKU revenue</w:t>
      </w:r>
      <w:r>
        <w:t xml:space="preserve"> established as the commercial milestone before wider geographic and portfolio rollout.</w:t>
      </w:r>
    </w:p>
    <w:p>
      <w:r>
        <w:t>In fragmented markets, distribution scale can create false confidence. A product can be present nationally without having proved that the route to market works commercially.</w:t>
      </w:r>
    </w:p>
    <w:p>
      <w:pPr>
        <w:keepNext/>
        <w:spacing w:before="160"/>
      </w:pPr>
      <w:r>
        <w:rPr>
          <w:b/>
          <w:i/>
        </w:rPr>
        <w:t>The strongest market-entry model is not always the one that reaches the most territory first. It is the one that creates enough evidence to know where scale should go next.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GreyRadius Consulting | Executive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