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71F8D" w14:textId="77777777" w:rsidR="00F75481" w:rsidRDefault="00000000">
      <w:pPr>
        <w:jc w:val="center"/>
      </w:pPr>
      <w:r>
        <w:rPr>
          <w:b/>
          <w:color w:val="132846"/>
          <w:sz w:val="52"/>
        </w:rPr>
        <w:t>Charged</w:t>
      </w:r>
    </w:p>
    <w:p w14:paraId="1DE2645A" w14:textId="77777777" w:rsidR="00F75481" w:rsidRDefault="00000000">
      <w:pPr>
        <w:jc w:val="center"/>
      </w:pPr>
      <w:proofErr w:type="spellStart"/>
      <w:r>
        <w:rPr>
          <w:color w:val="6F716F"/>
          <w:sz w:val="20"/>
        </w:rPr>
        <w:t>GreyRadius</w:t>
      </w:r>
      <w:proofErr w:type="spellEnd"/>
      <w:r>
        <w:rPr>
          <w:color w:val="6F716F"/>
          <w:sz w:val="20"/>
        </w:rPr>
        <w:t xml:space="preserve"> | Weekly EV &amp; Battery Intelligence | June 22–28, 2026</w:t>
      </w:r>
    </w:p>
    <w:p w14:paraId="11309B8D" w14:textId="77777777" w:rsidR="00F75481" w:rsidRDefault="00000000">
      <w:pPr>
        <w:pStyle w:val="Heading1"/>
      </w:pPr>
      <w:r>
        <w:t>Executive Highlights</w:t>
      </w:r>
    </w:p>
    <w:tbl>
      <w:tblPr>
        <w:tblStyle w:val="TableGrid"/>
        <w:tblW w:w="0" w:type="auto"/>
        <w:jc w:val="center"/>
        <w:tblLook w:val="04A0" w:firstRow="1" w:lastRow="0" w:firstColumn="1" w:lastColumn="0" w:noHBand="0" w:noVBand="1"/>
      </w:tblPr>
      <w:tblGrid>
        <w:gridCol w:w="5184"/>
        <w:gridCol w:w="5184"/>
      </w:tblGrid>
      <w:tr w:rsidR="00F75481" w14:paraId="18A7EFBA" w14:textId="77777777">
        <w:trPr>
          <w:jc w:val="center"/>
        </w:trPr>
        <w:tc>
          <w:tcPr>
            <w:tcW w:w="5184" w:type="dxa"/>
          </w:tcPr>
          <w:p w14:paraId="10CC354F" w14:textId="77777777" w:rsidR="00F75481" w:rsidRDefault="00000000">
            <w:r>
              <w:rPr>
                <w:b/>
              </w:rPr>
              <w:t>Region</w:t>
            </w:r>
          </w:p>
        </w:tc>
        <w:tc>
          <w:tcPr>
            <w:tcW w:w="5184" w:type="dxa"/>
          </w:tcPr>
          <w:p w14:paraId="0525DD50" w14:textId="77777777" w:rsidR="00F75481" w:rsidRDefault="00000000">
            <w:r>
              <w:rPr>
                <w:b/>
              </w:rPr>
              <w:t>Highlight</w:t>
            </w:r>
          </w:p>
        </w:tc>
      </w:tr>
      <w:tr w:rsidR="00F75481" w14:paraId="0119E0E3" w14:textId="77777777">
        <w:trPr>
          <w:jc w:val="center"/>
        </w:trPr>
        <w:tc>
          <w:tcPr>
            <w:tcW w:w="5184" w:type="dxa"/>
          </w:tcPr>
          <w:p w14:paraId="7DA465BE" w14:textId="77777777" w:rsidR="00F75481" w:rsidRDefault="00000000">
            <w:r>
              <w:t>India</w:t>
            </w:r>
          </w:p>
        </w:tc>
        <w:tc>
          <w:tcPr>
            <w:tcW w:w="5184" w:type="dxa"/>
          </w:tcPr>
          <w:p w14:paraId="26E02C8D" w14:textId="3C8B6740" w:rsidR="00F75481" w:rsidRDefault="00000000">
            <w:r>
              <w:t>Tata Motors PV set FY31 growth targets backed by EV/CNG portfolio expansion</w:t>
            </w:r>
          </w:p>
        </w:tc>
      </w:tr>
      <w:tr w:rsidR="00F75481" w14:paraId="36A6DE5C" w14:textId="77777777">
        <w:trPr>
          <w:jc w:val="center"/>
        </w:trPr>
        <w:tc>
          <w:tcPr>
            <w:tcW w:w="5184" w:type="dxa"/>
          </w:tcPr>
          <w:p w14:paraId="58D518C3" w14:textId="77777777" w:rsidR="00F75481" w:rsidRDefault="00000000">
            <w:r>
              <w:t>China</w:t>
            </w:r>
          </w:p>
        </w:tc>
        <w:tc>
          <w:tcPr>
            <w:tcW w:w="5184" w:type="dxa"/>
          </w:tcPr>
          <w:p w14:paraId="0223E8CE" w14:textId="4B04E4C8" w:rsidR="00F75481" w:rsidRDefault="00000000">
            <w:r>
              <w:t>CATL pushed sodium-ion batteries into commercial energy storage and near-term EV deployment</w:t>
            </w:r>
          </w:p>
        </w:tc>
      </w:tr>
      <w:tr w:rsidR="00F75481" w14:paraId="27796269" w14:textId="77777777">
        <w:trPr>
          <w:jc w:val="center"/>
        </w:trPr>
        <w:tc>
          <w:tcPr>
            <w:tcW w:w="5184" w:type="dxa"/>
          </w:tcPr>
          <w:p w14:paraId="3AAD39C1" w14:textId="77777777" w:rsidR="00F75481" w:rsidRDefault="00000000">
            <w:r>
              <w:t>Europe</w:t>
            </w:r>
          </w:p>
        </w:tc>
        <w:tc>
          <w:tcPr>
            <w:tcW w:w="5184" w:type="dxa"/>
          </w:tcPr>
          <w:p w14:paraId="228D72CA" w14:textId="15C9A107" w:rsidR="00F75481" w:rsidRDefault="00000000">
            <w:r>
              <w:t>Nissan–Valeo and Volkswagen–Elli advanced bidirectional charging/V2G commercialization</w:t>
            </w:r>
          </w:p>
        </w:tc>
      </w:tr>
      <w:tr w:rsidR="00F75481" w14:paraId="285228C2" w14:textId="77777777">
        <w:trPr>
          <w:jc w:val="center"/>
        </w:trPr>
        <w:tc>
          <w:tcPr>
            <w:tcW w:w="5184" w:type="dxa"/>
          </w:tcPr>
          <w:p w14:paraId="76C1245E" w14:textId="77777777" w:rsidR="00F75481" w:rsidRDefault="00000000">
            <w:r>
              <w:t>Europe</w:t>
            </w:r>
          </w:p>
        </w:tc>
        <w:tc>
          <w:tcPr>
            <w:tcW w:w="5184" w:type="dxa"/>
          </w:tcPr>
          <w:p w14:paraId="6A9D1C43" w14:textId="7333513F" w:rsidR="00F75481" w:rsidRDefault="00000000">
            <w:proofErr w:type="spellStart"/>
            <w:r>
              <w:t>PowerCo</w:t>
            </w:r>
            <w:proofErr w:type="spellEnd"/>
            <w:r>
              <w:t xml:space="preserve"> selected </w:t>
            </w:r>
            <w:proofErr w:type="spellStart"/>
            <w:r>
              <w:t>OCSiAl</w:t>
            </w:r>
            <w:proofErr w:type="spellEnd"/>
            <w:r>
              <w:t xml:space="preserve"> nanotubes for its Unified Cell battery platform</w:t>
            </w:r>
          </w:p>
        </w:tc>
      </w:tr>
      <w:tr w:rsidR="00F75481" w14:paraId="741C3F14" w14:textId="77777777">
        <w:trPr>
          <w:jc w:val="center"/>
        </w:trPr>
        <w:tc>
          <w:tcPr>
            <w:tcW w:w="5184" w:type="dxa"/>
          </w:tcPr>
          <w:p w14:paraId="72F25BF6" w14:textId="77777777" w:rsidR="00F75481" w:rsidRDefault="00000000">
            <w:r>
              <w:t>U.S.</w:t>
            </w:r>
          </w:p>
        </w:tc>
        <w:tc>
          <w:tcPr>
            <w:tcW w:w="5184" w:type="dxa"/>
          </w:tcPr>
          <w:p w14:paraId="56BEE321" w14:textId="12C0D793" w:rsidR="00F75481" w:rsidRDefault="00000000">
            <w:r>
              <w:t>Polestar faces U.S. restrictions on new model-year 2027 vehicles under connected-vehicle rules</w:t>
            </w:r>
          </w:p>
        </w:tc>
      </w:tr>
      <w:tr w:rsidR="00F75481" w14:paraId="0EC47FAE" w14:textId="77777777">
        <w:trPr>
          <w:jc w:val="center"/>
        </w:trPr>
        <w:tc>
          <w:tcPr>
            <w:tcW w:w="5184" w:type="dxa"/>
          </w:tcPr>
          <w:p w14:paraId="7AACD727" w14:textId="77777777" w:rsidR="00F75481" w:rsidRDefault="00000000">
            <w:r>
              <w:t>Global</w:t>
            </w:r>
          </w:p>
        </w:tc>
        <w:tc>
          <w:tcPr>
            <w:tcW w:w="5184" w:type="dxa"/>
          </w:tcPr>
          <w:p w14:paraId="53C6DACB" w14:textId="17011B0F" w:rsidR="00F75481" w:rsidRDefault="00000000">
            <w:r>
              <w:t>Lithium producers are increasingly looking to</w:t>
            </w:r>
            <w:r w:rsidR="00D4121F">
              <w:t>wards</w:t>
            </w:r>
            <w:r>
              <w:t xml:space="preserve"> stationary battery storage as EV demand growth moderates</w:t>
            </w:r>
          </w:p>
        </w:tc>
      </w:tr>
    </w:tbl>
    <w:p w14:paraId="2362F933" w14:textId="77777777" w:rsidR="00F75481" w:rsidRDefault="00000000">
      <w:pPr>
        <w:pStyle w:val="Heading1"/>
      </w:pPr>
      <w:r>
        <w:t>This Week’s Briefing</w:t>
      </w:r>
    </w:p>
    <w:p w14:paraId="26FEDBD7" w14:textId="77777777" w:rsidR="00F75481" w:rsidRDefault="00000000">
      <w:pPr>
        <w:pStyle w:val="ListBullet"/>
      </w:pPr>
      <w:r>
        <w:t>OEM strategy and long-term EV/CNG portfolio expansion</w:t>
      </w:r>
    </w:p>
    <w:p w14:paraId="1A44976E" w14:textId="77777777" w:rsidR="00F75481" w:rsidRDefault="00000000">
      <w:pPr>
        <w:pStyle w:val="ListBullet"/>
      </w:pPr>
      <w:proofErr w:type="spellStart"/>
      <w:r>
        <w:t>Commercialisation</w:t>
      </w:r>
      <w:proofErr w:type="spellEnd"/>
      <w:r>
        <w:t xml:space="preserve"> of sodium-ion battery technology for storage and early EV deployment</w:t>
      </w:r>
    </w:p>
    <w:p w14:paraId="54722602" w14:textId="77777777" w:rsidR="00F75481" w:rsidRDefault="00000000">
      <w:pPr>
        <w:pStyle w:val="ListBullet"/>
      </w:pPr>
      <w:r>
        <w:t>Vehicle-to-Grid and bidirectional charging moving from pilots toward customer offers</w:t>
      </w:r>
    </w:p>
    <w:p w14:paraId="3A290CC5" w14:textId="77777777" w:rsidR="00F75481" w:rsidRDefault="00000000">
      <w:pPr>
        <w:pStyle w:val="ListBullet"/>
      </w:pPr>
      <w:r>
        <w:t>Battery-material innovation for next-generation cell platforms</w:t>
      </w:r>
    </w:p>
    <w:p w14:paraId="53DBA693" w14:textId="77777777" w:rsidR="00F75481" w:rsidRDefault="00000000">
      <w:pPr>
        <w:pStyle w:val="ListBullet"/>
      </w:pPr>
      <w:r>
        <w:t>Regulatory fragmentation affecting global EV market access</w:t>
      </w:r>
    </w:p>
    <w:p w14:paraId="2C923A68" w14:textId="77777777" w:rsidR="00F75481" w:rsidRDefault="00000000">
      <w:pPr>
        <w:pStyle w:val="ListBullet"/>
      </w:pPr>
      <w:r>
        <w:t>Global EV demand growth moderating while stationary storage becomes more strategically relevant</w:t>
      </w:r>
    </w:p>
    <w:p w14:paraId="00D77BEE" w14:textId="77777777" w:rsidR="00F75481" w:rsidRDefault="00000000">
      <w:pPr>
        <w:pStyle w:val="Heading1"/>
      </w:pPr>
      <w:r>
        <w:t>Explore by Topic</w:t>
      </w:r>
    </w:p>
    <w:p w14:paraId="65BA0C43" w14:textId="77777777" w:rsidR="00F75481" w:rsidRDefault="00000000">
      <w:r>
        <w:t>Market Strategy | Battery Technology | Charging &amp; V2G | Battery Materials | Regulation | Market Data &amp; Intelligence</w:t>
      </w:r>
    </w:p>
    <w:p w14:paraId="2D754607" w14:textId="77777777" w:rsidR="00F75481" w:rsidRDefault="00000000">
      <w:pPr>
        <w:pStyle w:val="Heading1"/>
      </w:pPr>
      <w:r>
        <w:t>Market Strategy</w:t>
      </w:r>
    </w:p>
    <w:p w14:paraId="070C37C3" w14:textId="77777777" w:rsidR="00F75481" w:rsidRDefault="00000000">
      <w:pPr>
        <w:pStyle w:val="Heading2"/>
      </w:pPr>
      <w:r>
        <w:t>Tata Motors PV targets near-doubling of revenue and volumes by FY31</w:t>
      </w:r>
    </w:p>
    <w:p w14:paraId="7AC3F6AC" w14:textId="77777777" w:rsidR="00F75481" w:rsidRDefault="00000000">
      <w:r>
        <w:rPr>
          <w:color w:val="6F716F"/>
        </w:rPr>
        <w:t>June 23, 2026 • India</w:t>
      </w:r>
    </w:p>
    <w:p w14:paraId="543DC422" w14:textId="53C20EC0" w:rsidR="00F75481" w:rsidRDefault="00000000">
      <w:r>
        <w:t xml:space="preserve">Executive Summary: </w:t>
      </w:r>
      <w:r w:rsidR="00D4121F" w:rsidRPr="00D4121F">
        <w:t>Tata Motors Passenger Vehicles used its June 23 investor day to outline a growth plan targeting materially higher revenue and volumes by FY31. Reuters reported the plan includes nearly doubling revenue and sales volumes, supported by electric and gas-powered vehicles, as Tata seeks to capture a 20% share of the world's third-largest car market. The company expects revenue to exceed 6 trillion rupees ($63.32 billion) by FY31, up from 3.36 trillion rupees in FY26, and expects sales volumes to rise to over 1.2 million units from 640,000. The company is also targeting higher market share in India’s passenger vehicle market. This is relevant because Tata remains a key Indian EV incumbent facing rising competition from Mahindra and JSW MG Motor.</w:t>
      </w:r>
      <w:r w:rsidR="00D4121F">
        <w:t xml:space="preserve"> </w:t>
      </w:r>
      <w:r>
        <w:t xml:space="preserve">Official Source: </w:t>
      </w:r>
      <w:hyperlink r:id="rId6">
        <w:r w:rsidR="00F75481">
          <w:rPr>
            <w:color w:val="B08A3E"/>
            <w:u w:val="single"/>
          </w:rPr>
          <w:t>Tata Motors Investor Relations</w:t>
        </w:r>
      </w:hyperlink>
    </w:p>
    <w:p w14:paraId="609A219E" w14:textId="77777777" w:rsidR="00F75481" w:rsidRDefault="00000000">
      <w:r>
        <w:t xml:space="preserve">Secondary Source: </w:t>
      </w:r>
      <w:hyperlink r:id="rId7">
        <w:r w:rsidR="00F75481">
          <w:rPr>
            <w:color w:val="B08A3E"/>
            <w:u w:val="single"/>
          </w:rPr>
          <w:t>Reuters</w:t>
        </w:r>
      </w:hyperlink>
    </w:p>
    <w:p w14:paraId="14089F5D" w14:textId="77777777" w:rsidR="00F75481" w:rsidRDefault="00000000">
      <w:pPr>
        <w:pStyle w:val="Heading3"/>
      </w:pPr>
      <w:r>
        <w:t>Strategic Watch</w:t>
      </w:r>
    </w:p>
    <w:p w14:paraId="29D67B05" w14:textId="77777777" w:rsidR="00F75481" w:rsidRDefault="00000000">
      <w:r>
        <w:t>Tata Motors PV’s FY31 roadmap should be tracked as a test of whether India’s incumbent passenger-vehicle leaders can scale EV and CNG portfolios while defending share against faster-moving challengers. Over the next 6–18 months, executives should monitor portfolio rollout cadence, affordability positioning, channel execution and whether higher market-share ambitions translate into measurable demand momentum.</w:t>
      </w:r>
    </w:p>
    <w:p w14:paraId="243A2631" w14:textId="77777777" w:rsidR="00F75481" w:rsidRDefault="00000000">
      <w:pPr>
        <w:pStyle w:val="Heading3"/>
      </w:pPr>
      <w:proofErr w:type="spellStart"/>
      <w:r>
        <w:lastRenderedPageBreak/>
        <w:t>GreyRadius</w:t>
      </w:r>
      <w:proofErr w:type="spellEnd"/>
      <w:r>
        <w:t xml:space="preserve"> Insight</w:t>
      </w:r>
    </w:p>
    <w:p w14:paraId="65D7E231" w14:textId="77777777" w:rsidR="00F75481" w:rsidRDefault="00000000">
      <w:r>
        <w:t>For CEOs and Strategy Heads, Tata’s targets reinforce that India remains a strategic EV growth market, but one where product breadth and affordability will matter as much as brand strength. CFOs should test capex and margin assumptions against portfolio expansion needs, COOs should prepare for multi-powertrain complexity, Sales Heads should sharpen segment-level execution, and investors should watch whether volume growth is supported by sustainable share gains.</w:t>
      </w:r>
    </w:p>
    <w:p w14:paraId="260D5B14" w14:textId="77777777" w:rsidR="00F75481" w:rsidRDefault="00000000">
      <w:pPr>
        <w:pStyle w:val="Heading3"/>
      </w:pPr>
      <w:r>
        <w:t>Executive Chart</w:t>
      </w:r>
    </w:p>
    <w:p w14:paraId="696BC99B" w14:textId="77777777" w:rsidR="00F75481" w:rsidRDefault="00000000">
      <w:r>
        <w:rPr>
          <w:noProof/>
        </w:rPr>
        <w:drawing>
          <wp:inline distT="0" distB="0" distL="0" distR="0" wp14:anchorId="2689742C" wp14:editId="023A76CF">
            <wp:extent cx="585216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ta_fy31_targets.png"/>
                    <pic:cNvPicPr/>
                  </pic:nvPicPr>
                  <pic:blipFill>
                    <a:blip r:embed="rId8"/>
                    <a:stretch>
                      <a:fillRect/>
                    </a:stretch>
                  </pic:blipFill>
                  <pic:spPr>
                    <a:xfrm>
                      <a:off x="0" y="0"/>
                      <a:ext cx="5852160" cy="3291840"/>
                    </a:xfrm>
                    <a:prstGeom prst="rect">
                      <a:avLst/>
                    </a:prstGeom>
                  </pic:spPr>
                </pic:pic>
              </a:graphicData>
            </a:graphic>
          </wp:inline>
        </w:drawing>
      </w:r>
    </w:p>
    <w:p w14:paraId="67223A1D" w14:textId="5D5F0735" w:rsidR="00F75481" w:rsidRDefault="00000000">
      <w:r>
        <w:t>Chart Source:</w:t>
      </w:r>
      <w:r w:rsidR="00F46159">
        <w:t xml:space="preserve"> </w:t>
      </w:r>
      <w:hyperlink r:id="rId9">
        <w:r w:rsidR="00F75481">
          <w:rPr>
            <w:color w:val="B08A3E"/>
            <w:u w:val="single"/>
          </w:rPr>
          <w:t>Tata Motors Investor Relations</w:t>
        </w:r>
      </w:hyperlink>
    </w:p>
    <w:p w14:paraId="271C5F93" w14:textId="77777777" w:rsidR="00F75481" w:rsidRDefault="00000000">
      <w:pPr>
        <w:pStyle w:val="Heading1"/>
      </w:pPr>
      <w:r>
        <w:t>Battery Technology</w:t>
      </w:r>
    </w:p>
    <w:p w14:paraId="068B599B" w14:textId="77777777" w:rsidR="00F75481" w:rsidRDefault="00000000">
      <w:pPr>
        <w:pStyle w:val="Heading2"/>
      </w:pPr>
      <w:r>
        <w:t>CATL launches field-validated sodium-ion energy storage system</w:t>
      </w:r>
    </w:p>
    <w:p w14:paraId="2AF94290" w14:textId="77777777" w:rsidR="00F75481" w:rsidRDefault="00000000">
      <w:r>
        <w:rPr>
          <w:color w:val="6F716F"/>
        </w:rPr>
        <w:t>June 22, 2026 • China</w:t>
      </w:r>
    </w:p>
    <w:p w14:paraId="377B4B15" w14:textId="77777777" w:rsidR="00F75481" w:rsidRDefault="00000000">
      <w:r>
        <w:t>Executive Summary: CATL unveiled its TENER Sodium Energy Storage System in Munich on June 22, calling it a real-world validated sodium-ion energy storage solution. CATL expects cumulative shipments to reach 1 GWh by end-2026, with global deliveries beginning in June 2027. The announcement positions sodium-ion as a commercial chemistry for storage applications, with supply-chain advantages versus lithium-dependent chemistries.</w:t>
      </w:r>
    </w:p>
    <w:p w14:paraId="0FFC2406" w14:textId="77777777" w:rsidR="00F75481" w:rsidRDefault="00000000">
      <w:r>
        <w:t xml:space="preserve">Official Source: </w:t>
      </w:r>
      <w:hyperlink r:id="rId10">
        <w:r w:rsidR="00F75481">
          <w:rPr>
            <w:color w:val="B08A3E"/>
            <w:u w:val="single"/>
          </w:rPr>
          <w:t>CATL</w:t>
        </w:r>
      </w:hyperlink>
    </w:p>
    <w:p w14:paraId="56FEA0EB" w14:textId="77777777" w:rsidR="00F75481" w:rsidRDefault="00000000">
      <w:r>
        <w:t xml:space="preserve">Secondary Source: </w:t>
      </w:r>
      <w:hyperlink r:id="rId11">
        <w:r w:rsidR="00F75481">
          <w:rPr>
            <w:color w:val="B08A3E"/>
            <w:u w:val="single"/>
          </w:rPr>
          <w:t>Renewables Now</w:t>
        </w:r>
      </w:hyperlink>
    </w:p>
    <w:p w14:paraId="01702DB1" w14:textId="77777777" w:rsidR="00F75481" w:rsidRDefault="00000000">
      <w:pPr>
        <w:pStyle w:val="Heading3"/>
      </w:pPr>
      <w:r>
        <w:t>Strategic Watch</w:t>
      </w:r>
    </w:p>
    <w:p w14:paraId="47959C5E" w14:textId="77777777" w:rsidR="00F75481" w:rsidRDefault="00000000">
      <w:r>
        <w:t>CATL’s sodium-ion storage launch should be monitored as an early commercial test of chemistry diversification beyond lithium-dependent systems. Over the next 6–18 months, executives should track shipment execution, customer adoption, global delivery readiness and whether sodium-ion begins to win use cases where cost stability, safety and supply-chain resilience outweigh maximum energy density.</w:t>
      </w:r>
    </w:p>
    <w:p w14:paraId="519C9D69" w14:textId="77777777" w:rsidR="00F75481" w:rsidRDefault="00000000">
      <w:pPr>
        <w:pStyle w:val="Heading3"/>
      </w:pPr>
      <w:proofErr w:type="spellStart"/>
      <w:r>
        <w:t>GreyRadius</w:t>
      </w:r>
      <w:proofErr w:type="spellEnd"/>
      <w:r>
        <w:t xml:space="preserve"> Insight</w:t>
      </w:r>
    </w:p>
    <w:p w14:paraId="004FB398" w14:textId="77777777" w:rsidR="00F75481" w:rsidRDefault="00000000">
      <w:r>
        <w:t>For CEOs and Strategy Heads, sodium-ion storage expands the strategic battery toolkit for stationary energy and charging-linked infrastructure. CFOs should evaluate whether alternative chemistries can reduce lithium-price exposure, COOs should assess sourcing and integration readiness, Sales Heads should identify storage-led customer segments, and investors should watch whether sodium-ion moves from announced capacity to repeat commercial demand.</w:t>
      </w:r>
    </w:p>
    <w:p w14:paraId="0CA977A8" w14:textId="77777777" w:rsidR="00F75481" w:rsidRDefault="00000000">
      <w:pPr>
        <w:pStyle w:val="Heading3"/>
      </w:pPr>
      <w:r>
        <w:lastRenderedPageBreak/>
        <w:t>Executive Chart</w:t>
      </w:r>
    </w:p>
    <w:p w14:paraId="5C602CAA" w14:textId="77777777" w:rsidR="00F75481" w:rsidRDefault="00000000">
      <w:r>
        <w:rPr>
          <w:noProof/>
        </w:rPr>
        <w:drawing>
          <wp:inline distT="0" distB="0" distL="0" distR="0" wp14:anchorId="17EC86DE" wp14:editId="67FEB7CF">
            <wp:extent cx="5852160" cy="21763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l_sodium_timeline.png"/>
                    <pic:cNvPicPr/>
                  </pic:nvPicPr>
                  <pic:blipFill>
                    <a:blip r:embed="rId12"/>
                    <a:stretch>
                      <a:fillRect/>
                    </a:stretch>
                  </pic:blipFill>
                  <pic:spPr>
                    <a:xfrm>
                      <a:off x="0" y="0"/>
                      <a:ext cx="5852160" cy="2176382"/>
                    </a:xfrm>
                    <a:prstGeom prst="rect">
                      <a:avLst/>
                    </a:prstGeom>
                  </pic:spPr>
                </pic:pic>
              </a:graphicData>
            </a:graphic>
          </wp:inline>
        </w:drawing>
      </w:r>
    </w:p>
    <w:p w14:paraId="709E6CA8" w14:textId="77777777" w:rsidR="00F75481" w:rsidRDefault="00000000">
      <w:r>
        <w:t xml:space="preserve">Chart Source: </w:t>
      </w:r>
      <w:hyperlink r:id="rId13">
        <w:r w:rsidR="00F75481">
          <w:rPr>
            <w:color w:val="B08A3E"/>
            <w:u w:val="single"/>
          </w:rPr>
          <w:t>CATL</w:t>
        </w:r>
      </w:hyperlink>
    </w:p>
    <w:p w14:paraId="08BB6411" w14:textId="77777777" w:rsidR="00F75481" w:rsidRDefault="00000000">
      <w:pPr>
        <w:pStyle w:val="Heading1"/>
      </w:pPr>
      <w:r>
        <w:t>Battery Technology</w:t>
      </w:r>
    </w:p>
    <w:p w14:paraId="17FA9D8B" w14:textId="77777777" w:rsidR="00F75481" w:rsidRDefault="00000000">
      <w:pPr>
        <w:pStyle w:val="Heading2"/>
      </w:pPr>
      <w:r>
        <w:t>CATL expects 10,000–20,000 EVs with sodium-ion batteries in 2026</w:t>
      </w:r>
    </w:p>
    <w:p w14:paraId="047AAE46" w14:textId="77777777" w:rsidR="00F75481" w:rsidRDefault="00000000">
      <w:r>
        <w:rPr>
          <w:color w:val="6F716F"/>
        </w:rPr>
        <w:t>June 24–26, 2026 • China</w:t>
      </w:r>
    </w:p>
    <w:p w14:paraId="717C5F8F" w14:textId="77777777" w:rsidR="00F75481" w:rsidRDefault="00000000">
      <w:r>
        <w:t xml:space="preserve">Executive Summary: CATL executives said 10,000–20,000 EVs could use its sodium-ion batteries in 2026. The company has positioned sodium-ion as a hedge against lithium price volatility and a technology suited to cold-weather performance. </w:t>
      </w:r>
      <w:proofErr w:type="spellStart"/>
      <w:r>
        <w:t>Electrive</w:t>
      </w:r>
      <w:proofErr w:type="spellEnd"/>
      <w:r>
        <w:t xml:space="preserve"> reported the comments alongside CATL’s sodium-ion storage launch and broader sodium/lithium dual-track strategy.</w:t>
      </w:r>
    </w:p>
    <w:p w14:paraId="4B6AF0A0" w14:textId="77777777" w:rsidR="00F75481" w:rsidRDefault="00000000">
      <w:r>
        <w:t xml:space="preserve">Official Source: </w:t>
      </w:r>
      <w:hyperlink r:id="rId14">
        <w:r w:rsidR="00F75481">
          <w:rPr>
            <w:color w:val="B08A3E"/>
            <w:u w:val="single"/>
          </w:rPr>
          <w:t>CATL</w:t>
        </w:r>
      </w:hyperlink>
    </w:p>
    <w:p w14:paraId="609E17BE" w14:textId="77777777" w:rsidR="00F75481" w:rsidRDefault="00000000">
      <w:r>
        <w:t xml:space="preserve">Secondary Source: </w:t>
      </w:r>
      <w:hyperlink r:id="rId15">
        <w:proofErr w:type="spellStart"/>
        <w:r w:rsidR="00F75481">
          <w:rPr>
            <w:color w:val="B08A3E"/>
            <w:u w:val="single"/>
          </w:rPr>
          <w:t>Electrive</w:t>
        </w:r>
        <w:proofErr w:type="spellEnd"/>
      </w:hyperlink>
    </w:p>
    <w:p w14:paraId="2C01CA43" w14:textId="77777777" w:rsidR="00F75481" w:rsidRDefault="00000000">
      <w:pPr>
        <w:pStyle w:val="Heading3"/>
      </w:pPr>
      <w:r>
        <w:t>Strategic Watch</w:t>
      </w:r>
    </w:p>
    <w:p w14:paraId="5BB937F1" w14:textId="77777777" w:rsidR="00F75481" w:rsidRDefault="00000000">
      <w:r>
        <w:t>CATL’s expected sodium-ion EV deployment should be watched as a practical indicator of whether sodium-ion can move from storage applications into selected vehicle segments. Over the next 6–18 months, executives should monitor production volumes, model adoption, cold-weather performance, customer acceptance and whether OEMs use sodium-ion to hedge lithium-price volatility.</w:t>
      </w:r>
    </w:p>
    <w:p w14:paraId="6BA3FCF4" w14:textId="77777777" w:rsidR="00F75481" w:rsidRDefault="00000000">
      <w:pPr>
        <w:pStyle w:val="Heading3"/>
      </w:pPr>
      <w:proofErr w:type="spellStart"/>
      <w:r>
        <w:t>GreyRadius</w:t>
      </w:r>
      <w:proofErr w:type="spellEnd"/>
      <w:r>
        <w:t xml:space="preserve"> Insight</w:t>
      </w:r>
    </w:p>
    <w:p w14:paraId="0D2C05C5" w14:textId="77777777" w:rsidR="00F75481" w:rsidRDefault="00000000">
      <w:r>
        <w:t>For CEOs and Strategy Heads, sodium-ion creates a potential option for cost-sensitive or climate-specific EV applications rather than a universal replacement for LFP or NMC. CFOs should model chemistry optionality against raw-material exposure, COOs should prepare for multi-chemistry validation and sourcing, Sales Heads should clarify customer value propositions, and investors should track which use cases prove commercially durable.</w:t>
      </w:r>
    </w:p>
    <w:p w14:paraId="6CE6040C" w14:textId="77777777" w:rsidR="00F75481" w:rsidRDefault="00000000">
      <w:pPr>
        <w:pStyle w:val="Heading3"/>
      </w:pPr>
      <w:r>
        <w:lastRenderedPageBreak/>
        <w:t>Executive Chart</w:t>
      </w:r>
    </w:p>
    <w:p w14:paraId="4F362403" w14:textId="77777777" w:rsidR="00F75481" w:rsidRDefault="00000000">
      <w:r>
        <w:rPr>
          <w:noProof/>
        </w:rPr>
        <w:drawing>
          <wp:inline distT="0" distB="0" distL="0" distR="0" wp14:anchorId="31DE63C8" wp14:editId="3BA6B27E">
            <wp:extent cx="5852160" cy="3408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ery_chemistry_matrix.png"/>
                    <pic:cNvPicPr/>
                  </pic:nvPicPr>
                  <pic:blipFill>
                    <a:blip r:embed="rId16"/>
                    <a:stretch>
                      <a:fillRect/>
                    </a:stretch>
                  </pic:blipFill>
                  <pic:spPr>
                    <a:xfrm>
                      <a:off x="0" y="0"/>
                      <a:ext cx="5852160" cy="3408680"/>
                    </a:xfrm>
                    <a:prstGeom prst="rect">
                      <a:avLst/>
                    </a:prstGeom>
                  </pic:spPr>
                </pic:pic>
              </a:graphicData>
            </a:graphic>
          </wp:inline>
        </w:drawing>
      </w:r>
    </w:p>
    <w:p w14:paraId="6B107768" w14:textId="77777777" w:rsidR="00F75481" w:rsidRDefault="00000000">
      <w:r>
        <w:t xml:space="preserve">Chart Source: </w:t>
      </w:r>
      <w:hyperlink r:id="rId17">
        <w:r w:rsidR="00F75481">
          <w:rPr>
            <w:color w:val="B08A3E"/>
            <w:u w:val="single"/>
          </w:rPr>
          <w:t>CATL</w:t>
        </w:r>
      </w:hyperlink>
    </w:p>
    <w:p w14:paraId="71C1B555" w14:textId="77777777" w:rsidR="00F75481" w:rsidRDefault="00000000">
      <w:pPr>
        <w:pStyle w:val="Heading1"/>
      </w:pPr>
      <w:r>
        <w:t>Charging &amp; V2G</w:t>
      </w:r>
    </w:p>
    <w:p w14:paraId="2F567517" w14:textId="77777777" w:rsidR="00F75481" w:rsidRDefault="00000000">
      <w:pPr>
        <w:pStyle w:val="Heading2"/>
      </w:pPr>
      <w:r>
        <w:t>Nissan and Valeo collaborate on bidirectional charging in Europe</w:t>
      </w:r>
    </w:p>
    <w:p w14:paraId="22D6CCE6" w14:textId="77777777" w:rsidR="00F75481" w:rsidRDefault="00000000">
      <w:r>
        <w:rPr>
          <w:color w:val="6F716F"/>
        </w:rPr>
        <w:t>June 23, 2026 • Europe</w:t>
      </w:r>
    </w:p>
    <w:p w14:paraId="257F495B" w14:textId="77777777" w:rsidR="00F75481" w:rsidRDefault="00000000">
      <w:r>
        <w:t>Executive Summary: Nissan and Valeo signed an agreement to market Valeo’s bidirectional AC charging station in Europe. The collaboration supports Nissan’s V2G roadmap, beginning with Nissan Energy in Europe and initially targeting the UK. The partnership was showcased at Power2Drive in Munich and positions compatible Nissan EVs as grid-interactive energy assets.</w:t>
      </w:r>
    </w:p>
    <w:p w14:paraId="1F2DEB92" w14:textId="77777777" w:rsidR="00F75481" w:rsidRDefault="00000000">
      <w:r>
        <w:t xml:space="preserve">Official Source: </w:t>
      </w:r>
      <w:hyperlink r:id="rId18">
        <w:proofErr w:type="spellStart"/>
        <w:r w:rsidR="00F75481">
          <w:rPr>
            <w:color w:val="B08A3E"/>
            <w:u w:val="single"/>
          </w:rPr>
          <w:t>Electrive</w:t>
        </w:r>
        <w:proofErr w:type="spellEnd"/>
        <w:r w:rsidR="00F75481">
          <w:rPr>
            <w:color w:val="B08A3E"/>
            <w:u w:val="single"/>
          </w:rPr>
          <w:t xml:space="preserve"> report citing Nissan and Valeo announcement</w:t>
        </w:r>
      </w:hyperlink>
    </w:p>
    <w:p w14:paraId="3FB30CC4" w14:textId="77777777" w:rsidR="00F75481" w:rsidRDefault="00000000">
      <w:r>
        <w:t xml:space="preserve">Secondary Source: </w:t>
      </w:r>
      <w:hyperlink r:id="rId19">
        <w:proofErr w:type="spellStart"/>
        <w:r w:rsidR="00F75481">
          <w:rPr>
            <w:color w:val="B08A3E"/>
            <w:u w:val="single"/>
          </w:rPr>
          <w:t>Electrive</w:t>
        </w:r>
        <w:proofErr w:type="spellEnd"/>
      </w:hyperlink>
    </w:p>
    <w:p w14:paraId="52FD950B" w14:textId="77777777" w:rsidR="00F75481" w:rsidRDefault="00000000">
      <w:pPr>
        <w:pStyle w:val="Heading3"/>
      </w:pPr>
      <w:r>
        <w:t>Strategic Watch</w:t>
      </w:r>
    </w:p>
    <w:p w14:paraId="654B98AA" w14:textId="77777777" w:rsidR="00F75481" w:rsidRDefault="00000000">
      <w:r>
        <w:t>Nissan and Valeo’s agreement should be monitored as part of Europe’s broader shift toward grid-interactive EV ecosystems. Over the next 6–18 months, executives should track early UK deployment, charger compatibility, utility integration, customer economics and whether bidirectional AC charging becomes a mainstream feature or remains limited to niche energy-aware households.</w:t>
      </w:r>
    </w:p>
    <w:p w14:paraId="202CB183" w14:textId="77777777" w:rsidR="00F75481" w:rsidRDefault="00000000">
      <w:pPr>
        <w:pStyle w:val="Heading3"/>
      </w:pPr>
      <w:proofErr w:type="spellStart"/>
      <w:r>
        <w:t>GreyRadius</w:t>
      </w:r>
      <w:proofErr w:type="spellEnd"/>
      <w:r>
        <w:t xml:space="preserve"> Insight</w:t>
      </w:r>
    </w:p>
    <w:p w14:paraId="6DA2BCD0" w14:textId="77777777" w:rsidR="00F75481" w:rsidRDefault="00000000">
      <w:r>
        <w:t>For CEOs and Strategy Heads, bidirectional charging turns EVs into platform assets connected to home and grid value pools. CFOs should assess recurring-service economics, COOs should evaluate charger and software interoperability, Sales Heads should prepare energy-led customer messaging, and investors should watch whether OEM-energy partnerships create defensible ecosystem revenue beyond vehicle sales.</w:t>
      </w:r>
    </w:p>
    <w:p w14:paraId="173269AE" w14:textId="77777777" w:rsidR="00F75481" w:rsidRDefault="00000000">
      <w:pPr>
        <w:pStyle w:val="Heading1"/>
      </w:pPr>
      <w:r>
        <w:t>Charging &amp; V2G</w:t>
      </w:r>
    </w:p>
    <w:p w14:paraId="040D0444" w14:textId="77777777" w:rsidR="00F75481" w:rsidRDefault="00000000">
      <w:pPr>
        <w:pStyle w:val="Heading2"/>
      </w:pPr>
      <w:r>
        <w:t>Volkswagen and Elli launch V2G offer with customer bonus</w:t>
      </w:r>
    </w:p>
    <w:p w14:paraId="02696632" w14:textId="77777777" w:rsidR="00F75481" w:rsidRDefault="00000000">
      <w:r>
        <w:rPr>
          <w:color w:val="6F716F"/>
        </w:rPr>
        <w:t>June 23, 2026 • Europe</w:t>
      </w:r>
    </w:p>
    <w:p w14:paraId="20823633" w14:textId="77777777" w:rsidR="00F75481" w:rsidRDefault="00000000">
      <w:r>
        <w:lastRenderedPageBreak/>
        <w:t xml:space="preserve">Executive Summary: Volkswagen and Elli launched a Vehicle-to-Grid offer that allows EVs to charge intelligently, feed power back and generate customer value while parked. </w:t>
      </w:r>
      <w:proofErr w:type="spellStart"/>
      <w:r>
        <w:t>Electrive</w:t>
      </w:r>
      <w:proofErr w:type="spellEnd"/>
      <w:r>
        <w:t xml:space="preserve"> reported the offer includes a potential annual bonus of up to €720. The move expands Volkswagen’s charging and energy ecosystem beyond basic charging access.</w:t>
      </w:r>
    </w:p>
    <w:p w14:paraId="3E66188C" w14:textId="77777777" w:rsidR="00F75481" w:rsidRDefault="00000000">
      <w:r>
        <w:t xml:space="preserve">Official Source: </w:t>
      </w:r>
      <w:hyperlink r:id="rId20">
        <w:proofErr w:type="spellStart"/>
        <w:r w:rsidR="00F75481">
          <w:rPr>
            <w:color w:val="B08A3E"/>
            <w:u w:val="single"/>
          </w:rPr>
          <w:t>Electrive</w:t>
        </w:r>
        <w:proofErr w:type="spellEnd"/>
        <w:r w:rsidR="00F75481">
          <w:rPr>
            <w:color w:val="B08A3E"/>
            <w:u w:val="single"/>
          </w:rPr>
          <w:t xml:space="preserve"> report citing Volkswagen Group / Elli </w:t>
        </w:r>
        <w:proofErr w:type="spellStart"/>
        <w:r w:rsidR="00F75481">
          <w:rPr>
            <w:color w:val="B08A3E"/>
            <w:u w:val="single"/>
          </w:rPr>
          <w:t>programme</w:t>
        </w:r>
        <w:proofErr w:type="spellEnd"/>
      </w:hyperlink>
    </w:p>
    <w:p w14:paraId="6DC8916B" w14:textId="77777777" w:rsidR="00F75481" w:rsidRDefault="00000000">
      <w:r>
        <w:t xml:space="preserve">Secondary Source: </w:t>
      </w:r>
      <w:hyperlink r:id="rId21">
        <w:proofErr w:type="spellStart"/>
        <w:r w:rsidR="00F75481">
          <w:rPr>
            <w:color w:val="B08A3E"/>
            <w:u w:val="single"/>
          </w:rPr>
          <w:t>Electrive</w:t>
        </w:r>
        <w:proofErr w:type="spellEnd"/>
      </w:hyperlink>
    </w:p>
    <w:p w14:paraId="427F988D" w14:textId="77777777" w:rsidR="00F75481" w:rsidRDefault="00000000">
      <w:pPr>
        <w:pStyle w:val="Heading3"/>
      </w:pPr>
      <w:r>
        <w:t>Strategic Watch</w:t>
      </w:r>
    </w:p>
    <w:p w14:paraId="340C3B9B" w14:textId="77777777" w:rsidR="00F75481" w:rsidRDefault="00000000">
      <w:r>
        <w:t xml:space="preserve">Volkswagen and Elli’s V2G offer should be tracked as a commercial proof point for turning parked EVs into </w:t>
      </w:r>
      <w:proofErr w:type="spellStart"/>
      <w:r>
        <w:t>monetisable</w:t>
      </w:r>
      <w:proofErr w:type="spellEnd"/>
      <w:r>
        <w:t xml:space="preserve"> energy assets. Over the next 6–18 months, executives should monitor customer uptake, </w:t>
      </w:r>
      <w:proofErr w:type="spellStart"/>
      <w:r>
        <w:t>realised</w:t>
      </w:r>
      <w:proofErr w:type="spellEnd"/>
      <w:r>
        <w:t xml:space="preserve"> bonus levels, charging-cost offsets, grid-partner participation and whether V2G economics can scale beyond early adopters.</w:t>
      </w:r>
    </w:p>
    <w:p w14:paraId="54576FBE" w14:textId="77777777" w:rsidR="00F75481" w:rsidRDefault="00000000">
      <w:pPr>
        <w:pStyle w:val="Heading3"/>
      </w:pPr>
      <w:proofErr w:type="spellStart"/>
      <w:r>
        <w:t>GreyRadius</w:t>
      </w:r>
      <w:proofErr w:type="spellEnd"/>
      <w:r>
        <w:t xml:space="preserve"> Insight</w:t>
      </w:r>
    </w:p>
    <w:p w14:paraId="39669BF9" w14:textId="77777777" w:rsidR="00F75481" w:rsidRDefault="00000000">
      <w:r>
        <w:t>For CEOs and Strategy Heads, V2G creates a route to recurring customer engagement and energy-platform differentiation. CFOs should examine incentive economics and margin contribution, COOs should ensure reliable charging and grid integration, Sales Heads should translate the annual bonus into simple customer value, and investors should assess whether energy services improve lifetime value and retention.</w:t>
      </w:r>
    </w:p>
    <w:p w14:paraId="647556D3" w14:textId="56BCBA29" w:rsidR="00F75481" w:rsidRDefault="00F75481"/>
    <w:p w14:paraId="0490C628" w14:textId="77777777" w:rsidR="00F75481" w:rsidRDefault="00000000">
      <w:r>
        <w:t xml:space="preserve">Chart Source: </w:t>
      </w:r>
      <w:hyperlink r:id="rId22">
        <w:proofErr w:type="spellStart"/>
        <w:r w:rsidR="00F75481">
          <w:rPr>
            <w:color w:val="B08A3E"/>
            <w:u w:val="single"/>
          </w:rPr>
          <w:t>Electrive</w:t>
        </w:r>
        <w:proofErr w:type="spellEnd"/>
        <w:r w:rsidR="00F75481">
          <w:rPr>
            <w:color w:val="B08A3E"/>
            <w:u w:val="single"/>
          </w:rPr>
          <w:t xml:space="preserve"> report citing Volkswagen Group / Elli </w:t>
        </w:r>
        <w:proofErr w:type="spellStart"/>
        <w:r w:rsidR="00F75481">
          <w:rPr>
            <w:color w:val="B08A3E"/>
            <w:u w:val="single"/>
          </w:rPr>
          <w:t>programme</w:t>
        </w:r>
        <w:proofErr w:type="spellEnd"/>
      </w:hyperlink>
    </w:p>
    <w:p w14:paraId="410E966B" w14:textId="77777777" w:rsidR="00F75481" w:rsidRDefault="00000000">
      <w:pPr>
        <w:pStyle w:val="Heading1"/>
      </w:pPr>
      <w:r>
        <w:t>Battery Materials</w:t>
      </w:r>
    </w:p>
    <w:p w14:paraId="67AD4EF3" w14:textId="77777777" w:rsidR="00F75481" w:rsidRDefault="00000000">
      <w:pPr>
        <w:pStyle w:val="Heading2"/>
      </w:pPr>
      <w:proofErr w:type="spellStart"/>
      <w:r>
        <w:t>PowerCo</w:t>
      </w:r>
      <w:proofErr w:type="spellEnd"/>
      <w:r>
        <w:t xml:space="preserve"> selects </w:t>
      </w:r>
      <w:proofErr w:type="spellStart"/>
      <w:r>
        <w:t>OCSiAl</w:t>
      </w:r>
      <w:proofErr w:type="spellEnd"/>
      <w:r>
        <w:t xml:space="preserve"> nanotubes for Unified Cell battery platform</w:t>
      </w:r>
    </w:p>
    <w:p w14:paraId="7EBAB670" w14:textId="77777777" w:rsidR="00F75481" w:rsidRDefault="00000000">
      <w:r>
        <w:rPr>
          <w:color w:val="6F716F"/>
        </w:rPr>
        <w:t>June 25–26, 2026 • Europe</w:t>
      </w:r>
    </w:p>
    <w:p w14:paraId="5BF5D1AF" w14:textId="77777777" w:rsidR="00F75481" w:rsidRDefault="00000000">
      <w:r>
        <w:t xml:space="preserve">Executive Summary: </w:t>
      </w:r>
      <w:proofErr w:type="spellStart"/>
      <w:r>
        <w:t>OCSiAl</w:t>
      </w:r>
      <w:proofErr w:type="spellEnd"/>
      <w:r>
        <w:t xml:space="preserve"> said it will supply single-wall carbon nanotubes to </w:t>
      </w:r>
      <w:proofErr w:type="spellStart"/>
      <w:r>
        <w:t>PowerCo’s</w:t>
      </w:r>
      <w:proofErr w:type="spellEnd"/>
      <w:r>
        <w:t xml:space="preserve"> Salzgitter facility for Volkswagen Group’s Unified Cell platform. The nanotubes are intended for graphite anodes and are designed to improve safety, charging performance and battery service life. </w:t>
      </w:r>
      <w:proofErr w:type="spellStart"/>
      <w:r>
        <w:t>Electrive</w:t>
      </w:r>
      <w:proofErr w:type="spellEnd"/>
      <w:r>
        <w:t xml:space="preserve"> reported the supplier selection on June 26.</w:t>
      </w:r>
    </w:p>
    <w:p w14:paraId="007A0F1A" w14:textId="77777777" w:rsidR="00F75481" w:rsidRDefault="00000000">
      <w:r>
        <w:t xml:space="preserve">Official Source: </w:t>
      </w:r>
      <w:hyperlink r:id="rId23">
        <w:proofErr w:type="spellStart"/>
        <w:r w:rsidR="00F75481">
          <w:rPr>
            <w:color w:val="B08A3E"/>
            <w:u w:val="single"/>
          </w:rPr>
          <w:t>OCSiAl</w:t>
        </w:r>
        <w:proofErr w:type="spellEnd"/>
      </w:hyperlink>
    </w:p>
    <w:p w14:paraId="65A21AD4" w14:textId="77777777" w:rsidR="00F75481" w:rsidRDefault="00000000">
      <w:r>
        <w:t xml:space="preserve">Secondary Source: </w:t>
      </w:r>
      <w:hyperlink r:id="rId24">
        <w:proofErr w:type="spellStart"/>
        <w:r w:rsidR="00F75481">
          <w:rPr>
            <w:color w:val="B08A3E"/>
            <w:u w:val="single"/>
          </w:rPr>
          <w:t>Electrive</w:t>
        </w:r>
        <w:proofErr w:type="spellEnd"/>
      </w:hyperlink>
    </w:p>
    <w:p w14:paraId="16EC34AD" w14:textId="77777777" w:rsidR="00F75481" w:rsidRDefault="00000000">
      <w:pPr>
        <w:pStyle w:val="Heading3"/>
      </w:pPr>
      <w:r>
        <w:t>Strategic Watch</w:t>
      </w:r>
    </w:p>
    <w:p w14:paraId="7EAD80E0" w14:textId="77777777" w:rsidR="00F75481" w:rsidRDefault="00000000">
      <w:proofErr w:type="spellStart"/>
      <w:r>
        <w:t>PowerCo’s</w:t>
      </w:r>
      <w:proofErr w:type="spellEnd"/>
      <w:r>
        <w:t xml:space="preserve"> supplier selection should be monitored as a signal that battery differentiation is increasingly moving into materials engineering and additive choices. Over the next 6–18 months, executives should track Salzgitter ramp-up progress, qualification outcomes, charging-performance claims, safety validation and whether nanotube additives become a wider cell-platform standard.</w:t>
      </w:r>
    </w:p>
    <w:p w14:paraId="6135FBC5" w14:textId="77777777" w:rsidR="00F75481" w:rsidRDefault="00000000">
      <w:pPr>
        <w:pStyle w:val="Heading3"/>
      </w:pPr>
      <w:proofErr w:type="spellStart"/>
      <w:r>
        <w:t>GreyRadius</w:t>
      </w:r>
      <w:proofErr w:type="spellEnd"/>
      <w:r>
        <w:t xml:space="preserve"> Insight</w:t>
      </w:r>
    </w:p>
    <w:p w14:paraId="6F08B212" w14:textId="77777777" w:rsidR="00F75481" w:rsidRDefault="00000000">
      <w:r>
        <w:t>For CEOs and Strategy Heads, the Unified Cell platform highlights how materials decisions can influence product performance, lifecycle value and manufacturing scalability. CFOs should assess supplier concentration and cost-performance trade-offs, COOs should monitor qualification and production readiness, Sales Heads should translate performance gains into customer value, and investors should watch whether material innovation improves competitive battery economics.</w:t>
      </w:r>
    </w:p>
    <w:p w14:paraId="3BA43FE5" w14:textId="77777777" w:rsidR="00F75481" w:rsidRDefault="00000000">
      <w:pPr>
        <w:pStyle w:val="Heading1"/>
      </w:pPr>
      <w:r>
        <w:t>Regulation</w:t>
      </w:r>
    </w:p>
    <w:p w14:paraId="273408A3" w14:textId="77777777" w:rsidR="00F75481" w:rsidRDefault="00000000">
      <w:pPr>
        <w:pStyle w:val="Heading2"/>
      </w:pPr>
      <w:r>
        <w:t>Polestar faces U.S. sales restrictions for new model variants from 2027</w:t>
      </w:r>
    </w:p>
    <w:p w14:paraId="123C23E5" w14:textId="77777777" w:rsidR="00F75481" w:rsidRDefault="00000000">
      <w:r>
        <w:rPr>
          <w:color w:val="6F716F"/>
        </w:rPr>
        <w:t>June 26, 2026 • United States</w:t>
      </w:r>
    </w:p>
    <w:p w14:paraId="2839B107" w14:textId="77777777" w:rsidR="00F75481" w:rsidRDefault="00000000">
      <w:r>
        <w:t xml:space="preserve">Executive Summary: Polestar said U.S. connected-vehicle rules will prevent sales of new model-year 2027 vehicles in the U.S. Reuters and </w:t>
      </w:r>
      <w:proofErr w:type="spellStart"/>
      <w:r>
        <w:t>Electrive</w:t>
      </w:r>
      <w:proofErr w:type="spellEnd"/>
      <w:r>
        <w:t xml:space="preserve"> reported that model-year 2026 and earlier vehicles can continue to be sold. Polestar is expected to focus more heavily on Europe, where most of its sales already occur.</w:t>
      </w:r>
    </w:p>
    <w:p w14:paraId="48493328" w14:textId="77777777" w:rsidR="00F75481" w:rsidRDefault="00000000">
      <w:r>
        <w:t xml:space="preserve">Official Source: </w:t>
      </w:r>
      <w:hyperlink r:id="rId25">
        <w:proofErr w:type="spellStart"/>
        <w:r w:rsidR="00F75481">
          <w:rPr>
            <w:color w:val="B08A3E"/>
            <w:u w:val="single"/>
          </w:rPr>
          <w:t>Electrive</w:t>
        </w:r>
        <w:proofErr w:type="spellEnd"/>
        <w:r w:rsidR="00F75481">
          <w:rPr>
            <w:color w:val="B08A3E"/>
            <w:u w:val="single"/>
          </w:rPr>
          <w:t xml:space="preserve"> report citing Polestar statement</w:t>
        </w:r>
      </w:hyperlink>
    </w:p>
    <w:p w14:paraId="3B3C68A9" w14:textId="77777777" w:rsidR="00F75481" w:rsidRDefault="00000000">
      <w:r>
        <w:lastRenderedPageBreak/>
        <w:t xml:space="preserve">Secondary Source: </w:t>
      </w:r>
      <w:hyperlink r:id="rId26">
        <w:r w:rsidR="00F75481">
          <w:rPr>
            <w:color w:val="B08A3E"/>
            <w:u w:val="single"/>
          </w:rPr>
          <w:t>Reuters EV Strategy</w:t>
        </w:r>
      </w:hyperlink>
    </w:p>
    <w:p w14:paraId="17880126" w14:textId="77777777" w:rsidR="00F75481" w:rsidRDefault="00000000">
      <w:pPr>
        <w:pStyle w:val="Heading3"/>
      </w:pPr>
      <w:r>
        <w:t>Strategic Watch</w:t>
      </w:r>
    </w:p>
    <w:p w14:paraId="57A0DBE8" w14:textId="77777777" w:rsidR="00F75481" w:rsidRDefault="00000000">
      <w:r>
        <w:t>Polestar’s U.S. restriction should be monitored as a warning that connected-vehicle regulation can reshape market access as much as tariffs or emissions rules. Over the next 6–18 months, executives should track implementation details, model-year exposure, software and supply-chain compliance pathways, and whether other automakers face similar geographic constraints.</w:t>
      </w:r>
    </w:p>
    <w:p w14:paraId="51212999" w14:textId="77777777" w:rsidR="00F75481" w:rsidRDefault="00000000">
      <w:pPr>
        <w:pStyle w:val="Heading3"/>
      </w:pPr>
      <w:proofErr w:type="spellStart"/>
      <w:r>
        <w:t>GreyRadius</w:t>
      </w:r>
      <w:proofErr w:type="spellEnd"/>
      <w:r>
        <w:t xml:space="preserve"> Insight</w:t>
      </w:r>
    </w:p>
    <w:p w14:paraId="0045B604" w14:textId="77777777" w:rsidR="00F75481" w:rsidRDefault="00000000">
      <w:r>
        <w:t xml:space="preserve">For CEOs and Strategy Heads, regulatory resilience is now part of EV market strategy. CFOs should stress-test revenue exposure by geography, COOs should map connected-vehicle supply-chain dependencies, Sales Heads should prepare regional </w:t>
      </w:r>
      <w:proofErr w:type="spellStart"/>
      <w:r>
        <w:t>prioritisation</w:t>
      </w:r>
      <w:proofErr w:type="spellEnd"/>
      <w:r>
        <w:t xml:space="preserve"> plans, and investors should evaluate whether companies have enough flexibility to redirect volume when policy blocks access to key markets.</w:t>
      </w:r>
    </w:p>
    <w:p w14:paraId="0D646C5B" w14:textId="77777777" w:rsidR="00F75481" w:rsidRDefault="00000000">
      <w:pPr>
        <w:pStyle w:val="Heading1"/>
      </w:pPr>
      <w:r>
        <w:t>Market Data &amp; Intelligence</w:t>
      </w:r>
    </w:p>
    <w:tbl>
      <w:tblPr>
        <w:tblStyle w:val="TableGrid"/>
        <w:tblW w:w="0" w:type="auto"/>
        <w:tblLook w:val="04A0" w:firstRow="1" w:lastRow="0" w:firstColumn="1" w:lastColumn="0" w:noHBand="0" w:noVBand="1"/>
      </w:tblPr>
      <w:tblGrid>
        <w:gridCol w:w="2074"/>
        <w:gridCol w:w="2074"/>
        <w:gridCol w:w="2074"/>
        <w:gridCol w:w="2074"/>
        <w:gridCol w:w="2074"/>
      </w:tblGrid>
      <w:tr w:rsidR="00F75481" w14:paraId="417F817A" w14:textId="77777777">
        <w:tc>
          <w:tcPr>
            <w:tcW w:w="2074" w:type="dxa"/>
          </w:tcPr>
          <w:p w14:paraId="609D9BAD" w14:textId="77777777" w:rsidR="00F75481" w:rsidRDefault="00000000">
            <w:r>
              <w:rPr>
                <w:b/>
              </w:rPr>
              <w:t>Indicator</w:t>
            </w:r>
          </w:p>
        </w:tc>
        <w:tc>
          <w:tcPr>
            <w:tcW w:w="2074" w:type="dxa"/>
          </w:tcPr>
          <w:p w14:paraId="196A2209" w14:textId="77777777" w:rsidR="00F75481" w:rsidRDefault="00000000">
            <w:r>
              <w:rPr>
                <w:b/>
              </w:rPr>
              <w:t>Latest Data Point</w:t>
            </w:r>
          </w:p>
        </w:tc>
        <w:tc>
          <w:tcPr>
            <w:tcW w:w="2074" w:type="dxa"/>
          </w:tcPr>
          <w:p w14:paraId="17A86553" w14:textId="77777777" w:rsidR="00F75481" w:rsidRDefault="00000000">
            <w:r>
              <w:rPr>
                <w:b/>
              </w:rPr>
              <w:t>Region</w:t>
            </w:r>
          </w:p>
        </w:tc>
        <w:tc>
          <w:tcPr>
            <w:tcW w:w="2074" w:type="dxa"/>
          </w:tcPr>
          <w:p w14:paraId="3243E184" w14:textId="77777777" w:rsidR="00F75481" w:rsidRDefault="00000000">
            <w:r>
              <w:rPr>
                <w:b/>
              </w:rPr>
              <w:t>Strategic Meaning</w:t>
            </w:r>
          </w:p>
        </w:tc>
        <w:tc>
          <w:tcPr>
            <w:tcW w:w="2074" w:type="dxa"/>
          </w:tcPr>
          <w:p w14:paraId="712F5FEA" w14:textId="77777777" w:rsidR="00F75481" w:rsidRDefault="00000000">
            <w:r>
              <w:rPr>
                <w:b/>
              </w:rPr>
              <w:t>Source</w:t>
            </w:r>
          </w:p>
        </w:tc>
      </w:tr>
      <w:tr w:rsidR="00F75481" w14:paraId="57E4FDCF" w14:textId="77777777">
        <w:tc>
          <w:tcPr>
            <w:tcW w:w="2074" w:type="dxa"/>
          </w:tcPr>
          <w:p w14:paraId="53970DB2" w14:textId="77777777" w:rsidR="00F75481" w:rsidRDefault="00000000">
            <w:r>
              <w:t>Global EV registrations</w:t>
            </w:r>
          </w:p>
        </w:tc>
        <w:tc>
          <w:tcPr>
            <w:tcW w:w="2074" w:type="dxa"/>
          </w:tcPr>
          <w:p w14:paraId="64F5407A" w14:textId="77777777" w:rsidR="00F75481" w:rsidRDefault="00000000">
            <w:r>
              <w:t>1.8 million in May 2026; up 3% YoY</w:t>
            </w:r>
          </w:p>
        </w:tc>
        <w:tc>
          <w:tcPr>
            <w:tcW w:w="2074" w:type="dxa"/>
          </w:tcPr>
          <w:p w14:paraId="2FB767DB" w14:textId="77777777" w:rsidR="00F75481" w:rsidRDefault="00000000">
            <w:r>
              <w:t>Global</w:t>
            </w:r>
          </w:p>
        </w:tc>
        <w:tc>
          <w:tcPr>
            <w:tcW w:w="2074" w:type="dxa"/>
          </w:tcPr>
          <w:p w14:paraId="2A1806BD" w14:textId="77777777" w:rsidR="00F75481" w:rsidRDefault="00000000">
            <w:r>
              <w:t>EV demand still growing, but uneven by region</w:t>
            </w:r>
          </w:p>
        </w:tc>
        <w:tc>
          <w:tcPr>
            <w:tcW w:w="2074" w:type="dxa"/>
          </w:tcPr>
          <w:p w14:paraId="76C753C1" w14:textId="77777777" w:rsidR="00F75481" w:rsidRDefault="00F75481">
            <w:hyperlink r:id="rId27">
              <w:r>
                <w:rPr>
                  <w:color w:val="B08A3E"/>
                  <w:u w:val="single"/>
                </w:rPr>
                <w:t>Reuters / BMI</w:t>
              </w:r>
            </w:hyperlink>
          </w:p>
        </w:tc>
      </w:tr>
      <w:tr w:rsidR="00F75481" w14:paraId="79B54ED3" w14:textId="77777777">
        <w:tc>
          <w:tcPr>
            <w:tcW w:w="2074" w:type="dxa"/>
          </w:tcPr>
          <w:p w14:paraId="06E9E138" w14:textId="77777777" w:rsidR="00F75481" w:rsidRDefault="00000000">
            <w:r>
              <w:t>India EV retail sales</w:t>
            </w:r>
          </w:p>
        </w:tc>
        <w:tc>
          <w:tcPr>
            <w:tcW w:w="2074" w:type="dxa"/>
          </w:tcPr>
          <w:p w14:paraId="5571CDDA" w14:textId="77777777" w:rsidR="00F75481" w:rsidRDefault="00000000">
            <w:r>
              <w:t>1.28 million EVs from Jan 1–June 4, 2026; 40% growth</w:t>
            </w:r>
          </w:p>
        </w:tc>
        <w:tc>
          <w:tcPr>
            <w:tcW w:w="2074" w:type="dxa"/>
          </w:tcPr>
          <w:p w14:paraId="09F2F9FE" w14:textId="77777777" w:rsidR="00F75481" w:rsidRDefault="00000000">
            <w:r>
              <w:t>India</w:t>
            </w:r>
          </w:p>
        </w:tc>
        <w:tc>
          <w:tcPr>
            <w:tcW w:w="2074" w:type="dxa"/>
          </w:tcPr>
          <w:p w14:paraId="496D37ED" w14:textId="77777777" w:rsidR="00F75481" w:rsidRDefault="00000000">
            <w:r>
              <w:t>India remains a high-growth two-/three-wheeler-led EV market</w:t>
            </w:r>
          </w:p>
        </w:tc>
        <w:tc>
          <w:tcPr>
            <w:tcW w:w="2074" w:type="dxa"/>
          </w:tcPr>
          <w:p w14:paraId="7E0750D7" w14:textId="77777777" w:rsidR="00F75481" w:rsidRDefault="00F75481">
            <w:hyperlink r:id="rId28">
              <w:r>
                <w:rPr>
                  <w:color w:val="B08A3E"/>
                  <w:u w:val="single"/>
                </w:rPr>
                <w:t>Autocar Professional</w:t>
              </w:r>
            </w:hyperlink>
          </w:p>
        </w:tc>
      </w:tr>
      <w:tr w:rsidR="00F75481" w14:paraId="49CCF294" w14:textId="77777777">
        <w:tc>
          <w:tcPr>
            <w:tcW w:w="2074" w:type="dxa"/>
          </w:tcPr>
          <w:p w14:paraId="3B9DE545" w14:textId="77777777" w:rsidR="00F75481" w:rsidRDefault="00000000">
            <w:r>
              <w:t>Global EV sales outlook</w:t>
            </w:r>
          </w:p>
        </w:tc>
        <w:tc>
          <w:tcPr>
            <w:tcW w:w="2074" w:type="dxa"/>
          </w:tcPr>
          <w:p w14:paraId="33716235" w14:textId="751960B9" w:rsidR="00F75481" w:rsidRDefault="00D4121F">
            <w:r w:rsidRPr="00D4121F">
              <w:t>23 million passenger EVs expected globally in 2026, up 11% from 2025</w:t>
            </w:r>
          </w:p>
        </w:tc>
        <w:tc>
          <w:tcPr>
            <w:tcW w:w="2074" w:type="dxa"/>
          </w:tcPr>
          <w:p w14:paraId="1FD15270" w14:textId="77777777" w:rsidR="00F75481" w:rsidRDefault="00000000">
            <w:r>
              <w:t>Global</w:t>
            </w:r>
          </w:p>
        </w:tc>
        <w:tc>
          <w:tcPr>
            <w:tcW w:w="2074" w:type="dxa"/>
          </w:tcPr>
          <w:p w14:paraId="3C545B98" w14:textId="77777777" w:rsidR="00F75481" w:rsidRDefault="00000000">
            <w:r>
              <w:t>Supports cautious capacity planning and affordability focus</w:t>
            </w:r>
          </w:p>
        </w:tc>
        <w:tc>
          <w:tcPr>
            <w:tcW w:w="2074" w:type="dxa"/>
          </w:tcPr>
          <w:p w14:paraId="0B4AA5F2" w14:textId="77777777" w:rsidR="00F75481" w:rsidRDefault="00F75481">
            <w:hyperlink r:id="rId29">
              <w:proofErr w:type="spellStart"/>
              <w:r>
                <w:rPr>
                  <w:color w:val="B08A3E"/>
                  <w:u w:val="single"/>
                </w:rPr>
                <w:t>BloombergNEF</w:t>
              </w:r>
              <w:proofErr w:type="spellEnd"/>
            </w:hyperlink>
          </w:p>
        </w:tc>
      </w:tr>
      <w:tr w:rsidR="00F75481" w14:paraId="2CA10F2B" w14:textId="77777777">
        <w:tc>
          <w:tcPr>
            <w:tcW w:w="2074" w:type="dxa"/>
          </w:tcPr>
          <w:p w14:paraId="56830469" w14:textId="77777777" w:rsidR="00F75481" w:rsidRDefault="00000000">
            <w:r>
              <w:t>CATL sodium-ion storage shipments</w:t>
            </w:r>
          </w:p>
        </w:tc>
        <w:tc>
          <w:tcPr>
            <w:tcW w:w="2074" w:type="dxa"/>
          </w:tcPr>
          <w:p w14:paraId="7B4D1884" w14:textId="77777777" w:rsidR="00F75481" w:rsidRDefault="00000000">
            <w:r>
              <w:t>1 GWh expected by end-2026</w:t>
            </w:r>
          </w:p>
        </w:tc>
        <w:tc>
          <w:tcPr>
            <w:tcW w:w="2074" w:type="dxa"/>
          </w:tcPr>
          <w:p w14:paraId="57B28121" w14:textId="77777777" w:rsidR="00F75481" w:rsidRDefault="00000000">
            <w:r>
              <w:t>China / Global</w:t>
            </w:r>
          </w:p>
        </w:tc>
        <w:tc>
          <w:tcPr>
            <w:tcW w:w="2074" w:type="dxa"/>
          </w:tcPr>
          <w:p w14:paraId="7610AE85" w14:textId="77777777" w:rsidR="00F75481" w:rsidRDefault="00000000">
            <w:r>
              <w:t>Sodium-ion becoming commercially relevant for storage and charging-linked energy systems</w:t>
            </w:r>
          </w:p>
        </w:tc>
        <w:tc>
          <w:tcPr>
            <w:tcW w:w="2074" w:type="dxa"/>
          </w:tcPr>
          <w:p w14:paraId="790414DB" w14:textId="77777777" w:rsidR="00F75481" w:rsidRDefault="00F75481">
            <w:hyperlink r:id="rId30">
              <w:r>
                <w:rPr>
                  <w:color w:val="B08A3E"/>
                  <w:u w:val="single"/>
                </w:rPr>
                <w:t>CATL</w:t>
              </w:r>
            </w:hyperlink>
          </w:p>
        </w:tc>
      </w:tr>
    </w:tbl>
    <w:p w14:paraId="74A50C5C" w14:textId="77777777" w:rsidR="00F75481" w:rsidRDefault="00000000">
      <w:pPr>
        <w:pStyle w:val="Heading1"/>
      </w:pPr>
      <w:r>
        <w:t xml:space="preserve">Turn EV Strategy </w:t>
      </w:r>
      <w:proofErr w:type="gramStart"/>
      <w:r>
        <w:t>Into</w:t>
      </w:r>
      <w:proofErr w:type="gramEnd"/>
      <w:r>
        <w:t xml:space="preserve"> Execution</w:t>
      </w:r>
    </w:p>
    <w:p w14:paraId="7AD81C1B" w14:textId="77777777" w:rsidR="00F75481" w:rsidRDefault="00000000">
      <w:proofErr w:type="spellStart"/>
      <w:r>
        <w:t>GreyRadius</w:t>
      </w:r>
      <w:proofErr w:type="spellEnd"/>
      <w:r>
        <w:t xml:space="preserve"> helps leadership teams translate electrification, battery, charging and energy-system shifts into practical operating decisions, investment priorities and measurable execution plans.</w:t>
      </w:r>
    </w:p>
    <w:p w14:paraId="4FBB444C" w14:textId="77777777" w:rsidR="00F75481" w:rsidRDefault="00F75481">
      <w:hyperlink r:id="rId31">
        <w:r>
          <w:rPr>
            <w:color w:val="B08A3E"/>
            <w:u w:val="single"/>
          </w:rPr>
          <w:t>Book a Strategy Call</w:t>
        </w:r>
      </w:hyperlink>
      <w:r w:rsidR="00000000">
        <w:t xml:space="preserve"> | </w:t>
      </w:r>
      <w:hyperlink r:id="rId32">
        <w:r>
          <w:rPr>
            <w:color w:val="B08A3E"/>
            <w:u w:val="single"/>
          </w:rPr>
          <w:t>Visit Our Website</w:t>
        </w:r>
      </w:hyperlink>
    </w:p>
    <w:p w14:paraId="5E3807A0" w14:textId="77777777" w:rsidR="00F75481" w:rsidRDefault="00000000">
      <w:proofErr w:type="spellStart"/>
      <w:r>
        <w:t>GreyRadius</w:t>
      </w:r>
      <w:proofErr w:type="spellEnd"/>
      <w:r>
        <w:t xml:space="preserve"> | Charged | Weekly EV &amp; Battery Intelligence | 22 June 2026 – 28 June 2026</w:t>
      </w:r>
    </w:p>
    <w:sectPr w:rsidR="00F75481"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5876505">
    <w:abstractNumId w:val="8"/>
  </w:num>
  <w:num w:numId="2" w16cid:durableId="2124035638">
    <w:abstractNumId w:val="6"/>
  </w:num>
  <w:num w:numId="3" w16cid:durableId="1101802984">
    <w:abstractNumId w:val="5"/>
  </w:num>
  <w:num w:numId="4" w16cid:durableId="1840922982">
    <w:abstractNumId w:val="4"/>
  </w:num>
  <w:num w:numId="5" w16cid:durableId="859271648">
    <w:abstractNumId w:val="7"/>
  </w:num>
  <w:num w:numId="6" w16cid:durableId="98795286">
    <w:abstractNumId w:val="3"/>
  </w:num>
  <w:num w:numId="7" w16cid:durableId="1709798137">
    <w:abstractNumId w:val="2"/>
  </w:num>
  <w:num w:numId="8" w16cid:durableId="658047221">
    <w:abstractNumId w:val="1"/>
  </w:num>
  <w:num w:numId="9" w16cid:durableId="967862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398"/>
    <w:rsid w:val="0015074B"/>
    <w:rsid w:val="0029639D"/>
    <w:rsid w:val="002C168E"/>
    <w:rsid w:val="00326F90"/>
    <w:rsid w:val="00AA1D8D"/>
    <w:rsid w:val="00B47730"/>
    <w:rsid w:val="00CB0664"/>
    <w:rsid w:val="00CD57A2"/>
    <w:rsid w:val="00D1680B"/>
    <w:rsid w:val="00D4121F"/>
    <w:rsid w:val="00ED7EBD"/>
    <w:rsid w:val="00F46159"/>
    <w:rsid w:val="00F754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C763B"/>
  <w14:defaultImageDpi w14:val="300"/>
  <w15:docId w15:val="{4FAA981E-07B4-40D9-9C6E-C3B0694A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328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328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328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CD57A2"/>
    <w:rPr>
      <w:sz w:val="16"/>
      <w:szCs w:val="16"/>
    </w:rPr>
  </w:style>
  <w:style w:type="paragraph" w:styleId="CommentText">
    <w:name w:val="annotation text"/>
    <w:basedOn w:val="Normal"/>
    <w:link w:val="CommentTextChar"/>
    <w:uiPriority w:val="99"/>
    <w:semiHidden/>
    <w:unhideWhenUsed/>
    <w:rsid w:val="00CD57A2"/>
    <w:pPr>
      <w:spacing w:line="240" w:lineRule="auto"/>
    </w:pPr>
    <w:rPr>
      <w:sz w:val="20"/>
      <w:szCs w:val="20"/>
    </w:rPr>
  </w:style>
  <w:style w:type="character" w:customStyle="1" w:styleId="CommentTextChar">
    <w:name w:val="Comment Text Char"/>
    <w:basedOn w:val="DefaultParagraphFont"/>
    <w:link w:val="CommentText"/>
    <w:uiPriority w:val="99"/>
    <w:semiHidden/>
    <w:rsid w:val="00CD57A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CD57A2"/>
    <w:rPr>
      <w:b/>
      <w:bCs/>
    </w:rPr>
  </w:style>
  <w:style w:type="character" w:customStyle="1" w:styleId="CommentSubjectChar">
    <w:name w:val="Comment Subject Char"/>
    <w:basedOn w:val="CommentTextChar"/>
    <w:link w:val="CommentSubject"/>
    <w:uiPriority w:val="99"/>
    <w:semiHidden/>
    <w:rsid w:val="00CD57A2"/>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tl.com/en/news/6861.html" TargetMode="External"/><Relationship Id="rId18" Type="http://schemas.openxmlformats.org/officeDocument/2006/relationships/hyperlink" Target="https://www.electrive.com/2026/06/23/nissan-and-valeo-collaborate-on-bidirectional-charging/" TargetMode="External"/><Relationship Id="rId26" Type="http://schemas.openxmlformats.org/officeDocument/2006/relationships/hyperlink" Target="https://www.reuters.com/business/autos-transportation/ev-strategy/" TargetMode="External"/><Relationship Id="rId3" Type="http://schemas.openxmlformats.org/officeDocument/2006/relationships/styles" Target="styles.xml"/><Relationship Id="rId21" Type="http://schemas.openxmlformats.org/officeDocument/2006/relationships/hyperlink" Target="https://www.electrive.com/2026/06/23/vw-and-elli-launch-v2g-offer-with-up-to-e720-euros-annual-bonus/" TargetMode="External"/><Relationship Id="rId34" Type="http://schemas.openxmlformats.org/officeDocument/2006/relationships/theme" Target="theme/theme1.xml"/><Relationship Id="rId7" Type="http://schemas.openxmlformats.org/officeDocument/2006/relationships/hyperlink" Target="https://www.reuters.com/world/india/indias-tata-motors-pv-targets-near-doubling-revenue-sales-volumes-by-2031-2026-06-23/" TargetMode="External"/><Relationship Id="rId12" Type="http://schemas.openxmlformats.org/officeDocument/2006/relationships/image" Target="media/image2.png"/><Relationship Id="rId17" Type="http://schemas.openxmlformats.org/officeDocument/2006/relationships/hyperlink" Target="https://www.catl.com/en/news/6861.html" TargetMode="External"/><Relationship Id="rId25" Type="http://schemas.openxmlformats.org/officeDocument/2006/relationships/hyperlink" Target="https://www.electrive.com/2026/06/26/polestar-faces-us-sales-ban-for-new-models-from-2027/"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electrive.com/2026/06/23/vw-and-elli-launch-v2g-offer-with-up-to-e720-euros-annual-bonus/" TargetMode="External"/><Relationship Id="rId29" Type="http://schemas.openxmlformats.org/officeDocument/2006/relationships/hyperlink" Target="https://about.bnef.com/insights/clean-transport/bloombergnefs-electric-vehicle-outlook-2026-global-ev-sales-set-for-another-record-breaking-year-but-growth-in-some-major-markets-slows/" TargetMode="External"/><Relationship Id="rId1" Type="http://schemas.openxmlformats.org/officeDocument/2006/relationships/customXml" Target="../customXml/item1.xml"/><Relationship Id="rId6" Type="http://schemas.openxmlformats.org/officeDocument/2006/relationships/hyperlink" Target="https://cars.tatamotors.com/investors/overview.html" TargetMode="External"/><Relationship Id="rId11" Type="http://schemas.openxmlformats.org/officeDocument/2006/relationships/hyperlink" Target="https://renewablesnow.com/news/catl-debuts-sodium-ion-bess-in-munich-eyes-1-gwh-of-shipments-in-2026-1296878/" TargetMode="External"/><Relationship Id="rId24" Type="http://schemas.openxmlformats.org/officeDocument/2006/relationships/hyperlink" Target="https://www.electrive.com/2026/06/26/powerco-selects-ocsial-nanotubes-for-battery-additives/" TargetMode="External"/><Relationship Id="rId32" Type="http://schemas.openxmlformats.org/officeDocument/2006/relationships/hyperlink" Target="https://www.greyradius.com" TargetMode="External"/><Relationship Id="rId5" Type="http://schemas.openxmlformats.org/officeDocument/2006/relationships/webSettings" Target="webSettings.xml"/><Relationship Id="rId15" Type="http://schemas.openxmlformats.org/officeDocument/2006/relationships/hyperlink" Target="https://www.electrive.com/2026/06/26/catl-targets-up-to-20000-vehicles-with-sodium-ion-batteries/" TargetMode="External"/><Relationship Id="rId23" Type="http://schemas.openxmlformats.org/officeDocument/2006/relationships/hyperlink" Target="https://ocsial.com/news/?month=6&amp;year=2026" TargetMode="External"/><Relationship Id="rId28" Type="http://schemas.openxmlformats.org/officeDocument/2006/relationships/hyperlink" Target="https://www.autocarpro.in/analysis/world-environment-day-special-91-million-evs-sold-in-india-in-the-past-10-years-132948" TargetMode="External"/><Relationship Id="rId10" Type="http://schemas.openxmlformats.org/officeDocument/2006/relationships/hyperlink" Target="https://www.catl.com/en/news/6861.html" TargetMode="External"/><Relationship Id="rId19" Type="http://schemas.openxmlformats.org/officeDocument/2006/relationships/hyperlink" Target="https://www.electrive.com/2026/06/23/nissan-and-valeo-collaborate-on-bidirectional-charging/" TargetMode="External"/><Relationship Id="rId31" Type="http://schemas.openxmlformats.org/officeDocument/2006/relationships/hyperlink" Target="https://www.greyradius.com/contact.html" TargetMode="External"/><Relationship Id="rId4" Type="http://schemas.openxmlformats.org/officeDocument/2006/relationships/settings" Target="settings.xml"/><Relationship Id="rId9" Type="http://schemas.openxmlformats.org/officeDocument/2006/relationships/hyperlink" Target="https://cars.tatamotors.com/investors/overview.html" TargetMode="External"/><Relationship Id="rId14" Type="http://schemas.openxmlformats.org/officeDocument/2006/relationships/hyperlink" Target="https://www.catl.com/en/news/6861.html" TargetMode="External"/><Relationship Id="rId22" Type="http://schemas.openxmlformats.org/officeDocument/2006/relationships/hyperlink" Target="https://www.electrive.com/2026/06/23/vw-and-elli-launch-v2g-offer-with-up-to-e720-euros-annual-bonus/" TargetMode="External"/><Relationship Id="rId27" Type="http://schemas.openxmlformats.org/officeDocument/2006/relationships/hyperlink" Target="https://www.reuters.com/business/autos-transportation/global-ev-registrations-rise-3-globally-may-bmi-data-shows-2026-06-15/" TargetMode="External"/><Relationship Id="rId30" Type="http://schemas.openxmlformats.org/officeDocument/2006/relationships/hyperlink" Target="https://www.catl.com/en/news/6861.ht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Pages>
  <Words>2243</Words>
  <Characters>12786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SRIVASTAVA</cp:lastModifiedBy>
  <cp:revision>3</cp:revision>
  <dcterms:created xsi:type="dcterms:W3CDTF">2013-12-23T23:15:00Z</dcterms:created>
  <dcterms:modified xsi:type="dcterms:W3CDTF">2026-07-06T10:39:00Z</dcterms:modified>
  <cp:category/>
</cp:coreProperties>
</file>