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A Regional Base Is Not a Revenue Plan.</w:t>
      </w:r>
    </w:p>
    <w:p>
      <w:pPr>
        <w:pStyle w:val="Subtitle"/>
        <w:pageBreakBefore w:val="0"/>
      </w:pPr>
      <w:r>
        <w:rPr>
          <w:i/>
          <w:sz w:val="22"/>
        </w:rPr>
        <w:t>How GreyRadius helped an international B2B company anchor GCC expansion in first-contract access and stage its market commitments.</w:t>
      </w:r>
    </w:p>
    <w:p>
      <w:pPr>
        <w:pStyle w:val="Heading1"/>
        <w:pageBreakBefore w:val="0"/>
      </w:pPr>
      <w:r>
        <w:t>Context</w:t>
      </w:r>
    </w:p>
    <w:p>
      <w:pPr>
        <w:pageBreakBefore w:val="0"/>
        <w:widowControl/>
      </w:pPr>
      <w:r>
        <w:rPr>
          <w:b w:val="0"/>
        </w:rPr>
        <w:t>An international B2B company faced a consequential expansion decision: which GCC country should generate its first regional revenue, and how should subsequent markets follow?</w:t>
      </w:r>
    </w:p>
    <w:p>
      <w:pPr>
        <w:pageBreakBefore w:val="0"/>
        <w:widowControl/>
      </w:pPr>
      <w:r>
        <w:rPr>
          <w:b w:val="0"/>
        </w:rPr>
        <w:t>The immediate temptation was to select an attractive regional base and build outward. That offered a clear location decision, but left the commercial sequence unresolved. Establishing a presence could absorb capital and management attention before the company knew which buyers it could reach, qualify for and serve.</w:t>
      </w:r>
    </w:p>
    <w:p>
      <w:pPr>
        <w:pageBreakBefore w:val="0"/>
        <w:widowControl/>
      </w:pPr>
      <w:r>
        <w:rPr>
          <w:b w:val="0"/>
        </w:rPr>
        <w:t>The risk was committing to multiple markets before establishing a credible first-contract path. Each additional commitment would increase the coordination burden while the revenue assumptions remained untested.</w:t>
      </w:r>
    </w:p>
    <w:p>
      <w:pPr>
        <w:pStyle w:val="Heading1"/>
        <w:pageBreakBefore w:val="0"/>
      </w:pPr>
      <w:r>
        <w:t>The Core Challenge</w:t>
      </w:r>
    </w:p>
    <w:p>
      <w:pPr>
        <w:pageBreakBefore w:val="0"/>
        <w:widowControl/>
      </w:pPr>
      <w:r>
        <w:rPr>
          <w:b w:val="0"/>
        </w:rPr>
      </w:r>
      <w:r>
        <w:rPr>
          <w:b/>
        </w:rPr>
        <w:t>The surface problem was country selection.</w:t>
      </w:r>
      <w:r>
        <w:rPr>
          <w:b w:val="0"/>
        </w:rPr>
        <w:t xml:space="preserve"> Leadership needed a defensible answer to where GCC expansion should begin.</w:t>
      </w:r>
    </w:p>
    <w:p>
      <w:pPr>
        <w:pageBreakBefore w:val="0"/>
        <w:widowControl/>
      </w:pPr>
      <w:r>
        <w:rPr>
          <w:b w:val="0"/>
        </w:rPr>
      </w:r>
      <w:r>
        <w:rPr>
          <w:b/>
        </w:rPr>
        <w:t>The structural issue was the gap between market attractiveness and commercial access.</w:t>
      </w:r>
      <w:r>
        <w:rPr>
          <w:b w:val="0"/>
        </w:rPr>
        <w:t xml:space="preserve"> Buyer concentration, procurement eligibility and delivery requirements had not been brought into one decision.</w:t>
      </w:r>
    </w:p>
    <w:p>
      <w:pPr>
        <w:pageBreakBefore w:val="0"/>
        <w:widowControl/>
      </w:pPr>
      <w:r>
        <w:rPr>
          <w:b w:val="0"/>
        </w:rPr>
        <w:t>A market could appear attractive yet contain few accessible target accounts. A promising buyer could require procurement qualifications the company did not hold. A partner could open a conversation without resolving contracting or delivery obligations.</w:t>
      </w:r>
    </w:p>
    <w:p>
      <w:pPr>
        <w:pageBreakBefore w:val="0"/>
        <w:widowControl/>
      </w:pPr>
      <w:r>
        <w:rPr>
          <w:b w:val="0"/>
        </w:rPr>
        <w:t>Those gaps create organizational friction. Sales can pursue an opportunity that requires a local entity, while setup decisions assume a partner can carry the contract. Delivery requirements can emerge after commercial commitments have been made. Leadership then becomes the escalation point for dependencies that should have shaped market selection.</w:t>
      </w:r>
    </w:p>
    <w:p>
      <w:pPr>
        <w:pageBreakBefore w:val="0"/>
        <w:widowControl/>
      </w:pPr>
      <w:r>
        <w:rPr>
          <w:b w:val="0"/>
        </w:rPr>
        <w:t>The expansion logic needed to connect the buyer, the contract and the operating model before country commitments hardened.</w:t>
      </w:r>
    </w:p>
    <w:p>
      <w:pPr>
        <w:pStyle w:val="Heading1"/>
        <w:pageBreakBefore w:val="0"/>
      </w:pPr>
      <w:r>
        <w:t>The Decision Shift</w:t>
      </w:r>
    </w:p>
    <w:p>
      <w:pPr>
        <w:pageBreakBefore w:val="0"/>
        <w:widowControl/>
      </w:pPr>
      <w:r>
        <w:rPr>
          <w:b w:val="0"/>
        </w:rPr>
        <w:t xml:space="preserve">The company moved from </w:t>
      </w:r>
      <w:r>
        <w:rPr>
          <w:b/>
        </w:rPr>
        <w:t>choosing a regional base first to choosing the market with the clearest path to a qualified, deliverable first contract.</w:t>
      </w:r>
      <w:r>
        <w:rPr>
          <w:b w:val="0"/>
        </w:rPr>
      </w:r>
    </w:p>
    <w:p>
      <w:pPr>
        <w:pageBreakBefore w:val="0"/>
        <w:widowControl/>
      </w:pPr>
      <w:r>
        <w:rPr>
          <w:b w:val="0"/>
        </w:rPr>
        <w:t>The strategic realization was that a regional footprint and a revenue foothold solve different problems. A base provides presence. A first contract requires an identifiable buyer, procurement eligibility, an acceptable contracting route and workable delivery economics.</w:t>
      </w:r>
    </w:p>
    <w:p>
      <w:pPr>
        <w:pageBreakBefore w:val="0"/>
        <w:widowControl/>
      </w:pPr>
      <w:r>
        <w:rPr>
          <w:b w:val="0"/>
        </w:rPr>
        <w:t>The central question changed from “Which country looks most attractive?” to “Where can this company credibly win and fulfil its first contract?”</w:t>
      </w:r>
    </w:p>
    <w:p>
      <w:pPr>
        <w:pageBreakBefore w:val="0"/>
        <w:widowControl/>
      </w:pPr>
      <w:r>
        <w:rPr>
          <w:b w:val="0"/>
        </w:rPr>
        <w:t>That reframing also changed the expansion sequence. Subsequent markets would follow evidence from the first market: accessible demand, a workable sales route and delivery requirements the business could repeat.</w:t>
      </w:r>
    </w:p>
    <w:p>
      <w:pPr>
        <w:pageBreakBefore w:val="0"/>
        <w:widowControl/>
      </w:pPr>
      <w:r>
        <w:rPr>
          <w:b w:val="0"/>
        </w:rPr>
        <w:t>Regional ambition remained intact. The commitment sequence became more disciplined.</w:t>
      </w:r>
    </w:p>
    <w:p>
      <w:pPr>
        <w:pStyle w:val="Heading1"/>
        <w:pageBreakBefore w:val="0"/>
      </w:pPr>
      <w:r>
        <w:t>What Changed in Execution</w:t>
      </w:r>
    </w:p>
    <w:p>
      <w:pPr>
        <w:pageBreakBefore w:val="0"/>
        <w:widowControl/>
      </w:pPr>
      <w:r>
        <w:rPr>
          <w:b w:val="0"/>
        </w:rPr>
        <w:t>Market priority became tied to target buyer concentration and procurement eligibility. Country preference could no longer stand alone; it needed a credible account-level route to revenue.</w:t>
      </w:r>
    </w:p>
    <w:p>
      <w:pPr>
        <w:pageBreakBefore w:val="0"/>
        <w:widowControl/>
      </w:pPr>
      <w:r>
        <w:rPr>
          <w:b w:val="0"/>
        </w:rPr>
        <w:t>Direct sales, partner-led entry and local-entity models were matched to buyer requirements. Each route had to resolve who could access the buyer, hold the contract and meet delivery obligations. Partner access alone was insufficient if the remaining commercial dependencies stayed unresolved.</w:t>
      </w:r>
    </w:p>
    <w:p>
      <w:pPr>
        <w:pageBreakBefore w:val="0"/>
        <w:widowControl/>
      </w:pPr>
      <w:r>
        <w:rPr>
          <w:b w:val="0"/>
        </w:rPr>
        <w:t>Setup commitments were staged against contract access and delivery needs. Expenditure therefore had a business dependency to satisfy, rather than advancing simply because a country had been selected.</w:t>
      </w:r>
    </w:p>
    <w:p>
      <w:pPr>
        <w:pageBreakBefore w:val="0"/>
        <w:widowControl/>
      </w:pPr>
      <w:r>
        <w:rPr>
          <w:b w:val="0"/>
        </w:rPr>
        <w:t>The roadmap also introduced expansion gates. First-market traction and repeatable sales became the basis for subsequent commitments. An isolated opportunity could inform the next decision, but could not by itself establish that the operating model would travel.</w:t>
      </w:r>
    </w:p>
    <w:p>
      <w:pPr>
        <w:pageBreakBefore w:val="0"/>
        <w:widowControl/>
      </w:pPr>
      <w:r>
        <w:rPr>
          <w:b w:val="0"/>
        </w:rPr>
        <w:t>This created a clearer basis for coordination: commercial choices and setup choices had to support the same contract path.</w:t>
      </w:r>
    </w:p>
    <w:p>
      <w:pPr>
        <w:pStyle w:val="Heading1"/>
        <w:pageBreakBefore w:val="0"/>
      </w:pPr>
      <w:r>
        <w:t>Business Impact Delivered</w:t>
      </w:r>
    </w:p>
    <w:p>
      <w:pPr>
        <w:pageBreakBefore w:val="0"/>
        <w:widowControl/>
      </w:pPr>
      <w:r>
        <w:rPr>
          <w:b w:val="0"/>
        </w:rPr>
        <w:t>The delivered impact was a commercially grounded first-country rationale and a staged revenue roadmap.</w:t>
      </w:r>
    </w:p>
    <w:p>
      <w:pPr>
        <w:pageBreakBefore w:val="0"/>
        <w:widowControl/>
      </w:pPr>
      <w:r>
        <w:rPr>
          <w:b w:val="0"/>
        </w:rPr>
        <w:t>Leadership had a stronger basis for deciding where to commit, which entry model to use and what evidence should precede further expansion. The roadmap made the relationship between buyer access, setup requirements and delivery obligations explicit.</w:t>
      </w:r>
    </w:p>
    <w:p>
      <w:pPr>
        <w:pageBreakBefore w:val="0"/>
        <w:widowControl/>
      </w:pPr>
      <w:r>
        <w:rPr>
          <w:b w:val="0"/>
        </w:rPr>
        <w:t>This was a decision and sequencing outcome. Realised revenue, setup savings and time to first contract remain unverified. The available inputs do not support claims of faster sales, lower costs or a successful regional rollout.</w:t>
      </w:r>
    </w:p>
    <w:p>
      <w:pPr>
        <w:pStyle w:val="Heading1"/>
        <w:pageBreakBefore w:val="0"/>
      </w:pPr>
      <w:r>
        <w:t>Key Outcomes</w:t>
      </w:r>
    </w:p>
    <w:p>
      <w:pPr>
        <w:pStyle w:val="ListBullet"/>
        <w:pageBreakBefore w:val="0"/>
        <w:widowControl/>
      </w:pPr>
      <w:r>
        <w:rPr>
          <w:b w:val="0"/>
        </w:rPr>
        <w:t>First-country selection anchored in accessible buyers and a credible contract path.</w:t>
      </w:r>
    </w:p>
    <w:p>
      <w:pPr>
        <w:pStyle w:val="ListBullet"/>
        <w:pageBreakBefore w:val="0"/>
        <w:widowControl/>
      </w:pPr>
      <w:r>
        <w:rPr>
          <w:b w:val="0"/>
        </w:rPr>
        <w:t>Entry models aligned with procurement and delivery requirements.</w:t>
      </w:r>
    </w:p>
    <w:p>
      <w:pPr>
        <w:pStyle w:val="ListBullet"/>
        <w:pageBreakBefore w:val="0"/>
        <w:widowControl/>
      </w:pPr>
      <w:r>
        <w:rPr>
          <w:b w:val="0"/>
        </w:rPr>
        <w:t>Setup commitments linked to commercial dependencies.</w:t>
      </w:r>
    </w:p>
    <w:p>
      <w:pPr>
        <w:pStyle w:val="ListBullet"/>
        <w:pageBreakBefore w:val="0"/>
        <w:widowControl/>
      </w:pPr>
      <w:r>
        <w:rPr>
          <w:b w:val="0"/>
        </w:rPr>
        <w:t>Subsequent expansion gated by first-market traction and repeatable sales.</w:t>
      </w:r>
    </w:p>
    <w:p>
      <w:pPr>
        <w:pageBreakBefore w:val="0"/>
        <w:widowControl/>
      </w:pPr>
      <w:r>
        <w:rPr>
          <w:b w:val="0"/>
        </w:rPr>
        <w:t>The number of markets evaluated, qualified buyers by market, setup costs and time to first contract were not supplied.</w:t>
      </w:r>
    </w:p>
    <w:p>
      <w:pPr>
        <w:pageBreakBefore w:val="0"/>
        <w:widowControl/>
      </w:pPr>
      <w:r>
        <w:rPr>
          <w:b w:val="0"/>
        </w:rPr>
        <w:t>The strongest first GCC market is where buyer access, procurement eligibility and delivery economics align. Expansion becomes scalable when the next country repeats a workable route to revenue, rather than adding another layer of presence.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