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48F6" w14:textId="77777777" w:rsidR="00E212DE" w:rsidRDefault="00000000" w:rsidP="00E212DE">
      <w:pPr>
        <w:pStyle w:val="Title"/>
      </w:pPr>
      <w:r>
        <w:t>The Country Was Attractive.</w:t>
      </w:r>
      <w:r>
        <w:br/>
        <w:t>The Wrong Location Could Still Break the Economics.</w:t>
      </w:r>
    </w:p>
    <w:p w14:paraId="3B8C1BE9" w14:textId="77777777" w:rsidR="00E212DE" w:rsidRDefault="00E212DE" w:rsidP="00E212DE">
      <w:pPr>
        <w:pStyle w:val="Title"/>
      </w:pPr>
    </w:p>
    <w:p w14:paraId="4371AC59" w14:textId="6B79D277" w:rsidR="00AC499D" w:rsidRDefault="00000000" w:rsidP="00E212DE">
      <w:pPr>
        <w:pStyle w:val="Title"/>
      </w:pPr>
      <w:r>
        <w:rPr>
          <w:i/>
          <w:sz w:val="22"/>
        </w:rPr>
        <w:t xml:space="preserve">How </w:t>
      </w:r>
      <w:proofErr w:type="spellStart"/>
      <w:r>
        <w:rPr>
          <w:i/>
          <w:sz w:val="22"/>
        </w:rPr>
        <w:t>GreyRadius</w:t>
      </w:r>
      <w:proofErr w:type="spellEnd"/>
      <w:r>
        <w:rPr>
          <w:i/>
          <w:sz w:val="22"/>
        </w:rPr>
        <w:t xml:space="preserve"> helped a European industrial components manufacturer turn Vietnam market entry into a location-specific manufacturing decision built around supplier, infrastructure, logistics, and regulatory fit.</w:t>
      </w:r>
    </w:p>
    <w:p w14:paraId="7AEDBBD4" w14:textId="77777777" w:rsidR="00AC499D" w:rsidRDefault="00000000">
      <w:pPr>
        <w:pStyle w:val="Heading1"/>
      </w:pPr>
      <w:r>
        <w:t>Context</w:t>
      </w:r>
    </w:p>
    <w:p w14:paraId="0D4BAAA1" w14:textId="77777777" w:rsidR="00AC499D" w:rsidRDefault="00000000">
      <w:pPr>
        <w:spacing w:line="259" w:lineRule="auto"/>
      </w:pPr>
      <w:r>
        <w:t>Vietnam presented a compelling manufacturing proposition: a competitive production base, established industrial clusters, access to regional supply chains, and connectivity to international export markets.</w:t>
      </w:r>
    </w:p>
    <w:p w14:paraId="2ADDAAA5" w14:textId="77777777" w:rsidR="00AC499D" w:rsidRDefault="00000000">
      <w:pPr>
        <w:spacing w:line="259" w:lineRule="auto"/>
      </w:pPr>
      <w:r>
        <w:t>For the European components manufacturer, however, the investment decision was more complex than deciding whether Vietnam was attractive. Production economics would ultimately be determined at the location level.</w:t>
      </w:r>
    </w:p>
    <w:p w14:paraId="14E852B6" w14:textId="77777777" w:rsidR="00AC499D" w:rsidRDefault="00000000">
      <w:pPr>
        <w:spacing w:line="259" w:lineRule="auto"/>
      </w:pPr>
      <w:r>
        <w:t>An industrial zone with lower apparent operating costs could become materially less attractive if critical suppliers were distant, utilities constrained, logistics inefficient, or permitting delayed. Equally, a strong supplier cluster could lose its advantage if export connectivity or production infrastructure did not support the company's operating requirements.</w:t>
      </w:r>
    </w:p>
    <w:p w14:paraId="2FB9D0A2" w14:textId="77777777" w:rsidR="00AC499D" w:rsidRDefault="00000000">
      <w:pPr>
        <w:spacing w:line="259" w:lineRule="auto"/>
      </w:pPr>
      <w:r>
        <w:t>The surface problem appeared to be site selection. The underlying business risk was committing capital before understanding whether the surrounding industrial ecosystem could support production at the required cost, quality, speed, and scale.</w:t>
      </w:r>
    </w:p>
    <w:p w14:paraId="06859964" w14:textId="77777777" w:rsidR="00AC499D" w:rsidRDefault="00000000">
      <w:pPr>
        <w:pStyle w:val="Heading1"/>
      </w:pPr>
      <w:r>
        <w:t>The Core Challenge</w:t>
      </w:r>
    </w:p>
    <w:p w14:paraId="4E5A5031" w14:textId="77777777" w:rsidR="00AC499D" w:rsidRDefault="00000000">
      <w:pPr>
        <w:spacing w:line="259" w:lineRule="auto"/>
      </w:pPr>
      <w:r>
        <w:t>The initial assessment treated Vietnam largely as a country-level manufacturing opportunity. That view was insufficient for an investment decision.</w:t>
      </w:r>
    </w:p>
    <w:p w14:paraId="79C350D9" w14:textId="77777777" w:rsidR="00AC499D" w:rsidRDefault="00000000">
      <w:pPr>
        <w:spacing w:line="259" w:lineRule="auto"/>
      </w:pPr>
      <w:r>
        <w:t>Industrial zones differed in supplier depth, labor availability, utility readiness, logistics connectivity, regulatory requirements, and proximity to ports and export corridors. These differences created execution dependencies that would only become visible after investment if location selection was driven primarily by headline cost advantages.</w:t>
      </w:r>
    </w:p>
    <w:p w14:paraId="550187FF" w14:textId="77777777" w:rsidR="00AC499D" w:rsidRDefault="00000000">
      <w:pPr>
        <w:spacing w:line="259" w:lineRule="auto"/>
      </w:pPr>
      <w:r>
        <w:t>The structural issue was therefore not simply identifying the "best" industrial zone. It was aligning five interdependent decisions: site, suppliers, logistics, infrastructure, and regulation.</w:t>
      </w:r>
    </w:p>
    <w:p w14:paraId="36CB2285" w14:textId="77777777" w:rsidR="00AC499D" w:rsidRDefault="00000000">
      <w:pPr>
        <w:spacing w:line="259" w:lineRule="auto"/>
      </w:pPr>
      <w:r>
        <w:t>A weakness in any one could affect the economics of the others. Greater supplier distance could increase landed cost and inventory requirements. Infrastructure constraints could delay ramp-up. Limited local supplier capability could increase import dependence. Permitting dependencies could leave committed production capacity waiting for operational readiness.</w:t>
      </w:r>
    </w:p>
    <w:p w14:paraId="29F81CD6" w14:textId="77777777" w:rsidR="00AC499D" w:rsidRDefault="00000000">
      <w:pPr>
        <w:spacing w:line="259" w:lineRule="auto"/>
      </w:pPr>
      <w:r>
        <w:t>Without an ecosystem-level view, leadership risked optimizing the site while weakening the manufacturing model.</w:t>
      </w:r>
    </w:p>
    <w:p w14:paraId="2E771363" w14:textId="77777777" w:rsidR="00AC499D" w:rsidRDefault="00000000">
      <w:pPr>
        <w:pStyle w:val="Heading1"/>
      </w:pPr>
      <w:r>
        <w:lastRenderedPageBreak/>
        <w:t>The Decision Shift</w:t>
      </w:r>
    </w:p>
    <w:p w14:paraId="292F880B" w14:textId="77777777" w:rsidR="00AC499D" w:rsidRDefault="00000000">
      <w:pPr>
        <w:spacing w:line="259" w:lineRule="auto"/>
      </w:pPr>
      <w:r>
        <w:t xml:space="preserve">The critical shift was from: "Is Vietnam a competitive manufacturing destination?" to: "Which industrial ecosystem in Vietnam can support the operating model we need?" </w:t>
      </w:r>
    </w:p>
    <w:p w14:paraId="1F82E7FD" w14:textId="77777777" w:rsidR="00AC499D" w:rsidRDefault="00000000">
      <w:pPr>
        <w:spacing w:line="259" w:lineRule="auto"/>
      </w:pPr>
      <w:r>
        <w:t>This reframed location selection from a real-estate or labor-cost decision into a manufacturing-system decision.</w:t>
      </w:r>
    </w:p>
    <w:p w14:paraId="7C0A8E27" w14:textId="77777777" w:rsidR="00AC499D" w:rsidRDefault="00000000">
      <w:pPr>
        <w:spacing w:line="259" w:lineRule="auto"/>
      </w:pPr>
      <w:r>
        <w:t>The company stopped treating low cost as the primary indicator of location attractiveness. The more relevant question became total execution fit: whether the selected location could connect qualified suppliers, production infrastructure, workforce, logistics, regulatory approvals, and export access without creating excessive dependencies.</w:t>
      </w:r>
    </w:p>
    <w:p w14:paraId="3BFC65AE" w14:textId="77777777" w:rsidR="00AC499D" w:rsidRDefault="00000000">
      <w:pPr>
        <w:spacing w:line="259" w:lineRule="auto"/>
      </w:pPr>
      <w:r>
        <w:t>That changed the investment logic. Vietnam remained the manufacturing destination. But the investment case now depended on choosing the right ecosystem within Vietnam - not simply entering the country.</w:t>
      </w:r>
    </w:p>
    <w:p w14:paraId="5CD59342" w14:textId="77777777" w:rsidR="00AC499D" w:rsidRDefault="00000000">
      <w:pPr>
        <w:pStyle w:val="Heading1"/>
      </w:pPr>
      <w:r>
        <w:t>What Changed in Execution</w:t>
      </w:r>
    </w:p>
    <w:p w14:paraId="087F3D05" w14:textId="77777777" w:rsidR="00AC499D" w:rsidRDefault="00000000">
      <w:pPr>
        <w:spacing w:line="259" w:lineRule="auto"/>
      </w:pPr>
      <w:r>
        <w:t>Industrial zones were differentiated against the requirements that would determine production viability: manufacturing fit, labor access, utility readiness, logistics connectivity, regulatory conditions, and proximity to critical supply.</w:t>
      </w:r>
    </w:p>
    <w:p w14:paraId="1454ADD4" w14:textId="77777777" w:rsidR="00AC499D" w:rsidRDefault="00000000">
      <w:pPr>
        <w:spacing w:line="259" w:lineRule="auto"/>
      </w:pPr>
      <w:r>
        <w:t>Supplier readiness became part of the location decision rather than a downstream sourcing exercise. Critical component requirements were linked to available supplier capabilities, qualification needs, and realistic localization potential.</w:t>
      </w:r>
    </w:p>
    <w:p w14:paraId="0F9D5CA9" w14:textId="77777777" w:rsidR="00AC499D" w:rsidRDefault="00000000">
      <w:pPr>
        <w:spacing w:line="259" w:lineRule="auto"/>
      </w:pPr>
      <w:r>
        <w:t>Site attractiveness was also connected to outbound economics. Proximity to suppliers mattered, but so did access to ports, transport corridors, and target export markets. This reduced the risk of selecting a low-cost production site that created higher supply-chain costs elsewhere.</w:t>
      </w:r>
    </w:p>
    <w:p w14:paraId="22F86D2E" w14:textId="77777777" w:rsidR="00AC499D" w:rsidRDefault="00000000">
      <w:pPr>
        <w:spacing w:line="259" w:lineRule="auto"/>
      </w:pPr>
      <w:r>
        <w:t>Most importantly, the production start was treated as a sequence of interdependent readiness gates rather than a single commissioning date. Permitting, infrastructure availability, supplier qualification, and production ramp-up were aligned so that capital commitment did not run materially ahead of operating readiness.</w:t>
      </w:r>
    </w:p>
    <w:p w14:paraId="2F813083" w14:textId="77777777" w:rsidR="00AC499D" w:rsidRDefault="00000000">
      <w:pPr>
        <w:spacing w:line="259" w:lineRule="auto"/>
      </w:pPr>
      <w:r>
        <w:t>The result was greater execution visibility before irreversible investment decisions were made.</w:t>
      </w:r>
    </w:p>
    <w:p w14:paraId="0A2EF147" w14:textId="77777777" w:rsidR="00AC499D" w:rsidRDefault="00000000">
      <w:pPr>
        <w:pStyle w:val="Heading1"/>
      </w:pPr>
      <w:r>
        <w:t>Business Impact Delivered</w:t>
      </w:r>
    </w:p>
    <w:p w14:paraId="45EAE28C" w14:textId="77777777" w:rsidR="00AC499D" w:rsidRDefault="00000000">
      <w:pPr>
        <w:spacing w:line="259" w:lineRule="auto"/>
      </w:pPr>
      <w:r>
        <w:t>The revised decision architecture reduced uncertainty around where and how the Vietnam manufacturing operation should be established.</w:t>
      </w:r>
    </w:p>
    <w:p w14:paraId="5F01DFB6" w14:textId="77777777" w:rsidR="00AC499D" w:rsidRDefault="00000000">
      <w:pPr>
        <w:spacing w:line="259" w:lineRule="auto"/>
      </w:pPr>
      <w:r>
        <w:t>Leadership gained a clearer basis for comparing locations beyond headline labor and facility economics. Supplier dependencies became visible earlier, allowing localization potential and import exposure to influence the investment decision before production commitments were locked in.</w:t>
      </w:r>
    </w:p>
    <w:p w14:paraId="65F03490" w14:textId="77777777" w:rsidR="00AC499D" w:rsidRDefault="00000000">
      <w:pPr>
        <w:spacing w:line="259" w:lineRule="auto"/>
      </w:pPr>
      <w:r>
        <w:t>The approach also improved supply-chain readiness by connecting site selection directly with supplier proximity, qualification requirements, logistics economics, and export connectivity.</w:t>
      </w:r>
    </w:p>
    <w:p w14:paraId="4B1D6449" w14:textId="77777777" w:rsidR="00AC499D" w:rsidRDefault="00000000">
      <w:pPr>
        <w:spacing w:line="259" w:lineRule="auto"/>
      </w:pPr>
      <w:r>
        <w:t>For the production ramp-up, clearer dependencies between permits, infrastructure, suppliers, and manufacturing readiness reduced the risk of avoidable sequencing delays.</w:t>
      </w:r>
    </w:p>
    <w:p w14:paraId="419D148B" w14:textId="77777777" w:rsidR="00AC499D" w:rsidRDefault="00000000">
      <w:pPr>
        <w:spacing w:line="259" w:lineRule="auto"/>
      </w:pPr>
      <w:r>
        <w:t>The commercial value was not simply finding a location. It was reducing the probability that the wrong location would create recurring cost and execution penalties after capital had already been committed.</w:t>
      </w:r>
    </w:p>
    <w:p w14:paraId="4229F209" w14:textId="77777777" w:rsidR="00AC499D" w:rsidRDefault="00000000">
      <w:pPr>
        <w:pStyle w:val="Heading1"/>
      </w:pPr>
      <w:r>
        <w:lastRenderedPageBreak/>
        <w:t>Key Outcomes</w:t>
      </w:r>
    </w:p>
    <w:p w14:paraId="5E371F6E" w14:textId="77777777" w:rsidR="00AC499D" w:rsidRDefault="00000000">
      <w:pPr>
        <w:pStyle w:val="ListBullet"/>
      </w:pPr>
      <w:r>
        <w:rPr>
          <w:b/>
        </w:rPr>
        <w:t xml:space="preserve">Industrial zones assessed: </w:t>
      </w:r>
      <w:r>
        <w:t>To be confirmed</w:t>
      </w:r>
    </w:p>
    <w:p w14:paraId="03BDA8D7" w14:textId="77777777" w:rsidR="00AC499D" w:rsidRDefault="00000000">
      <w:pPr>
        <w:pStyle w:val="ListBullet"/>
      </w:pPr>
      <w:r>
        <w:rPr>
          <w:b/>
        </w:rPr>
        <w:t xml:space="preserve">Suppliers mapped / qualified: </w:t>
      </w:r>
      <w:r>
        <w:t>To be confirmed</w:t>
      </w:r>
    </w:p>
    <w:p w14:paraId="1E02E679" w14:textId="77777777" w:rsidR="00AC499D" w:rsidRDefault="00000000">
      <w:pPr>
        <w:pStyle w:val="ListBullet"/>
      </w:pPr>
      <w:r>
        <w:rPr>
          <w:b/>
        </w:rPr>
        <w:t xml:space="preserve">Timeline to production start: </w:t>
      </w:r>
      <w:r>
        <w:t>To be confirmed</w:t>
      </w:r>
    </w:p>
    <w:p w14:paraId="7050636E" w14:textId="77777777" w:rsidR="00AC499D" w:rsidRDefault="00000000">
      <w:pPr>
        <w:pStyle w:val="ListBullet"/>
      </w:pPr>
      <w:r>
        <w:rPr>
          <w:b/>
        </w:rPr>
        <w:t xml:space="preserve">Location-selection risk: </w:t>
      </w:r>
      <w:r>
        <w:t>Reduced through ecosystem-level comparison</w:t>
      </w:r>
    </w:p>
    <w:p w14:paraId="57036AFF" w14:textId="77777777" w:rsidR="00AC499D" w:rsidRDefault="00000000">
      <w:pPr>
        <w:pStyle w:val="ListBullet"/>
      </w:pPr>
      <w:r>
        <w:rPr>
          <w:b/>
        </w:rPr>
        <w:t xml:space="preserve">Supply-chain readiness: </w:t>
      </w:r>
      <w:r>
        <w:t>Improved by linking supplier capability directly to site selection</w:t>
      </w:r>
    </w:p>
    <w:p w14:paraId="392C922D" w14:textId="77777777" w:rsidR="00AC499D" w:rsidRDefault="00000000">
      <w:pPr>
        <w:pStyle w:val="ListBullet"/>
      </w:pPr>
      <w:r>
        <w:rPr>
          <w:b/>
        </w:rPr>
        <w:t xml:space="preserve">Investment visibility: </w:t>
      </w:r>
      <w:r>
        <w:t>Stronger alignment between capital commitment and operational readiness</w:t>
      </w:r>
    </w:p>
    <w:p w14:paraId="7DF0A482" w14:textId="77777777" w:rsidR="00AC499D" w:rsidRDefault="00000000">
      <w:pPr>
        <w:spacing w:before="160" w:after="0"/>
      </w:pPr>
      <w:r>
        <w:rPr>
          <w:b/>
        </w:rPr>
        <w:t>For manufacturing expansion, country attractiveness is only the first filter. The economics are ultimately won or lost at the ecosystem level - where site, suppliers, infrastructure, logistics, and regulation either reinforce one another or create permanent operating friction.</w:t>
      </w:r>
    </w:p>
    <w:p w14:paraId="13E3F91A" w14:textId="77777777" w:rsidR="00AC499D" w:rsidRDefault="00000000">
      <w:r>
        <w:br w:type="page"/>
      </w:r>
    </w:p>
    <w:p w14:paraId="2BD82740" w14:textId="77777777" w:rsidR="00AC499D" w:rsidRDefault="00000000">
      <w:pPr>
        <w:pStyle w:val="Title"/>
      </w:pPr>
      <w:r>
        <w:lastRenderedPageBreak/>
        <w:t>The Country Was Attractive.</w:t>
      </w:r>
      <w:r>
        <w:br/>
        <w:t>The Wrong Location Could Still Break the Economics.</w:t>
      </w:r>
    </w:p>
    <w:p w14:paraId="1E667CB2" w14:textId="77777777" w:rsidR="00AC499D" w:rsidRDefault="00000000">
      <w:r>
        <w:rPr>
          <w:i/>
        </w:rPr>
        <w:t>How GreyRadius helped a European components manufacturer convert Vietnam market entry into an ecosystem-level manufacturing decision.</w:t>
      </w:r>
    </w:p>
    <w:tbl>
      <w:tblPr>
        <w:tblW w:w="0" w:type="auto"/>
        <w:jc w:val="center"/>
        <w:tblLayout w:type="fixed"/>
        <w:tblLook w:val="04A0" w:firstRow="1" w:lastRow="0" w:firstColumn="1" w:lastColumn="0" w:noHBand="0" w:noVBand="1"/>
      </w:tblPr>
      <w:tblGrid>
        <w:gridCol w:w="2376"/>
        <w:gridCol w:w="8424"/>
      </w:tblGrid>
      <w:tr w:rsidR="00AC499D" w14:paraId="6D2DFB16" w14:textId="77777777">
        <w:trPr>
          <w:jc w:val="center"/>
        </w:trPr>
        <w:tc>
          <w:tcPr>
            <w:tcW w:w="2376" w:type="dxa"/>
            <w:tcMar>
              <w:top w:w="90" w:type="dxa"/>
              <w:left w:w="90" w:type="dxa"/>
              <w:bottom w:w="90" w:type="dxa"/>
              <w:right w:w="90" w:type="dxa"/>
            </w:tcMar>
            <w:vAlign w:val="center"/>
          </w:tcPr>
          <w:p w14:paraId="5CCA8637" w14:textId="77777777" w:rsidR="00AC499D" w:rsidRDefault="00000000">
            <w:r>
              <w:rPr>
                <w:b/>
                <w:sz w:val="19"/>
              </w:rPr>
              <w:t>Context</w:t>
            </w:r>
          </w:p>
        </w:tc>
        <w:tc>
          <w:tcPr>
            <w:tcW w:w="8424" w:type="dxa"/>
            <w:tcMar>
              <w:top w:w="90" w:type="dxa"/>
              <w:left w:w="90" w:type="dxa"/>
              <w:bottom w:w="90" w:type="dxa"/>
              <w:right w:w="90" w:type="dxa"/>
            </w:tcMar>
            <w:vAlign w:val="center"/>
          </w:tcPr>
          <w:p w14:paraId="608BC5BE" w14:textId="77777777" w:rsidR="00AC499D" w:rsidRDefault="00000000">
            <w:r>
              <w:rPr>
                <w:sz w:val="18"/>
              </w:rPr>
              <w:t>A European components manufacturer was evaluating Vietnam as a production base. The investment depended on selecting not just a site, but an industrial ecosystem capable of supporting competitive production and export.</w:t>
            </w:r>
          </w:p>
        </w:tc>
      </w:tr>
      <w:tr w:rsidR="00AC499D" w14:paraId="7BA775C5" w14:textId="77777777">
        <w:trPr>
          <w:jc w:val="center"/>
        </w:trPr>
        <w:tc>
          <w:tcPr>
            <w:tcW w:w="2376" w:type="dxa"/>
            <w:tcMar>
              <w:top w:w="90" w:type="dxa"/>
              <w:left w:w="90" w:type="dxa"/>
              <w:bottom w:w="90" w:type="dxa"/>
              <w:right w:w="90" w:type="dxa"/>
            </w:tcMar>
            <w:vAlign w:val="center"/>
          </w:tcPr>
          <w:p w14:paraId="18067EDE" w14:textId="77777777" w:rsidR="00AC499D" w:rsidRDefault="00000000">
            <w:r>
              <w:rPr>
                <w:b/>
                <w:sz w:val="19"/>
              </w:rPr>
              <w:t>The Core Challenge</w:t>
            </w:r>
          </w:p>
        </w:tc>
        <w:tc>
          <w:tcPr>
            <w:tcW w:w="8424" w:type="dxa"/>
            <w:tcMar>
              <w:top w:w="90" w:type="dxa"/>
              <w:left w:w="90" w:type="dxa"/>
              <w:bottom w:w="90" w:type="dxa"/>
              <w:right w:w="90" w:type="dxa"/>
            </w:tcMar>
            <w:vAlign w:val="center"/>
          </w:tcPr>
          <w:p w14:paraId="4C3DD880" w14:textId="77777777" w:rsidR="00AC499D" w:rsidRDefault="00000000">
            <w:r>
              <w:rPr>
                <w:sz w:val="18"/>
              </w:rPr>
              <w:t>Surface problem: Which industrial zone should the company select?</w:t>
            </w:r>
            <w:r>
              <w:rPr>
                <w:sz w:val="18"/>
              </w:rPr>
              <w:br/>
              <w:t>Structural issue: Country-level cost advantages masked major differences in supplier depth, utilities, labor, logistics, permitting, and export connectivity.</w:t>
            </w:r>
          </w:p>
        </w:tc>
      </w:tr>
      <w:tr w:rsidR="00AC499D" w14:paraId="27666895" w14:textId="77777777">
        <w:trPr>
          <w:jc w:val="center"/>
        </w:trPr>
        <w:tc>
          <w:tcPr>
            <w:tcW w:w="2376" w:type="dxa"/>
            <w:tcMar>
              <w:top w:w="90" w:type="dxa"/>
              <w:left w:w="90" w:type="dxa"/>
              <w:bottom w:w="90" w:type="dxa"/>
              <w:right w:w="90" w:type="dxa"/>
            </w:tcMar>
            <w:vAlign w:val="center"/>
          </w:tcPr>
          <w:p w14:paraId="625E0D83" w14:textId="77777777" w:rsidR="00AC499D" w:rsidRDefault="00000000">
            <w:r>
              <w:rPr>
                <w:b/>
                <w:sz w:val="19"/>
              </w:rPr>
              <w:t>The Decision Shift</w:t>
            </w:r>
          </w:p>
        </w:tc>
        <w:tc>
          <w:tcPr>
            <w:tcW w:w="8424" w:type="dxa"/>
            <w:tcMar>
              <w:top w:w="90" w:type="dxa"/>
              <w:left w:w="90" w:type="dxa"/>
              <w:bottom w:w="90" w:type="dxa"/>
              <w:right w:w="90" w:type="dxa"/>
            </w:tcMar>
            <w:vAlign w:val="center"/>
          </w:tcPr>
          <w:p w14:paraId="4D3939AC" w14:textId="77777777" w:rsidR="00AC499D" w:rsidRDefault="00000000">
            <w:r>
              <w:rPr>
                <w:sz w:val="18"/>
              </w:rPr>
              <w:t>Vietnam as a low-cost manufacturing destination -&gt; Vietnam as a portfolio of distinct manufacturing ecosystems. Site economics could not be separated from supplier, infrastructure, logistics, and regulatory fit.</w:t>
            </w:r>
          </w:p>
        </w:tc>
      </w:tr>
      <w:tr w:rsidR="00AC499D" w14:paraId="14DB4256" w14:textId="77777777">
        <w:trPr>
          <w:jc w:val="center"/>
        </w:trPr>
        <w:tc>
          <w:tcPr>
            <w:tcW w:w="2376" w:type="dxa"/>
            <w:tcMar>
              <w:top w:w="90" w:type="dxa"/>
              <w:left w:w="90" w:type="dxa"/>
              <w:bottom w:w="90" w:type="dxa"/>
              <w:right w:w="90" w:type="dxa"/>
            </w:tcMar>
            <w:vAlign w:val="center"/>
          </w:tcPr>
          <w:p w14:paraId="1EC6E197" w14:textId="77777777" w:rsidR="00AC499D" w:rsidRDefault="00000000">
            <w:r>
              <w:rPr>
                <w:b/>
                <w:sz w:val="19"/>
              </w:rPr>
              <w:t>What Changed in Execution</w:t>
            </w:r>
          </w:p>
        </w:tc>
        <w:tc>
          <w:tcPr>
            <w:tcW w:w="8424" w:type="dxa"/>
            <w:tcMar>
              <w:top w:w="90" w:type="dxa"/>
              <w:left w:w="90" w:type="dxa"/>
              <w:bottom w:w="90" w:type="dxa"/>
              <w:right w:w="90" w:type="dxa"/>
            </w:tcMar>
            <w:vAlign w:val="center"/>
          </w:tcPr>
          <w:p w14:paraId="4EC91FF1" w14:textId="77777777" w:rsidR="00AC499D" w:rsidRDefault="00000000">
            <w:r>
              <w:rPr>
                <w:sz w:val="18"/>
              </w:rPr>
              <w:t>Industrial zones prioritized against operating requirements • Supplier readiness incorporated into location choice • Site economics linked to supplier proximity and export connectivity • Ramp-up aligned with permitting, infrastructure, and supplier qualification</w:t>
            </w:r>
          </w:p>
        </w:tc>
      </w:tr>
      <w:tr w:rsidR="00AC499D" w14:paraId="3218B50C" w14:textId="77777777">
        <w:trPr>
          <w:jc w:val="center"/>
        </w:trPr>
        <w:tc>
          <w:tcPr>
            <w:tcW w:w="2376" w:type="dxa"/>
            <w:tcMar>
              <w:top w:w="90" w:type="dxa"/>
              <w:left w:w="90" w:type="dxa"/>
              <w:bottom w:w="90" w:type="dxa"/>
              <w:right w:w="90" w:type="dxa"/>
            </w:tcMar>
            <w:vAlign w:val="center"/>
          </w:tcPr>
          <w:p w14:paraId="3A8C924B" w14:textId="77777777" w:rsidR="00AC499D" w:rsidRDefault="00000000">
            <w:r>
              <w:rPr>
                <w:b/>
                <w:sz w:val="19"/>
              </w:rPr>
              <w:t>Business Impact Delivered</w:t>
            </w:r>
          </w:p>
        </w:tc>
        <w:tc>
          <w:tcPr>
            <w:tcW w:w="8424" w:type="dxa"/>
            <w:tcMar>
              <w:top w:w="90" w:type="dxa"/>
              <w:left w:w="90" w:type="dxa"/>
              <w:bottom w:w="90" w:type="dxa"/>
              <w:right w:w="90" w:type="dxa"/>
            </w:tcMar>
            <w:vAlign w:val="center"/>
          </w:tcPr>
          <w:p w14:paraId="3DD511CD" w14:textId="77777777" w:rsidR="00AC499D" w:rsidRDefault="00000000">
            <w:r>
              <w:rPr>
                <w:sz w:val="18"/>
              </w:rPr>
              <w:t>Reduced location-selection risk • Improved supply-chain readiness • Lower exposure to hidden infrastructure and supplier dependencies • Clearer sequencing from capital commitment to production start</w:t>
            </w:r>
          </w:p>
        </w:tc>
      </w:tr>
      <w:tr w:rsidR="00AC499D" w14:paraId="51388C62" w14:textId="77777777">
        <w:trPr>
          <w:jc w:val="center"/>
        </w:trPr>
        <w:tc>
          <w:tcPr>
            <w:tcW w:w="2376" w:type="dxa"/>
            <w:tcMar>
              <w:top w:w="90" w:type="dxa"/>
              <w:left w:w="90" w:type="dxa"/>
              <w:bottom w:w="90" w:type="dxa"/>
              <w:right w:w="90" w:type="dxa"/>
            </w:tcMar>
            <w:vAlign w:val="center"/>
          </w:tcPr>
          <w:p w14:paraId="78E66373" w14:textId="77777777" w:rsidR="00AC499D" w:rsidRDefault="00000000">
            <w:r>
              <w:rPr>
                <w:b/>
                <w:sz w:val="19"/>
              </w:rPr>
              <w:t>Key Outcomes</w:t>
            </w:r>
          </w:p>
        </w:tc>
        <w:tc>
          <w:tcPr>
            <w:tcW w:w="8424" w:type="dxa"/>
            <w:tcMar>
              <w:top w:w="90" w:type="dxa"/>
              <w:left w:w="90" w:type="dxa"/>
              <w:bottom w:w="90" w:type="dxa"/>
              <w:right w:w="90" w:type="dxa"/>
            </w:tcMar>
            <w:vAlign w:val="center"/>
          </w:tcPr>
          <w:p w14:paraId="398227AB" w14:textId="77777777" w:rsidR="00AC499D" w:rsidRDefault="00000000">
            <w:r>
              <w:rPr>
                <w:sz w:val="18"/>
              </w:rPr>
              <w:t>Industrial zones assessed: TBC • Suppliers mapped/qualified: TBC • Production-start timeline: TBC</w:t>
            </w:r>
          </w:p>
        </w:tc>
      </w:tr>
    </w:tbl>
    <w:p w14:paraId="016E6D76" w14:textId="77777777" w:rsidR="00AC499D" w:rsidRDefault="00AC499D"/>
    <w:p w14:paraId="046A03E4" w14:textId="77777777" w:rsidR="00AC499D" w:rsidRDefault="00000000">
      <w:r>
        <w:rPr>
          <w:b/>
        </w:rPr>
        <w:t>EXECUTIVE TAKEAWAY</w:t>
      </w:r>
      <w:r>
        <w:rPr>
          <w:b/>
        </w:rPr>
        <w:br/>
        <w:t>Manufacturing competitiveness is not determined by choosing the lowest-cost country. It is determined by choosing the ecosystem where suppliers, infrastructure, logistics, regulation, and production economics work together.</w:t>
      </w:r>
    </w:p>
    <w:sectPr w:rsidR="00AC499D"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717045">
    <w:abstractNumId w:val="8"/>
  </w:num>
  <w:num w:numId="2" w16cid:durableId="1465848787">
    <w:abstractNumId w:val="6"/>
  </w:num>
  <w:num w:numId="3" w16cid:durableId="1021198116">
    <w:abstractNumId w:val="5"/>
  </w:num>
  <w:num w:numId="4" w16cid:durableId="1155561688">
    <w:abstractNumId w:val="4"/>
  </w:num>
  <w:num w:numId="5" w16cid:durableId="822039341">
    <w:abstractNumId w:val="7"/>
  </w:num>
  <w:num w:numId="6" w16cid:durableId="838623378">
    <w:abstractNumId w:val="3"/>
  </w:num>
  <w:num w:numId="7" w16cid:durableId="164128790">
    <w:abstractNumId w:val="2"/>
  </w:num>
  <w:num w:numId="8" w16cid:durableId="302851803">
    <w:abstractNumId w:val="1"/>
  </w:num>
  <w:num w:numId="9" w16cid:durableId="211879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248"/>
    <w:rsid w:val="00AA1D8D"/>
    <w:rsid w:val="00AC499D"/>
    <w:rsid w:val="00B47730"/>
    <w:rsid w:val="00CB0664"/>
    <w:rsid w:val="00E212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2AF09"/>
  <w14:defaultImageDpi w14:val="300"/>
  <w15:docId w15:val="{84C7E795-A790-4036-8EEC-6A52CEEB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1199</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SRIVASTAVA</cp:lastModifiedBy>
  <cp:revision>2</cp:revision>
  <dcterms:created xsi:type="dcterms:W3CDTF">2013-12-23T23:15:00Z</dcterms:created>
  <dcterms:modified xsi:type="dcterms:W3CDTF">2026-08-13T05:24:00Z</dcterms:modified>
  <cp:category/>
</cp:coreProperties>
</file>