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6202B"/>
          <w:sz w:val="20"/>
          <w:szCs w:val="20"/>
        </w:rPr>
        <w:t xml:space="preserve">Grey</w:t>
      </w:r>
      <w:r>
        <w:rPr>
          <w:rFonts w:ascii="Arial" w:cs="Arial" w:eastAsia="Arial" w:hAnsi="Arial"/>
          <w:b/>
          <w:bCs/>
          <w:color w:val="1F5C4D"/>
          <w:sz w:val="20"/>
          <w:szCs w:val="20"/>
        </w:rPr>
        <w:t xml:space="preserve">Radius</w:t>
      </w:r>
      <w:r>
        <w:rPr>
          <w:rFonts w:ascii="Consolas" w:cs="Consolas" w:eastAsia="Consolas" w:hAnsi="Consolas"/>
          <w:color w:val="44505F"/>
          <w:sz w:val="15"/>
          <w:szCs w:val="15"/>
        </w:rPr>
        <w:t xml:space="preserve">     Strategy &amp; Advisory</w:t>
      </w:r>
    </w:p>
    <w:p>
      <w:pPr>
        <w:pBdr>
          <w:bottom w:val="single" w:color="D8D1C3" w:sz="6" w:space="6"/>
        </w:pBdr>
        <w:spacing w:after="260"/>
      </w:pPr>
    </w:p>
    <w:p>
      <w:pPr>
        <w:spacing w:after="40"/>
      </w:pPr>
      <w:r>
        <w:rPr>
          <w:rFonts w:ascii="Arial" w:cs="Arial" w:eastAsia="Arial" w:hAnsi="Arial"/>
          <w:b/>
          <w:bCs/>
          <w:color w:val="1F5C4D"/>
          <w:spacing w:val="30"/>
          <w:sz w:val="15"/>
          <w:szCs w:val="15"/>
        </w:rPr>
        <w:t xml:space="preserve">MARKET ENTRY</w:t>
      </w:r>
      <w:r>
        <w:rPr>
          <w:rFonts w:ascii="Consolas" w:cs="Consolas" w:eastAsia="Consolas" w:hAnsi="Consolas"/>
          <w:b/>
          <w:bCs/>
          <w:color w:val="9C5E12"/>
          <w:sz w:val="15"/>
          <w:szCs w:val="15"/>
        </w:rPr>
        <w:t xml:space="preserve">     IN · GCC · AFR</w:t>
      </w:r>
    </w:p>
    <w:p>
      <w:pPr>
        <w:spacing w:after="160" w:line="380"/>
      </w:pPr>
      <w:r>
        <w:rPr>
          <w:rFonts w:ascii="Arial" w:cs="Arial" w:eastAsia="Arial" w:hAnsi="Arial"/>
          <w:b/>
          <w:bCs/>
          <w:color w:val="16202B"/>
          <w:sz w:val="44"/>
          <w:szCs w:val="44"/>
        </w:rPr>
        <w:t xml:space="preserve">GTM strategy for emerging markets: the framework that actually scales</w:t>
      </w:r>
    </w:p>
    <w:p>
      <w:pPr>
        <w:spacing w:after="160" w:before="0" w:line="320"/>
      </w:pPr>
      <w:r>
        <w:rPr>
          <w:rFonts w:ascii="Georgia" w:cs="Georgia" w:eastAsia="Georgia" w:hAnsi="Georgia"/>
          <w:b w:val="false"/>
          <w:bCs w:val="false"/>
          <w:i w:val="false"/>
          <w:iCs w:val="false"/>
          <w:color w:val="44505F"/>
          <w:sz w:val="24"/>
          <w:szCs w:val="24"/>
        </w:rPr>
        <w:t xml:space="preserve">Most go-to-market plans that work in New York or London quietly break in Mumbai, Riyadh and Lagos. Here is where they break, why, and the framework we use to build a market entry GTM plan that holds up on the ground.</w:t>
      </w:r>
    </w:p>
    <w:p>
      <w:pPr>
        <w:pBdr>
          <w:top w:val="single" w:color="D8D1C3" w:sz="3" w:space="8"/>
          <w:bottom w:val="single" w:color="D8D1C3" w:sz="3" w:space="8"/>
        </w:pBdr>
        <w:spacing w:after="300"/>
      </w:pPr>
      <w:r>
        <w:rPr>
          <w:rFonts w:ascii="Consolas" w:cs="Consolas" w:eastAsia="Consolas" w:hAnsi="Consolas"/>
          <w:color w:val="44505F"/>
          <w:sz w:val="16"/>
          <w:szCs w:val="16"/>
        </w:rPr>
        <w:t xml:space="preserve">GreyRadius Consulting, Strategy &amp; Advisory     |     12 min read     |     India · Gulf · Africa</w:t>
      </w:r>
    </w:p>
    <w:p>
      <w:pPr>
        <w:spacing w:after="160" w:before="0" w:line="300"/>
      </w:pPr>
      <w:r>
        <w:rPr>
          <w:rFonts w:ascii="Georgia" w:cs="Georgia" w:eastAsia="Georgia" w:hAnsi="Georgia"/>
          <w:b w:val="false"/>
          <w:bCs w:val="false"/>
          <w:i w:val="false"/>
          <w:iCs w:val="false"/>
          <w:color w:val="16202B"/>
          <w:sz w:val="22"/>
          <w:szCs w:val="22"/>
        </w:rPr>
        <w:t xml:space="preserve">A go-to-market strategy is a set of assumptions about how a buyer finds you, decides to trust you, and pays you. In mature Western markets those assumptions are so well understood that teams rarely write them down. You reach buyers through digital demand generation, you price against a competitor set, you launch when the product is ready, and marketing does the heavy lifting of building credibility at scale.</w:t>
      </w:r>
    </w:p>
    <w:p>
      <w:pPr>
        <w:spacing w:after="160" w:before="0" w:line="300"/>
      </w:pPr>
      <w:r>
        <w:rPr>
          <w:rFonts w:ascii="Georgia" w:cs="Georgia" w:eastAsia="Georgia" w:hAnsi="Georgia"/>
          <w:b w:val="false"/>
          <w:bCs w:val="false"/>
          <w:i w:val="false"/>
          <w:iCs w:val="false"/>
          <w:color w:val="16202B"/>
          <w:sz w:val="22"/>
          <w:szCs w:val="22"/>
        </w:rPr>
        <w:t xml:space="preserve">Carry that same set of assumptions into an emerging market and each one bends. A </w:t>
      </w:r>
      <w:r>
        <w:rPr>
          <w:rFonts w:ascii="Georgia" w:cs="Georgia" w:eastAsia="Georgia" w:hAnsi="Georgia"/>
          <w:b/>
          <w:bCs/>
          <w:i w:val="false"/>
          <w:iCs w:val="false"/>
          <w:color w:val="16202B"/>
          <w:sz w:val="22"/>
          <w:szCs w:val="22"/>
        </w:rPr>
        <w:t xml:space="preserve">GTM strategy for emerging markets</w:t>
      </w:r>
      <w:r>
        <w:rPr>
          <w:rFonts w:ascii="Georgia" w:cs="Georgia" w:eastAsia="Georgia" w:hAnsi="Georgia"/>
          <w:b w:val="false"/>
          <w:bCs w:val="false"/>
          <w:i w:val="false"/>
          <w:iCs w:val="false"/>
          <w:color w:val="16202B"/>
          <w:sz w:val="22"/>
          <w:szCs w:val="22"/>
        </w:rPr>
        <w:t xml:space="preserve"> is not a translated version of the Western playbook with local language and a currency swap. The mechanics of reach, trust, pricing and timing are structurally different, and the teams that scale are the ones that redesign for those differences rather than discount them.</w:t>
      </w:r>
    </w:p>
    <w:p>
      <w:pPr>
        <w:spacing w:after="160" w:before="0" w:line="300"/>
      </w:pPr>
      <w:r>
        <w:rPr>
          <w:rFonts w:ascii="Georgia" w:cs="Georgia" w:eastAsia="Georgia" w:hAnsi="Georgia"/>
          <w:b w:val="false"/>
          <w:bCs w:val="false"/>
          <w:i w:val="false"/>
          <w:iCs w:val="false"/>
          <w:color w:val="16202B"/>
          <w:sz w:val="22"/>
          <w:szCs w:val="22"/>
        </w:rPr>
        <w:t xml:space="preserve">Below are the four differences that matter most across India, the Gulf and Africa, each grounded in what the data actually shows. At the end you will find a five-question readiness check you can run against your own plan before you commit budget to a new market.</w:t>
      </w:r>
    </w:p>
    <w:p>
      <w:pPr>
        <w:spacing w:after="40" w:before="340"/>
      </w:pPr>
      <w:r>
        <w:rPr>
          <w:rFonts w:ascii="Arial" w:cs="Arial" w:eastAsia="Arial" w:hAnsi="Arial"/>
          <w:b/>
          <w:bCs/>
          <w:color w:val="9C5E12"/>
          <w:spacing w:val="30"/>
          <w:sz w:val="15"/>
          <w:szCs w:val="15"/>
        </w:rPr>
        <w:t xml:space="preserve">DIFFERENCE 01 · REACH</w:t>
      </w:r>
    </w:p>
    <w:p>
      <w:pPr>
        <w:pStyle w:val="Heading1"/>
        <w:spacing w:after="140" w:before="60"/>
      </w:pPr>
      <w:r>
        <w:rPr>
          <w:rFonts w:ascii="Arial" w:cs="Arial" w:eastAsia="Arial" w:hAnsi="Arial"/>
          <w:b/>
          <w:bCs/>
          <w:color w:val="16202B"/>
          <w:sz w:val="30"/>
          <w:szCs w:val="30"/>
        </w:rPr>
        <w:t xml:space="preserve">Channel dependency is higher, and it decides your ceiling</w:t>
      </w:r>
    </w:p>
    <w:p>
      <w:pPr>
        <w:spacing w:after="160" w:before="0" w:line="300"/>
      </w:pPr>
      <w:r>
        <w:rPr>
          <w:rFonts w:ascii="Georgia" w:cs="Georgia" w:eastAsia="Georgia" w:hAnsi="Georgia"/>
          <w:b w:val="false"/>
          <w:bCs w:val="false"/>
          <w:i w:val="false"/>
          <w:iCs w:val="false"/>
          <w:color w:val="16202B"/>
          <w:sz w:val="22"/>
          <w:szCs w:val="22"/>
        </w:rPr>
        <w:t xml:space="preserve">In a developed market, a company can plausibly reach most of its addressable buyers through channels it controls: its own website, its own sales team, paid media. In most emerging markets the path to the customer runs through intermediaries you do not own and cannot fully direct. The distributor, the sub-distributor, the neighbourhood retailer and the informal trader are not a detail of execution. They are the market.</w:t>
      </w:r>
    </w:p>
    <w:p>
      <w:pPr>
        <w:spacing w:after="160" w:before="0" w:line="300"/>
      </w:pPr>
      <w:r>
        <w:rPr>
          <w:rFonts w:ascii="Georgia" w:cs="Georgia" w:eastAsia="Georgia" w:hAnsi="Georgia"/>
          <w:b w:val="false"/>
          <w:bCs w:val="false"/>
          <w:i w:val="false"/>
          <w:iCs w:val="false"/>
          <w:color w:val="16202B"/>
          <w:sz w:val="22"/>
          <w:szCs w:val="22"/>
        </w:rPr>
        <w:t xml:space="preserve">India makes the point vividly. Kirana stores, the small independent neighbourhood shops, still account for roughly 75 to 78 percent of consumer goods sales, according to </w:t>
      </w:r>
      <w:hyperlink w:history="1" r:id="rId7">
        <w:r>
          <w:rPr>
            <w:rFonts w:ascii="Georgia" w:cs="Georgia" w:eastAsia="Georgia" w:hAnsi="Georgia"/>
            <w:b w:val="false"/>
            <w:bCs w:val="false"/>
            <w:color w:val="1F5C4D"/>
            <w:sz w:val="22"/>
            <w:szCs w:val="22"/>
            <w:u w:val="single"/>
          </w:rPr>
          <w:t xml:space="preserve">Ambit Capital estimates cited by CB Insights</w:t>
        </w:r>
      </w:hyperlink>
      <w:r>
        <w:rPr>
          <w:rFonts w:ascii="Georgia" w:cs="Georgia" w:eastAsia="Georgia" w:hAnsi="Georgia"/>
          <w:b w:val="false"/>
          <w:bCs w:val="false"/>
          <w:i w:val="false"/>
          <w:iCs w:val="false"/>
          <w:color w:val="16202B"/>
          <w:sz w:val="22"/>
          <w:szCs w:val="22"/>
        </w:rPr>
        <w:t xml:space="preserve">. Traditional and unorganized retail more broadly holds around 80 percent of the Indian retail market, and </w:t>
      </w:r>
      <w:hyperlink w:history="1" r:id="rId8">
        <w:r>
          <w:rPr>
            <w:rFonts w:ascii="Georgia" w:cs="Georgia" w:eastAsia="Georgia" w:hAnsi="Georgia"/>
            <w:b w:val="false"/>
            <w:bCs w:val="false"/>
            <w:color w:val="1F5C4D"/>
            <w:sz w:val="22"/>
            <w:szCs w:val="22"/>
            <w:u w:val="single"/>
          </w:rPr>
          <w:t xml:space="preserve">Kearney</w:t>
        </w:r>
      </w:hyperlink>
      <w:r>
        <w:rPr>
          <w:rFonts w:ascii="Georgia" w:cs="Georgia" w:eastAsia="Georgia" w:hAnsi="Georgia"/>
          <w:b w:val="false"/>
          <w:bCs w:val="false"/>
          <w:i w:val="false"/>
          <w:iCs w:val="false"/>
          <w:color w:val="16202B"/>
          <w:sz w:val="22"/>
          <w:szCs w:val="22"/>
        </w:rPr>
        <w:t xml:space="preserve"> has projected traditional trade would still command about 82 percent of the market in 2025. Your reach is only as good as your access to that fragmented network.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single" w:color="9C5E12" w:sz="18" w:space="8"/>
              <w:bottom w:val="none" w:color="FFFFFF" w:sz="0"/>
              <w:right w:val="none" w:color="FFFFFF" w:sz="0"/>
            </w:tcBorders>
            <w:tcMar>
              <w:top w:type="dxa" w:w="40"/>
              <w:left w:type="dxa" w:w="140"/>
              <w:bottom w:type="dxa" w:w="120"/>
              <w:right w:type="dxa" w:w="100"/>
            </w:tcMar>
          </w:tcPr>
          <w:p>
            <w:pPr>
              <w:spacing w:after="40"/>
            </w:pPr>
            <w:r>
              <w:rPr>
                <w:rFonts w:ascii="Arial" w:cs="Arial" w:eastAsia="Arial" w:hAnsi="Arial"/>
                <w:b/>
                <w:bCs/>
                <w:color w:val="16202B"/>
                <w:sz w:val="40"/>
                <w:szCs w:val="40"/>
              </w:rPr>
              <w:t xml:space="preserve">75-78%</w:t>
            </w:r>
          </w:p>
          <w:p>
            <w:r>
              <w:rPr>
                <w:rFonts w:ascii="Consolas" w:cs="Consolas" w:eastAsia="Consolas" w:hAnsi="Consolas"/>
                <w:color w:val="44505F"/>
                <w:sz w:val="14"/>
                <w:szCs w:val="14"/>
              </w:rPr>
              <w:t xml:space="preserve">Share of India consumer goods sales through kirana stores (Ambit / CB Insights)</w:t>
            </w:r>
          </w:p>
        </w:tc>
        <w:tc>
          <w:tcPr>
            <w:tcW w:type="dxa" w:w="3120"/>
            <w:tcBorders>
              <w:top w:val="none" w:color="FFFFFF" w:sz="0"/>
              <w:left w:val="single" w:color="9C5E12" w:sz="18" w:space="8"/>
              <w:bottom w:val="none" w:color="FFFFFF" w:sz="0"/>
              <w:right w:val="none" w:color="FFFFFF" w:sz="0"/>
            </w:tcBorders>
            <w:tcMar>
              <w:top w:type="dxa" w:w="40"/>
              <w:left w:type="dxa" w:w="140"/>
              <w:bottom w:type="dxa" w:w="120"/>
              <w:right w:type="dxa" w:w="100"/>
            </w:tcMar>
          </w:tcPr>
          <w:p>
            <w:pPr>
              <w:spacing w:after="40"/>
            </w:pPr>
            <w:r>
              <w:rPr>
                <w:rFonts w:ascii="Arial" w:cs="Arial" w:eastAsia="Arial" w:hAnsi="Arial"/>
                <w:b/>
                <w:bCs/>
                <w:color w:val="16202B"/>
                <w:sz w:val="40"/>
                <w:szCs w:val="40"/>
              </w:rPr>
              <w:t xml:space="preserve">~83%</w:t>
            </w:r>
          </w:p>
          <w:p>
            <w:r>
              <w:rPr>
                <w:rFonts w:ascii="Consolas" w:cs="Consolas" w:eastAsia="Consolas" w:hAnsi="Consolas"/>
                <w:color w:val="44505F"/>
                <w:sz w:val="14"/>
                <w:szCs w:val="14"/>
              </w:rPr>
              <w:t xml:space="preserve">Sub-Saharan Africa employment in the informal economy, 2024 (UN ECA)</w:t>
            </w:r>
          </w:p>
        </w:tc>
        <w:tc>
          <w:tcPr>
            <w:tcW w:type="dxa" w:w="3120"/>
            <w:tcBorders>
              <w:top w:val="none" w:color="FFFFFF" w:sz="0"/>
              <w:left w:val="single" w:color="9C5E12" w:sz="18" w:space="8"/>
              <w:bottom w:val="none" w:color="FFFFFF" w:sz="0"/>
              <w:right w:val="none" w:color="FFFFFF" w:sz="0"/>
            </w:tcBorders>
            <w:tcMar>
              <w:top w:type="dxa" w:w="40"/>
              <w:left w:type="dxa" w:w="140"/>
              <w:bottom w:type="dxa" w:w="120"/>
              <w:right w:type="dxa" w:w="100"/>
            </w:tcMar>
          </w:tcPr>
          <w:p>
            <w:pPr>
              <w:spacing w:after="40"/>
            </w:pPr>
            <w:r>
              <w:rPr>
                <w:rFonts w:ascii="Arial" w:cs="Arial" w:eastAsia="Arial" w:hAnsi="Arial"/>
                <w:b/>
                <w:bCs/>
                <w:color w:val="16202B"/>
                <w:sz w:val="40"/>
                <w:szCs w:val="40"/>
              </w:rPr>
              <w:t xml:space="preserve">30-40%</w:t>
            </w:r>
          </w:p>
          <w:p>
            <w:r>
              <w:rPr>
                <w:rFonts w:ascii="Consolas" w:cs="Consolas" w:eastAsia="Consolas" w:hAnsi="Consolas"/>
                <w:color w:val="44505F"/>
                <w:sz w:val="14"/>
                <w:szCs w:val="14"/>
              </w:rPr>
              <w:t xml:space="preserve">Informal economy share of Africa GDP (UNCTAD / World Bank)</w:t>
            </w:r>
          </w:p>
        </w:tc>
      </w:tr>
    </w:tbl>
    <w:p>
      <w:pPr>
        <w:spacing w:after="120" w:before="0" w:line="300"/>
      </w:pPr>
    </w:p>
    <w:p>
      <w:pPr>
        <w:spacing w:after="160" w:before="0" w:line="300"/>
      </w:pPr>
      <w:r>
        <w:rPr>
          <w:rFonts w:ascii="Georgia" w:cs="Georgia" w:eastAsia="Georgia" w:hAnsi="Georgia"/>
          <w:b w:val="false"/>
          <w:bCs w:val="false"/>
          <w:i w:val="false"/>
          <w:iCs w:val="false"/>
          <w:color w:val="16202B"/>
          <w:sz w:val="22"/>
          <w:szCs w:val="22"/>
        </w:rPr>
        <w:t xml:space="preserve">Africa concentrates the same dynamic further. Roughly 83 percent of employment across sub-Saharan Africa sits in the informal economy as of 2024, per </w:t>
      </w:r>
      <w:hyperlink w:history="1" r:id="rId9">
        <w:r>
          <w:rPr>
            <w:rFonts w:ascii="Georgia" w:cs="Georgia" w:eastAsia="Georgia" w:hAnsi="Georgia"/>
            <w:b w:val="false"/>
            <w:bCs w:val="false"/>
            <w:color w:val="1F5C4D"/>
            <w:sz w:val="22"/>
            <w:szCs w:val="22"/>
            <w:u w:val="single"/>
          </w:rPr>
          <w:t xml:space="preserve">UN Economic Commission for Africa data</w:t>
        </w:r>
      </w:hyperlink>
      <w:r>
        <w:rPr>
          <w:rFonts w:ascii="Georgia" w:cs="Georgia" w:eastAsia="Georgia" w:hAnsi="Georgia"/>
          <w:b w:val="false"/>
          <w:bCs w:val="false"/>
          <w:i w:val="false"/>
          <w:iCs w:val="false"/>
          <w:color w:val="16202B"/>
          <w:sz w:val="22"/>
          <w:szCs w:val="22"/>
        </w:rPr>
        <w:t xml:space="preserve">, and the informal sector represents an estimated 30 to 40 percent of GDP according to </w:t>
      </w:r>
      <w:hyperlink w:history="1" r:id="rId10">
        <w:r>
          <w:rPr>
            <w:rFonts w:ascii="Georgia" w:cs="Georgia" w:eastAsia="Georgia" w:hAnsi="Georgia"/>
            <w:b w:val="false"/>
            <w:bCs w:val="false"/>
            <w:color w:val="1F5C4D"/>
            <w:sz w:val="22"/>
            <w:szCs w:val="22"/>
            <w:u w:val="single"/>
          </w:rPr>
          <w:t xml:space="preserve">UNCTAD and World Bank figures</w:t>
        </w:r>
      </w:hyperlink>
      <w:r>
        <w:rPr>
          <w:rFonts w:ascii="Georgia" w:cs="Georgia" w:eastAsia="Georgia" w:hAnsi="Georgia"/>
          <w:b w:val="false"/>
          <w:bCs w:val="false"/>
          <w:i w:val="false"/>
          <w:iCs w:val="false"/>
          <w:color w:val="16202B"/>
          <w:sz w:val="22"/>
          <w:szCs w:val="22"/>
        </w:rPr>
        <w:t xml:space="preserve">. A GTM framework for developing markets that assumes a formal, addressable, digitally reachable buyer base is planning for a fraction of the actual market.</w:t>
      </w:r>
    </w:p>
    <w:p>
      <w:pPr>
        <w:spacing w:after="60" w:before="120"/>
      </w:pPr>
      <w:r>
        <w:rPr>
          <w:rFonts w:ascii="Arial" w:cs="Arial" w:eastAsia="Arial" w:hAnsi="Arial"/>
          <w:b/>
          <w:bCs/>
          <w:color w:val="16202B"/>
          <w:sz w:val="20"/>
          <w:szCs w:val="20"/>
        </w:rPr>
        <w:t xml:space="preserve">Reach runs through channels you do not own</w:t>
      </w:r>
    </w:p>
    <w:p>
      <w:pPr>
        <w:spacing w:after="120"/>
      </w:pPr>
      <w:r>
        <w:rPr>
          <w:rFonts w:ascii="Consolas" w:cs="Consolas" w:eastAsia="Consolas" w:hAnsi="Consolas"/>
          <w:color w:val="1F5C4D"/>
          <w:spacing w:val="20"/>
          <w:sz w:val="14"/>
          <w:szCs w:val="14"/>
        </w:rPr>
        <w:t xml:space="preserve">SHARE OF ACTIVITY THROUGH TRADITIONAL OR INFORMAL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5160"/>
        <w:gridCol w:w="1400"/>
        <w:gridCol w:w="2800"/>
      </w:tblGrid>
      <w:tr>
        <w:trPr>
          <w:tblHeader/>
        </w:trPr>
        <w:tc>
          <w:tcPr>
            <w:tcW w:type="dxa" w:w="516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jc w:val="left"/>
            </w:pPr>
            <w:r>
              <w:rPr>
                <w:rFonts w:ascii="Arial" w:cs="Arial" w:eastAsia="Arial" w:hAnsi="Arial"/>
                <w:b/>
                <w:bCs/>
                <w:color w:val="FFFFFF"/>
                <w:sz w:val="18"/>
                <w:szCs w:val="18"/>
              </w:rPr>
              <w:t xml:space="preserve">Metric</w:t>
            </w:r>
          </w:p>
        </w:tc>
        <w:tc>
          <w:tcPr>
            <w:tcW w:type="dxa" w:w="140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jc w:val="left"/>
            </w:pPr>
            <w:r>
              <w:rPr>
                <w:rFonts w:ascii="Arial" w:cs="Arial" w:eastAsia="Arial" w:hAnsi="Arial"/>
                <w:b/>
                <w:bCs/>
                <w:color w:val="FFFFFF"/>
                <w:sz w:val="18"/>
                <w:szCs w:val="18"/>
              </w:rPr>
              <w:t xml:space="preserve">Share</w:t>
            </w:r>
          </w:p>
        </w:tc>
        <w:tc>
          <w:tcPr>
            <w:tcW w:type="dxa" w:w="280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jc w:val="left"/>
            </w:pPr>
            <w:r>
              <w:rPr>
                <w:rFonts w:ascii="Arial" w:cs="Arial" w:eastAsia="Arial" w:hAnsi="Arial"/>
                <w:b/>
                <w:bCs/>
                <w:color w:val="FFFFFF"/>
                <w:sz w:val="18"/>
                <w:szCs w:val="18"/>
              </w:rPr>
              <w:t xml:space="preserve">Source</w:t>
            </w:r>
          </w:p>
        </w:tc>
      </w:tr>
      <w:tr>
        <w:tc>
          <w:tcPr>
            <w:tcW w:type="dxa" w:w="516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India: kirana share of consumer goods sales</w:t>
            </w:r>
          </w:p>
        </w:tc>
        <w:tc>
          <w:tcPr>
            <w:tcW w:type="dxa" w:w="14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77%</w:t>
            </w:r>
          </w:p>
        </w:tc>
        <w:tc>
          <w:tcPr>
            <w:tcW w:type="dxa" w:w="28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Consolas" w:cs="Consolas" w:eastAsia="Consolas" w:hAnsi="Consolas"/>
                <w:color w:val="44505F"/>
                <w:sz w:val="16"/>
                <w:szCs w:val="16"/>
              </w:rPr>
              <w:t xml:space="preserve">Ambit / CB Insights</w:t>
            </w:r>
          </w:p>
        </w:tc>
      </w:tr>
      <w:tr>
        <w:tc>
          <w:tcPr>
            <w:tcW w:type="dxa" w:w="516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India: traditional trade share of retail</w:t>
            </w:r>
          </w:p>
        </w:tc>
        <w:tc>
          <w:tcPr>
            <w:tcW w:type="dxa" w:w="14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82%</w:t>
            </w:r>
          </w:p>
        </w:tc>
        <w:tc>
          <w:tcPr>
            <w:tcW w:type="dxa" w:w="28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Consolas" w:cs="Consolas" w:eastAsia="Consolas" w:hAnsi="Consolas"/>
                <w:color w:val="44505F"/>
                <w:sz w:val="16"/>
                <w:szCs w:val="16"/>
              </w:rPr>
              <w:t xml:space="preserve">Kearney</w:t>
            </w:r>
          </w:p>
        </w:tc>
      </w:tr>
      <w:tr>
        <w:tc>
          <w:tcPr>
            <w:tcW w:type="dxa" w:w="516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Sub-Saharan Africa: informal share of employment</w:t>
            </w:r>
          </w:p>
        </w:tc>
        <w:tc>
          <w:tcPr>
            <w:tcW w:type="dxa" w:w="14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83%</w:t>
            </w:r>
          </w:p>
        </w:tc>
        <w:tc>
          <w:tcPr>
            <w:tcW w:type="dxa" w:w="28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Consolas" w:cs="Consolas" w:eastAsia="Consolas" w:hAnsi="Consolas"/>
                <w:color w:val="44505F"/>
                <w:sz w:val="16"/>
                <w:szCs w:val="16"/>
              </w:rPr>
              <w:t xml:space="preserve">UN ECA</w:t>
            </w:r>
          </w:p>
        </w:tc>
      </w:tr>
      <w:tr>
        <w:tc>
          <w:tcPr>
            <w:tcW w:type="dxa" w:w="516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Sub-Saharan Africa: informal share of GDP</w:t>
            </w:r>
          </w:p>
        </w:tc>
        <w:tc>
          <w:tcPr>
            <w:tcW w:type="dxa" w:w="14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36%</w:t>
            </w:r>
          </w:p>
        </w:tc>
        <w:tc>
          <w:tcPr>
            <w:tcW w:type="dxa" w:w="28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Consolas" w:cs="Consolas" w:eastAsia="Consolas" w:hAnsi="Consolas"/>
                <w:color w:val="44505F"/>
                <w:sz w:val="16"/>
                <w:szCs w:val="16"/>
              </w:rPr>
              <w:t xml:space="preserve">World Bank</w:t>
            </w:r>
          </w:p>
        </w:tc>
      </w:tr>
    </w:tbl>
    <w:p>
      <w:pPr>
        <w:spacing w:after="60" w:before="0" w:line="300"/>
      </w:pPr>
    </w:p>
    <w:p>
      <w:pPr>
        <w:pBdr>
          <w:top w:val="single" w:color="D8D1C3" w:sz="4" w:space="8"/>
          <w:left w:val="single" w:color="1F5C4D" w:sz="18" w:space="12"/>
          <w:bottom w:val="single" w:color="D8D1C3" w:sz="4" w:space="8"/>
          <w:right w:val="single" w:color="D8D1C3" w:sz="4" w:space="8"/>
        </w:pBdr>
        <w:shd w:fill="EEE9DF" w:val="clear"/>
        <w:spacing w:after="220" w:before="60" w:line="290"/>
        <w:ind w:left="160" w:right="160"/>
      </w:pPr>
      <w:r>
        <w:rPr>
          <w:rFonts w:ascii="Arial" w:cs="Arial" w:eastAsia="Arial" w:hAnsi="Arial"/>
          <w:b/>
          <w:bCs/>
          <w:color w:val="1F5C4D"/>
          <w:sz w:val="19"/>
          <w:szCs w:val="19"/>
        </w:rPr>
        <w:t xml:space="preserve">What it means for GTM:  </w:t>
      </w:r>
      <w:r>
        <w:rPr>
          <w:rFonts w:ascii="Georgia" w:cs="Georgia" w:eastAsia="Georgia" w:hAnsi="Georgia"/>
          <w:b w:val="false"/>
          <w:bCs w:val="false"/>
          <w:i w:val="false"/>
          <w:iCs w:val="false"/>
          <w:color w:val="16202B"/>
          <w:sz w:val="19"/>
          <w:szCs w:val="19"/>
        </w:rPr>
        <w:t xml:space="preserve">channel and distributor selection is the single highest-leverage decision in your entry plan. Map the layers before you build the pipeline.</w:t>
      </w:r>
    </w:p>
    <w:p>
      <w:pPr>
        <w:spacing w:after="160" w:before="0" w:line="300"/>
      </w:pPr>
      <w:r>
        <w:rPr>
          <w:rFonts w:ascii="Georgia" w:cs="Georgia" w:eastAsia="Georgia" w:hAnsi="Georgia"/>
          <w:b w:val="false"/>
          <w:bCs w:val="false"/>
          <w:i w:val="false"/>
          <w:iCs w:val="false"/>
          <w:color w:val="16202B"/>
          <w:sz w:val="22"/>
          <w:szCs w:val="22"/>
        </w:rPr>
        <w:t xml:space="preserve">The practical implication is that channel strategy is not a downstream operational choice, it is the core of the plan. Who carries your product, on what terms, with what incentives, and who owns the end-customer relationship at each layer will set the ceiling on how far you can scale. Emerging market GTM execution starts with getting that layered map right.</w:t>
      </w:r>
    </w:p>
    <w:p>
      <w:pPr>
        <w:spacing w:after="40" w:before="340"/>
      </w:pPr>
      <w:r>
        <w:rPr>
          <w:rFonts w:ascii="Arial" w:cs="Arial" w:eastAsia="Arial" w:hAnsi="Arial"/>
          <w:b/>
          <w:bCs/>
          <w:color w:val="9C5E12"/>
          <w:spacing w:val="30"/>
          <w:sz w:val="15"/>
          <w:szCs w:val="15"/>
        </w:rPr>
        <w:t xml:space="preserve">DIFFERENCE 02 · PRICING</w:t>
      </w:r>
    </w:p>
    <w:p>
      <w:pPr>
        <w:pStyle w:val="Heading1"/>
        <w:spacing w:after="140" w:before="60"/>
      </w:pPr>
      <w:r>
        <w:rPr>
          <w:rFonts w:ascii="Arial" w:cs="Arial" w:eastAsia="Arial" w:hAnsi="Arial"/>
          <w:b/>
          <w:bCs/>
          <w:color w:val="16202B"/>
          <w:sz w:val="30"/>
          <w:szCs w:val="30"/>
        </w:rPr>
        <w:t xml:space="preserve">Pricing logic runs backward from affordability</w:t>
      </w:r>
    </w:p>
    <w:p>
      <w:pPr>
        <w:spacing w:after="160" w:before="0" w:line="300"/>
      </w:pPr>
      <w:r>
        <w:rPr>
          <w:rFonts w:ascii="Georgia" w:cs="Georgia" w:eastAsia="Georgia" w:hAnsi="Georgia"/>
          <w:b w:val="false"/>
          <w:bCs w:val="false"/>
          <w:i w:val="false"/>
          <w:iCs w:val="false"/>
          <w:color w:val="16202B"/>
          <w:sz w:val="22"/>
          <w:szCs w:val="22"/>
        </w:rPr>
        <w:t xml:space="preserve">In developed markets, pricing typically starts from cost, adds a margin, and checks the result against competitors. In emerging markets the logic often inverts. You start from what the customer can and will pay, the affordability threshold, and work backward to the margin, the cost structure and even the product format that can survive at that price.</w:t>
      </w:r>
    </w:p>
    <w:p>
      <w:pPr>
        <w:spacing w:after="160" w:before="0" w:line="300"/>
      </w:pPr>
      <w:r>
        <w:rPr>
          <w:rFonts w:ascii="Georgia" w:cs="Georgia" w:eastAsia="Georgia" w:hAnsi="Georgia"/>
          <w:b w:val="false"/>
          <w:bCs w:val="false"/>
          <w:i w:val="false"/>
          <w:iCs w:val="false"/>
          <w:color w:val="16202B"/>
          <w:sz w:val="22"/>
          <w:szCs w:val="22"/>
        </w:rPr>
        <w:t xml:space="preserve">This is why the sachet economy exists. Rather than lower the price of a full unit, brands re-engineer the unit itself into a smaller, single-use format that fits the customer's cash cycle. Food and condiments alone account for roughly 38 percent of global sachet packaging demand, per </w:t>
      </w:r>
      <w:hyperlink w:history="1" r:id="rId11">
        <w:r>
          <w:rPr>
            <w:rFonts w:ascii="Georgia" w:cs="Georgia" w:eastAsia="Georgia" w:hAnsi="Georgia"/>
            <w:b w:val="false"/>
            <w:bCs w:val="false"/>
            <w:color w:val="1F5C4D"/>
            <w:sz w:val="22"/>
            <w:szCs w:val="22"/>
            <w:u w:val="single"/>
          </w:rPr>
          <w:t xml:space="preserve">IndexBox</w:t>
        </w:r>
      </w:hyperlink>
      <w:r>
        <w:rPr>
          <w:rFonts w:ascii="Georgia" w:cs="Georgia" w:eastAsia="Georgia" w:hAnsi="Georgia"/>
          <w:b w:val="false"/>
          <w:bCs w:val="false"/>
          <w:i w:val="false"/>
          <w:iCs w:val="false"/>
          <w:color w:val="16202B"/>
          <w:sz w:val="22"/>
          <w:szCs w:val="22"/>
        </w:rPr>
        <w:t xml:space="preserve">, and single-use formats are, in the words of that research, the primary vehicle for affordability in emerging economies. </w:t>
      </w:r>
      <w:hyperlink w:history="1" r:id="rId12">
        <w:r>
          <w:rPr>
            <w:rFonts w:ascii="Georgia" w:cs="Georgia" w:eastAsia="Georgia" w:hAnsi="Georgia"/>
            <w:b w:val="false"/>
            <w:bCs w:val="false"/>
            <w:color w:val="1F5C4D"/>
            <w:sz w:val="22"/>
            <w:szCs w:val="22"/>
            <w:u w:val="single"/>
          </w:rPr>
          <w:t xml:space="preserve">Unilever built much of its African penetration</w:t>
        </w:r>
      </w:hyperlink>
      <w:r>
        <w:rPr>
          <w:rFonts w:ascii="Georgia" w:cs="Georgia" w:eastAsia="Georgia" w:hAnsi="Georgia"/>
          <w:b w:val="false"/>
          <w:bCs w:val="false"/>
          <w:i w:val="false"/>
          <w:iCs w:val="false"/>
          <w:color w:val="16202B"/>
          <w:sz w:val="22"/>
          <w:szCs w:val="22"/>
        </w:rPr>
        <w:t xml:space="preserve"> on exactly this move, selling shampoo and detergent in single-use sachets to reach price-sensitive consumers.</w:t>
      </w:r>
    </w:p>
    <w:p>
      <w:pPr>
        <w:spacing w:after="160" w:before="0" w:line="300"/>
      </w:pPr>
      <w:r>
        <w:rPr>
          <w:rFonts w:ascii="Georgia" w:cs="Georgia" w:eastAsia="Georgia" w:hAnsi="Georgia"/>
          <w:b w:val="false"/>
          <w:bCs w:val="false"/>
          <w:i w:val="false"/>
          <w:iCs w:val="false"/>
          <w:color w:val="16202B"/>
          <w:sz w:val="22"/>
          <w:szCs w:val="22"/>
        </w:rPr>
        <w:t xml:space="preserve">Price also carries different signals. As </w:t>
      </w:r>
      <w:hyperlink w:history="1" r:id="rId13">
        <w:r>
          <w:rPr>
            <w:rFonts w:ascii="Georgia" w:cs="Georgia" w:eastAsia="Georgia" w:hAnsi="Georgia"/>
            <w:b w:val="false"/>
            <w:bCs w:val="false"/>
            <w:color w:val="1F5C4D"/>
            <w:sz w:val="22"/>
            <w:szCs w:val="22"/>
            <w:u w:val="single"/>
          </w:rPr>
          <w:t xml:space="preserve">primary-research practitioners note</w:t>
        </w:r>
      </w:hyperlink>
      <w:r>
        <w:rPr>
          <w:rFonts w:ascii="Georgia" w:cs="Georgia" w:eastAsia="Georgia" w:hAnsi="Georgia"/>
          <w:b w:val="false"/>
          <w:bCs w:val="false"/>
          <w:i w:val="false"/>
          <w:iCs w:val="false"/>
          <w:color w:val="16202B"/>
          <w:sz w:val="22"/>
          <w:szCs w:val="22"/>
        </w:rPr>
        <w:t xml:space="preserve">, in many emerging markets a very low price can reduce trust in quality while a premium can add prestige, so the affordability threshold is a band to position within, not simply a floor to undercut.</w:t>
      </w:r>
    </w:p>
    <w:p>
      <w:pPr>
        <w:spacing w:after="120" w:before="120"/>
      </w:pPr>
      <w:r>
        <w:rPr>
          <w:rFonts w:ascii="Arial" w:cs="Arial" w:eastAsia="Arial" w:hAnsi="Arial"/>
          <w:b/>
          <w:bCs/>
          <w:color w:val="16202B"/>
          <w:sz w:val="20"/>
          <w:szCs w:val="20"/>
        </w:rPr>
        <w:t xml:space="preserve">Two directions of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8D1C3" w:sz="2"/>
              <w:left w:val="single" w:color="D8D1C3" w:sz="2"/>
              <w:bottom w:val="single" w:color="D8D1C3" w:sz="2"/>
              <w:right w:val="single" w:color="D8D1C3" w:sz="2"/>
            </w:tcBorders>
            <w:shd w:fill="35617F" w:val="clear"/>
            <w:tcMar>
              <w:top w:type="dxa" w:w="60"/>
              <w:left w:type="dxa" w:w="120"/>
              <w:bottom w:type="dxa" w:w="60"/>
              <w:right w:type="dxa" w:w="120"/>
            </w:tcMar>
            <w:vAlign w:val="center"/>
          </w:tcPr>
          <w:p>
            <w:pPr>
              <w:spacing w:after="0" w:line="260"/>
            </w:pPr>
            <w:r>
              <w:rPr>
                <w:rFonts w:ascii="Arial" w:cs="Arial" w:eastAsia="Arial" w:hAnsi="Arial"/>
                <w:b/>
                <w:bCs/>
                <w:color w:val="FFFFFF"/>
                <w:sz w:val="18"/>
                <w:szCs w:val="18"/>
              </w:rPr>
              <w:t xml:space="preserve">Western: cost-plus</w:t>
            </w:r>
          </w:p>
        </w:tc>
        <w:tc>
          <w:tcPr>
            <w:tcW w:type="dxa" w:w="468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pPr>
            <w:r>
              <w:rPr>
                <w:rFonts w:ascii="Arial" w:cs="Arial" w:eastAsia="Arial" w:hAnsi="Arial"/>
                <w:b/>
                <w:bCs/>
                <w:color w:val="FFFFFF"/>
                <w:sz w:val="18"/>
                <w:szCs w:val="18"/>
              </w:rPr>
              <w:t xml:space="preserve">Emerging: affordability-back</w:t>
            </w:r>
          </w:p>
        </w:tc>
      </w:tr>
      <w:tr>
        <w:tc>
          <w:tcPr>
            <w:tcW w:type="dxa" w:w="468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pPr>
            <w:r>
              <w:rPr>
                <w:rFonts w:ascii="Georgia" w:cs="Georgia" w:eastAsia="Georgia" w:hAnsi="Georgia"/>
                <w:b w:val="false"/>
                <w:bCs w:val="false"/>
                <w:i w:val="false"/>
                <w:iCs w:val="false"/>
                <w:color w:val="16202B"/>
                <w:sz w:val="22"/>
                <w:szCs w:val="22"/>
              </w:rPr>
              <w:t xml:space="preserve">1. Establish unit cost</w:t>
            </w:r>
          </w:p>
        </w:tc>
        <w:tc>
          <w:tcPr>
            <w:tcW w:type="dxa" w:w="468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pPr>
            <w:r>
              <w:rPr>
                <w:rFonts w:ascii="Georgia" w:cs="Georgia" w:eastAsia="Georgia" w:hAnsi="Georgia"/>
                <w:b w:val="false"/>
                <w:bCs w:val="false"/>
                <w:i w:val="false"/>
                <w:iCs w:val="false"/>
                <w:color w:val="16202B"/>
                <w:sz w:val="22"/>
                <w:szCs w:val="22"/>
              </w:rPr>
              <w:t xml:space="preserve">1. Find willingness-to-pay threshold</w:t>
            </w:r>
          </w:p>
        </w:tc>
      </w:tr>
      <w:tr>
        <w:tc>
          <w:tcPr>
            <w:tcW w:type="dxa" w:w="4680"/>
            <w:tcBorders>
              <w:top w:val="single" w:color="D8D1C3" w:sz="2"/>
              <w:left w:val="single" w:color="D8D1C3" w:sz="2"/>
              <w:bottom w:val="single" w:color="D8D1C3" w:sz="2"/>
              <w:right w:val="single" w:color="D8D1C3" w:sz="2"/>
            </w:tcBorders>
            <w:shd w:fill="F4F6F7" w:val="clear"/>
            <w:tcMar>
              <w:top w:type="dxa" w:w="60"/>
              <w:left w:type="dxa" w:w="120"/>
              <w:bottom w:type="dxa" w:w="60"/>
              <w:right w:type="dxa" w:w="120"/>
            </w:tcMar>
            <w:vAlign w:val="center"/>
          </w:tcPr>
          <w:p>
            <w:pPr>
              <w:spacing w:after="0" w:line="260"/>
            </w:pPr>
            <w:r>
              <w:rPr>
                <w:rFonts w:ascii="Georgia" w:cs="Georgia" w:eastAsia="Georgia" w:hAnsi="Georgia"/>
                <w:b w:val="false"/>
                <w:bCs w:val="false"/>
                <w:i w:val="false"/>
                <w:iCs w:val="false"/>
                <w:color w:val="16202B"/>
                <w:sz w:val="22"/>
                <w:szCs w:val="22"/>
              </w:rPr>
              <w:t xml:space="preserve">2. Add target margin</w:t>
            </w:r>
          </w:p>
        </w:tc>
        <w:tc>
          <w:tcPr>
            <w:tcW w:type="dxa" w:w="4680"/>
            <w:tcBorders>
              <w:top w:val="single" w:color="D8D1C3" w:sz="2"/>
              <w:left w:val="single" w:color="D8D1C3" w:sz="2"/>
              <w:bottom w:val="single" w:color="D8D1C3" w:sz="2"/>
              <w:right w:val="single" w:color="D8D1C3" w:sz="2"/>
            </w:tcBorders>
            <w:shd w:fill="F1F5F3" w:val="clear"/>
            <w:tcMar>
              <w:top w:type="dxa" w:w="60"/>
              <w:left w:type="dxa" w:w="120"/>
              <w:bottom w:type="dxa" w:w="60"/>
              <w:right w:type="dxa" w:w="120"/>
            </w:tcMar>
            <w:vAlign w:val="center"/>
          </w:tcPr>
          <w:p>
            <w:pPr>
              <w:spacing w:after="0" w:line="260"/>
            </w:pPr>
            <w:r>
              <w:rPr>
                <w:rFonts w:ascii="Georgia" w:cs="Georgia" w:eastAsia="Georgia" w:hAnsi="Georgia"/>
                <w:b w:val="false"/>
                <w:bCs w:val="false"/>
                <w:i w:val="false"/>
                <w:iCs w:val="false"/>
                <w:color w:val="16202B"/>
                <w:sz w:val="22"/>
                <w:szCs w:val="22"/>
              </w:rPr>
              <w:t xml:space="preserve">2. Choose a format that fits it</w:t>
            </w:r>
          </w:p>
        </w:tc>
      </w:tr>
      <w:tr>
        <w:tc>
          <w:tcPr>
            <w:tcW w:type="dxa" w:w="468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pPr>
            <w:r>
              <w:rPr>
                <w:rFonts w:ascii="Georgia" w:cs="Georgia" w:eastAsia="Georgia" w:hAnsi="Georgia"/>
                <w:b w:val="false"/>
                <w:bCs w:val="false"/>
                <w:i w:val="false"/>
                <w:iCs w:val="false"/>
                <w:color w:val="16202B"/>
                <w:sz w:val="22"/>
                <w:szCs w:val="22"/>
              </w:rPr>
              <w:t xml:space="preserve">3. Test against competitor set</w:t>
            </w:r>
          </w:p>
        </w:tc>
        <w:tc>
          <w:tcPr>
            <w:tcW w:type="dxa" w:w="468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pPr>
            <w:r>
              <w:rPr>
                <w:rFonts w:ascii="Georgia" w:cs="Georgia" w:eastAsia="Georgia" w:hAnsi="Georgia"/>
                <w:b w:val="false"/>
                <w:bCs w:val="false"/>
                <w:i w:val="false"/>
                <w:iCs w:val="false"/>
                <w:color w:val="16202B"/>
                <w:sz w:val="22"/>
                <w:szCs w:val="22"/>
              </w:rPr>
              <w:t xml:space="preserve">3. Re-engineer cost to protect margin</w:t>
            </w:r>
          </w:p>
        </w:tc>
      </w:tr>
      <w:tr>
        <w:tc>
          <w:tcPr>
            <w:tcW w:type="dxa" w:w="4680"/>
            <w:tcBorders>
              <w:top w:val="single" w:color="D8D1C3" w:sz="2"/>
              <w:left w:val="single" w:color="D8D1C3" w:sz="2"/>
              <w:bottom w:val="single" w:color="D8D1C3" w:sz="2"/>
              <w:right w:val="single" w:color="D8D1C3" w:sz="2"/>
            </w:tcBorders>
            <w:shd w:fill="F4F6F7" w:val="clear"/>
            <w:tcMar>
              <w:top w:type="dxa" w:w="60"/>
              <w:left w:type="dxa" w:w="120"/>
              <w:bottom w:type="dxa" w:w="60"/>
              <w:right w:type="dxa" w:w="120"/>
            </w:tcMar>
            <w:vAlign w:val="center"/>
          </w:tcPr>
          <w:p>
            <w:pPr>
              <w:spacing w:after="0" w:line="260"/>
            </w:pPr>
            <w:r>
              <w:rPr>
                <w:rFonts w:ascii="Georgia" w:cs="Georgia" w:eastAsia="Georgia" w:hAnsi="Georgia"/>
                <w:b w:val="false"/>
                <w:bCs w:val="false"/>
                <w:i w:val="false"/>
                <w:iCs w:val="false"/>
                <w:color w:val="16202B"/>
                <w:sz w:val="22"/>
                <w:szCs w:val="22"/>
              </w:rPr>
              <w:t xml:space="preserve">4. Set list price</w:t>
            </w:r>
          </w:p>
        </w:tc>
        <w:tc>
          <w:tcPr>
            <w:tcW w:type="dxa" w:w="4680"/>
            <w:tcBorders>
              <w:top w:val="single" w:color="D8D1C3" w:sz="2"/>
              <w:left w:val="single" w:color="D8D1C3" w:sz="2"/>
              <w:bottom w:val="single" w:color="D8D1C3" w:sz="2"/>
              <w:right w:val="single" w:color="D8D1C3" w:sz="2"/>
            </w:tcBorders>
            <w:shd w:fill="F1F5F3" w:val="clear"/>
            <w:tcMar>
              <w:top w:type="dxa" w:w="60"/>
              <w:left w:type="dxa" w:w="120"/>
              <w:bottom w:type="dxa" w:w="60"/>
              <w:right w:type="dxa" w:w="120"/>
            </w:tcMar>
            <w:vAlign w:val="center"/>
          </w:tcPr>
          <w:p>
            <w:pPr>
              <w:spacing w:after="0" w:line="260"/>
            </w:pPr>
            <w:r>
              <w:rPr>
                <w:rFonts w:ascii="Georgia" w:cs="Georgia" w:eastAsia="Georgia" w:hAnsi="Georgia"/>
                <w:b w:val="false"/>
                <w:bCs w:val="false"/>
                <w:i w:val="false"/>
                <w:iCs w:val="false"/>
                <w:color w:val="16202B"/>
                <w:sz w:val="22"/>
                <w:szCs w:val="22"/>
              </w:rPr>
              <w:t xml:space="preserve">4. Position within the trust band</w:t>
            </w:r>
          </w:p>
        </w:tc>
      </w:tr>
    </w:tbl>
    <w:p>
      <w:pPr>
        <w:spacing w:after="60" w:before="0" w:line="300"/>
      </w:pPr>
    </w:p>
    <w:p>
      <w:pPr>
        <w:pBdr>
          <w:top w:val="single" w:color="D8D1C3" w:sz="4" w:space="8"/>
          <w:left w:val="single" w:color="1F5C4D" w:sz="18" w:space="12"/>
          <w:bottom w:val="single" w:color="D8D1C3" w:sz="4" w:space="8"/>
          <w:right w:val="single" w:color="D8D1C3" w:sz="4" w:space="8"/>
        </w:pBdr>
        <w:shd w:fill="EEE9DF" w:val="clear"/>
        <w:spacing w:after="220" w:before="60" w:line="290"/>
        <w:ind w:left="160" w:right="160"/>
      </w:pPr>
      <w:r>
        <w:rPr>
          <w:rFonts w:ascii="Arial" w:cs="Arial" w:eastAsia="Arial" w:hAnsi="Arial"/>
          <w:b/>
          <w:bCs/>
          <w:color w:val="1F5C4D"/>
          <w:sz w:val="19"/>
          <w:szCs w:val="19"/>
        </w:rPr>
        <w:t xml:space="preserve">What it means for GTM:  </w:t>
      </w:r>
      <w:r>
        <w:rPr>
          <w:rFonts w:ascii="Georgia" w:cs="Georgia" w:eastAsia="Georgia" w:hAnsi="Georgia"/>
          <w:b w:val="false"/>
          <w:bCs w:val="false"/>
          <w:i w:val="false"/>
          <w:iCs w:val="false"/>
          <w:color w:val="16202B"/>
          <w:sz w:val="19"/>
          <w:szCs w:val="19"/>
        </w:rPr>
        <w:t xml:space="preserve">pricing and product format are one decision, not two. Willingness-to-pay research belongs at the start of the plan, not after the price list is drafted.</w:t>
      </w:r>
    </w:p>
    <w:p>
      <w:pPr>
        <w:spacing w:after="160" w:before="0" w:line="300"/>
      </w:pPr>
      <w:r>
        <w:rPr>
          <w:rFonts w:ascii="Georgia" w:cs="Georgia" w:eastAsia="Georgia" w:hAnsi="Georgia"/>
          <w:b w:val="false"/>
          <w:bCs w:val="false"/>
          <w:i w:val="false"/>
          <w:iCs w:val="false"/>
          <w:color w:val="16202B"/>
          <w:sz w:val="22"/>
          <w:szCs w:val="22"/>
        </w:rPr>
        <w:t xml:space="preserve">For B2B and technology categories the format is different but the principle holds. Tiered offers, usage-based entry points and pared-back local editions are the affordability-back equivalents of the sachet. The question is never only what should this cost, it is what shape must this take to be bought here.</w:t>
      </w:r>
    </w:p>
    <w:p>
      <w:pPr>
        <w:spacing w:after="40" w:before="340"/>
      </w:pPr>
      <w:r>
        <w:rPr>
          <w:rFonts w:ascii="Arial" w:cs="Arial" w:eastAsia="Arial" w:hAnsi="Arial"/>
          <w:b/>
          <w:bCs/>
          <w:color w:val="9C5E12"/>
          <w:spacing w:val="30"/>
          <w:sz w:val="15"/>
          <w:szCs w:val="15"/>
        </w:rPr>
        <w:t xml:space="preserve">DIFFERENCE 03 · TIMING</w:t>
      </w:r>
    </w:p>
    <w:p>
      <w:pPr>
        <w:pStyle w:val="Heading1"/>
        <w:spacing w:after="140" w:before="60"/>
      </w:pPr>
      <w:r>
        <w:rPr>
          <w:rFonts w:ascii="Arial" w:cs="Arial" w:eastAsia="Arial" w:hAnsi="Arial"/>
          <w:b/>
          <w:bCs/>
          <w:color w:val="16202B"/>
          <w:sz w:val="30"/>
          <w:szCs w:val="30"/>
        </w:rPr>
        <w:t xml:space="preserve">Regulatory timelines set your launch sequence</w:t>
      </w:r>
    </w:p>
    <w:p>
      <w:pPr>
        <w:spacing w:after="160" w:before="0" w:line="300"/>
      </w:pPr>
      <w:r>
        <w:rPr>
          <w:rFonts w:ascii="Georgia" w:cs="Georgia" w:eastAsia="Georgia" w:hAnsi="Georgia"/>
          <w:b w:val="false"/>
          <w:bCs w:val="false"/>
          <w:i w:val="false"/>
          <w:iCs w:val="false"/>
          <w:color w:val="16202B"/>
          <w:sz w:val="22"/>
          <w:szCs w:val="22"/>
        </w:rPr>
        <w:t xml:space="preserve">In mature markets, regulation is usually a compliance checkbox that runs in parallel with the launch. In emerging markets it frequently sits on the critical path, and the order in which you clear it decides when you can earn revenue. A market entry GTM plan that treats registration and certification as background admin tends to slip by a quarter or more.</w:t>
      </w:r>
    </w:p>
    <w:p>
      <w:pPr>
        <w:spacing w:after="160" w:before="0" w:line="300"/>
      </w:pPr>
      <w:r>
        <w:rPr>
          <w:rFonts w:ascii="Georgia" w:cs="Georgia" w:eastAsia="Georgia" w:hAnsi="Georgia"/>
          <w:b w:val="false"/>
          <w:bCs w:val="false"/>
          <w:i w:val="false"/>
          <w:iCs w:val="false"/>
          <w:color w:val="16202B"/>
          <w:sz w:val="22"/>
          <w:szCs w:val="22"/>
        </w:rPr>
        <w:t xml:space="preserve">The Gulf shows how fast the regulatory environment itself can move. Saudi Arabia's </w:t>
      </w:r>
      <w:hyperlink w:history="1" r:id="rId14">
        <w:r>
          <w:rPr>
            <w:rFonts w:ascii="Georgia" w:cs="Georgia" w:eastAsia="Georgia" w:hAnsi="Georgia"/>
            <w:b w:val="false"/>
            <w:bCs w:val="false"/>
            <w:color w:val="1F5C4D"/>
            <w:sz w:val="22"/>
            <w:szCs w:val="22"/>
            <w:u w:val="single"/>
          </w:rPr>
          <w:t xml:space="preserve">new Investment Law (Royal Decree M/19)</w:t>
        </w:r>
      </w:hyperlink>
      <w:r>
        <w:rPr>
          <w:rFonts w:ascii="Georgia" w:cs="Georgia" w:eastAsia="Georgia" w:hAnsi="Georgia"/>
          <w:b w:val="false"/>
          <w:bCs w:val="false"/>
          <w:i w:val="false"/>
          <w:iCs w:val="false"/>
          <w:color w:val="16202B"/>
          <w:sz w:val="22"/>
          <w:szCs w:val="22"/>
        </w:rPr>
        <w:t xml:space="preserve"> came into force in February 2025, making 100 percent foreign ownership the default across most activities and shifting to a streamlined MISA investor registration. Straightforward MISA files can clear in around five business days, per </w:t>
      </w:r>
      <w:hyperlink w:history="1" r:id="rId15">
        <w:r>
          <w:rPr>
            <w:rFonts w:ascii="Georgia" w:cs="Georgia" w:eastAsia="Georgia" w:hAnsi="Georgia"/>
            <w:b w:val="false"/>
            <w:bCs w:val="false"/>
            <w:color w:val="1F5C4D"/>
            <w:sz w:val="22"/>
            <w:szCs w:val="22"/>
            <w:u w:val="single"/>
          </w:rPr>
          <w:t xml:space="preserve">market-entry guidance</w:t>
        </w:r>
      </w:hyperlink>
      <w:r>
        <w:rPr>
          <w:rFonts w:ascii="Georgia" w:cs="Georgia" w:eastAsia="Georgia" w:hAnsi="Georgia"/>
          <w:b w:val="false"/>
          <w:bCs w:val="false"/>
          <w:i w:val="false"/>
          <w:iCs w:val="false"/>
          <w:color w:val="16202B"/>
          <w:sz w:val="22"/>
          <w:szCs w:val="22"/>
        </w:rPr>
        <w:t xml:space="preserve">, but complex or restricted-sector applications run to several weeks, and </w:t>
      </w:r>
      <w:hyperlink w:history="1" r:id="rId16">
        <w:r>
          <w:rPr>
            <w:rFonts w:ascii="Georgia" w:cs="Georgia" w:eastAsia="Georgia" w:hAnsi="Georgia"/>
            <w:b w:val="false"/>
            <w:bCs w:val="false"/>
            <w:color w:val="1F5C4D"/>
            <w:sz w:val="22"/>
            <w:szCs w:val="22"/>
            <w:u w:val="single"/>
          </w:rPr>
          <w:t xml:space="preserve">full entity setup covering commercial registration, tax and banking typically takes six to twelve weeks</w:t>
        </w:r>
      </w:hyperlink>
      <w:r>
        <w:rPr>
          <w:rFonts w:ascii="Georgia" w:cs="Georgia" w:eastAsia="Georgia" w:hAnsi="Georgia"/>
          <w:b w:val="false"/>
          <w:bCs w:val="false"/>
          <w:i w:val="false"/>
          <w:iCs w:val="false"/>
          <w:color w:val="16202B"/>
          <w:sz w:val="22"/>
          <w:szCs w:val="22"/>
        </w:rPr>
        <w:t xml:space="preserve">. Foreign shareholders are taxed at a 20 percent corporate rate. Sector regulators such as SFDA for food and pharma or SAMA for financial services add their own approval time on top.</w:t>
      </w:r>
    </w:p>
    <w:p>
      <w:pPr>
        <w:spacing w:after="160" w:before="0" w:line="300"/>
      </w:pPr>
      <w:r>
        <w:rPr>
          <w:rFonts w:ascii="Georgia" w:cs="Georgia" w:eastAsia="Georgia" w:hAnsi="Georgia"/>
          <w:b w:val="false"/>
          <w:bCs w:val="false"/>
          <w:i w:val="false"/>
          <w:iCs w:val="false"/>
          <w:color w:val="16202B"/>
          <w:sz w:val="22"/>
          <w:szCs w:val="22"/>
        </w:rPr>
        <w:t xml:space="preserve">India shows the sequencing problem inside a single market. GST registration is fast, three working days under the auto-approval framework introduced in November 2025, and up to seven to thirty working days where verification is needed, per </w:t>
      </w:r>
      <w:hyperlink w:history="1" r:id="rId17">
        <w:r>
          <w:rPr>
            <w:rFonts w:ascii="Georgia" w:cs="Georgia" w:eastAsia="Georgia" w:hAnsi="Georgia"/>
            <w:b w:val="false"/>
            <w:bCs w:val="false"/>
            <w:color w:val="1F5C4D"/>
            <w:sz w:val="22"/>
            <w:szCs w:val="22"/>
            <w:u w:val="single"/>
          </w:rPr>
          <w:t xml:space="preserve">India Briefing</w:t>
        </w:r>
      </w:hyperlink>
      <w:r>
        <w:rPr>
          <w:rFonts w:ascii="Georgia" w:cs="Georgia" w:eastAsia="Georgia" w:hAnsi="Georgia"/>
          <w:b w:val="false"/>
          <w:bCs w:val="false"/>
          <w:i w:val="false"/>
          <w:iCs w:val="false"/>
          <w:color w:val="16202B"/>
          <w:sz w:val="22"/>
          <w:szCs w:val="22"/>
        </w:rPr>
        <w:t xml:space="preserve">. But product certification is the long pole: </w:t>
      </w:r>
      <w:hyperlink w:history="1" r:id="rId18">
        <w:r>
          <w:rPr>
            <w:rFonts w:ascii="Georgia" w:cs="Georgia" w:eastAsia="Georgia" w:hAnsi="Georgia"/>
            <w:b w:val="false"/>
            <w:bCs w:val="false"/>
            <w:color w:val="1F5C4D"/>
            <w:sz w:val="22"/>
            <w:szCs w:val="22"/>
            <w:u w:val="single"/>
          </w:rPr>
          <w:t xml:space="preserve">BIS certification for foreign manufacturers commonly runs 90 to 120 days</w:t>
        </w:r>
      </w:hyperlink>
      <w:r>
        <w:rPr>
          <w:rFonts w:ascii="Georgia" w:cs="Georgia" w:eastAsia="Georgia" w:hAnsi="Georgia"/>
          <w:b w:val="false"/>
          <w:bCs w:val="false"/>
          <w:i w:val="false"/>
          <w:iCs w:val="false"/>
          <w:color w:val="16202B"/>
          <w:sz w:val="22"/>
          <w:szCs w:val="22"/>
        </w:rPr>
        <w:t xml:space="preserve">, and can stretch toward six months for </w:t>
      </w:r>
      <w:hyperlink w:history="1" r:id="rId19">
        <w:r>
          <w:rPr>
            <w:rFonts w:ascii="Georgia" w:cs="Georgia" w:eastAsia="Georgia" w:hAnsi="Georgia"/>
            <w:b w:val="false"/>
            <w:bCs w:val="false"/>
            <w:color w:val="1F5C4D"/>
            <w:sz w:val="22"/>
            <w:szCs w:val="22"/>
            <w:u w:val="single"/>
          </w:rPr>
          <w:t xml:space="preserve">full factory certification (FMCS)</w:t>
        </w:r>
      </w:hyperlink>
      <w:r>
        <w:rPr>
          <w:rFonts w:ascii="Georgia" w:cs="Georgia" w:eastAsia="Georgia" w:hAnsi="Georgia"/>
          <w:b w:val="false"/>
          <w:bCs w:val="false"/>
          <w:i w:val="false"/>
          <w:iCs w:val="false"/>
          <w:color w:val="16202B"/>
          <w:sz w:val="22"/>
          <w:szCs w:val="22"/>
        </w:rPr>
        <w:t xml:space="preserve">. Launch the go-to-market motion before that certificate lands and you have demand you cannot legally supply.</w:t>
      </w:r>
    </w:p>
    <w:p>
      <w:pPr>
        <w:spacing w:after="60" w:before="120"/>
      </w:pPr>
      <w:r>
        <w:rPr>
          <w:rFonts w:ascii="Arial" w:cs="Arial" w:eastAsia="Arial" w:hAnsi="Arial"/>
          <w:b/>
          <w:bCs/>
          <w:color w:val="16202B"/>
          <w:sz w:val="20"/>
          <w:szCs w:val="20"/>
        </w:rPr>
        <w:t xml:space="preserve">The long pole is not the same in every market</w:t>
      </w:r>
    </w:p>
    <w:p>
      <w:pPr>
        <w:spacing w:after="120"/>
      </w:pPr>
      <w:r>
        <w:rPr>
          <w:rFonts w:ascii="Consolas" w:cs="Consolas" w:eastAsia="Consolas" w:hAnsi="Consolas"/>
          <w:color w:val="1F5C4D"/>
          <w:spacing w:val="20"/>
          <w:sz w:val="14"/>
          <w:szCs w:val="14"/>
        </w:rPr>
        <w:t xml:space="preserve">INDICATIVE TIME FROM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100"/>
        <w:gridCol w:w="5460"/>
        <w:gridCol w:w="2800"/>
      </w:tblGrid>
      <w:tr>
        <w:trPr>
          <w:tblHeader/>
        </w:trPr>
        <w:tc>
          <w:tcPr>
            <w:tcW w:type="dxa" w:w="110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jc w:val="left"/>
            </w:pPr>
            <w:r>
              <w:rPr>
                <w:rFonts w:ascii="Arial" w:cs="Arial" w:eastAsia="Arial" w:hAnsi="Arial"/>
                <w:b/>
                <w:bCs/>
                <w:color w:val="FFFFFF"/>
                <w:sz w:val="18"/>
                <w:szCs w:val="18"/>
              </w:rPr>
              <w:t xml:space="preserve">Market</w:t>
            </w:r>
          </w:p>
        </w:tc>
        <w:tc>
          <w:tcPr>
            <w:tcW w:type="dxa" w:w="546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jc w:val="left"/>
            </w:pPr>
            <w:r>
              <w:rPr>
                <w:rFonts w:ascii="Arial" w:cs="Arial" w:eastAsia="Arial" w:hAnsi="Arial"/>
                <w:b/>
                <w:bCs/>
                <w:color w:val="FFFFFF"/>
                <w:sz w:val="18"/>
                <w:szCs w:val="18"/>
              </w:rPr>
              <w:t xml:space="preserve">Regulatory step</w:t>
            </w:r>
          </w:p>
        </w:tc>
        <w:tc>
          <w:tcPr>
            <w:tcW w:type="dxa" w:w="280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jc w:val="left"/>
            </w:pPr>
            <w:r>
              <w:rPr>
                <w:rFonts w:ascii="Arial" w:cs="Arial" w:eastAsia="Arial" w:hAnsi="Arial"/>
                <w:b/>
                <w:bCs/>
                <w:color w:val="FFFFFF"/>
                <w:sz w:val="18"/>
                <w:szCs w:val="18"/>
              </w:rPr>
              <w:t xml:space="preserve">Typical duration</w:t>
            </w:r>
          </w:p>
        </w:tc>
      </w:tr>
      <w:tr>
        <w:tc>
          <w:tcPr>
            <w:tcW w:type="dxa" w:w="11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9C5E12"/>
                <w:sz w:val="22"/>
                <w:szCs w:val="22"/>
              </w:rPr>
              <w:t xml:space="preserve">GCC</w:t>
            </w:r>
          </w:p>
        </w:tc>
        <w:tc>
          <w:tcPr>
            <w:tcW w:type="dxa" w:w="546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Saudi MISA investor registration</w:t>
            </w:r>
          </w:p>
        </w:tc>
        <w:tc>
          <w:tcPr>
            <w:tcW w:type="dxa" w:w="28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~1 to 3 weeks</w:t>
            </w:r>
          </w:p>
        </w:tc>
      </w:tr>
      <w:tr>
        <w:tc>
          <w:tcPr>
            <w:tcW w:type="dxa" w:w="11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9C5E12"/>
                <w:sz w:val="22"/>
                <w:szCs w:val="22"/>
              </w:rPr>
              <w:t xml:space="preserve">GCC</w:t>
            </w:r>
          </w:p>
        </w:tc>
        <w:tc>
          <w:tcPr>
            <w:tcW w:type="dxa" w:w="546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Saudi full entity setup (registration, tax, banking)</w:t>
            </w:r>
          </w:p>
        </w:tc>
        <w:tc>
          <w:tcPr>
            <w:tcW w:type="dxa" w:w="28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~6 to 12 weeks</w:t>
            </w:r>
          </w:p>
        </w:tc>
      </w:tr>
      <w:tr>
        <w:tc>
          <w:tcPr>
            <w:tcW w:type="dxa" w:w="11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F5C4D"/>
                <w:sz w:val="22"/>
                <w:szCs w:val="22"/>
              </w:rPr>
              <w:t xml:space="preserve">IN</w:t>
            </w:r>
          </w:p>
        </w:tc>
        <w:tc>
          <w:tcPr>
            <w:tcW w:type="dxa" w:w="546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India GST registration</w:t>
            </w:r>
          </w:p>
        </w:tc>
        <w:tc>
          <w:tcPr>
            <w:tcW w:type="dxa" w:w="28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~3 working days to 4 weeks</w:t>
            </w:r>
          </w:p>
        </w:tc>
      </w:tr>
      <w:tr>
        <w:tc>
          <w:tcPr>
            <w:tcW w:type="dxa" w:w="11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F5C4D"/>
                <w:sz w:val="22"/>
                <w:szCs w:val="22"/>
              </w:rPr>
              <w:t xml:space="preserve">IN</w:t>
            </w:r>
          </w:p>
        </w:tc>
        <w:tc>
          <w:tcPr>
            <w:tcW w:type="dxa" w:w="546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India BIS product certification (foreign)</w:t>
            </w:r>
          </w:p>
        </w:tc>
        <w:tc>
          <w:tcPr>
            <w:tcW w:type="dxa" w:w="28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~13 to 17 weeks; up to 6 months (FMCS)</w:t>
            </w:r>
          </w:p>
        </w:tc>
      </w:tr>
    </w:tbl>
    <w:p>
      <w:pPr>
        <w:spacing w:after="240" w:before="80" w:line="260"/>
      </w:pPr>
      <w:r>
        <w:rPr>
          <w:rFonts w:ascii="Consolas" w:cs="Consolas" w:eastAsia="Consolas" w:hAnsi="Consolas"/>
          <w:color w:val="44505F"/>
          <w:sz w:val="16"/>
          <w:szCs w:val="16"/>
        </w:rPr>
        <w:t xml:space="preserve">Sources: </w:t>
      </w:r>
      <w:hyperlink w:history="1" r:id="rId20">
        <w:r>
          <w:rPr>
            <w:rFonts w:ascii="Consolas" w:cs="Consolas" w:eastAsia="Consolas" w:hAnsi="Consolas"/>
            <w:color w:val="1F5C4D"/>
            <w:sz w:val="16"/>
            <w:szCs w:val="16"/>
            <w:u w:val="single"/>
          </w:rPr>
          <w:t xml:space="preserve">MISA / Investment Law guidance</w:t>
        </w:r>
      </w:hyperlink>
      <w:r>
        <w:rPr>
          <w:rFonts w:ascii="Consolas" w:cs="Consolas" w:eastAsia="Consolas" w:hAnsi="Consolas"/>
          <w:color w:val="44505F"/>
          <w:sz w:val="16"/>
          <w:szCs w:val="16"/>
        </w:rPr>
        <w:t xml:space="preserve">, </w:t>
      </w:r>
      <w:hyperlink w:history="1" r:id="rId21">
        <w:r>
          <w:rPr>
            <w:rFonts w:ascii="Consolas" w:cs="Consolas" w:eastAsia="Consolas" w:hAnsi="Consolas"/>
            <w:color w:val="1F5C4D"/>
            <w:sz w:val="16"/>
            <w:szCs w:val="16"/>
            <w:u w:val="single"/>
          </w:rPr>
          <w:t xml:space="preserve">India Briefing</w:t>
        </w:r>
      </w:hyperlink>
      <w:r>
        <w:rPr>
          <w:rFonts w:ascii="Consolas" w:cs="Consolas" w:eastAsia="Consolas" w:hAnsi="Consolas"/>
          <w:color w:val="44505F"/>
          <w:sz w:val="16"/>
          <w:szCs w:val="16"/>
        </w:rPr>
        <w:t xml:space="preserve">, </w:t>
      </w:r>
      <w:hyperlink w:history="1" r:id="rId22">
        <w:r>
          <w:rPr>
            <w:rFonts w:ascii="Consolas" w:cs="Consolas" w:eastAsia="Consolas" w:hAnsi="Consolas"/>
            <w:color w:val="1F5C4D"/>
            <w:sz w:val="16"/>
            <w:szCs w:val="16"/>
            <w:u w:val="single"/>
          </w:rPr>
          <w:t xml:space="preserve">BIS</w:t>
        </w:r>
      </w:hyperlink>
      <w:r>
        <w:rPr>
          <w:rFonts w:ascii="Consolas" w:cs="Consolas" w:eastAsia="Consolas" w:hAnsi="Consolas"/>
          <w:color w:val="44505F"/>
          <w:sz w:val="16"/>
          <w:szCs w:val="16"/>
        </w:rPr>
        <w:t xml:space="preserve">.</w:t>
      </w:r>
    </w:p>
    <w:p>
      <w:pPr>
        <w:pBdr>
          <w:top w:val="single" w:color="D8D1C3" w:sz="4" w:space="8"/>
          <w:left w:val="single" w:color="1F5C4D" w:sz="18" w:space="12"/>
          <w:bottom w:val="single" w:color="D8D1C3" w:sz="4" w:space="8"/>
          <w:right w:val="single" w:color="D8D1C3" w:sz="4" w:space="8"/>
        </w:pBdr>
        <w:shd w:fill="EEE9DF" w:val="clear"/>
        <w:spacing w:after="220" w:before="60" w:line="290"/>
        <w:ind w:left="160" w:right="160"/>
      </w:pPr>
      <w:r>
        <w:rPr>
          <w:rFonts w:ascii="Arial" w:cs="Arial" w:eastAsia="Arial" w:hAnsi="Arial"/>
          <w:b/>
          <w:bCs/>
          <w:color w:val="1F5C4D"/>
          <w:sz w:val="19"/>
          <w:szCs w:val="19"/>
        </w:rPr>
        <w:t xml:space="preserve">What it means for GTM:  </w:t>
      </w:r>
      <w:r>
        <w:rPr>
          <w:rFonts w:ascii="Georgia" w:cs="Georgia" w:eastAsia="Georgia" w:hAnsi="Georgia"/>
          <w:b w:val="false"/>
          <w:bCs w:val="false"/>
          <w:i w:val="false"/>
          <w:iCs w:val="false"/>
          <w:color w:val="16202B"/>
          <w:sz w:val="19"/>
          <w:szCs w:val="19"/>
        </w:rPr>
        <w:t xml:space="preserve">sequence the launch around the longest binding approval, not the average one. In India that is often product certification; in the Gulf it is entity setup plus sector sign-off.</w:t>
      </w:r>
    </w:p>
    <w:p>
      <w:pPr>
        <w:spacing w:after="160" w:before="0" w:line="300"/>
      </w:pPr>
      <w:r>
        <w:rPr>
          <w:rFonts w:ascii="Georgia" w:cs="Georgia" w:eastAsia="Georgia" w:hAnsi="Georgia"/>
          <w:b w:val="false"/>
          <w:bCs w:val="false"/>
          <w:i w:val="false"/>
          <w:iCs w:val="false"/>
          <w:color w:val="16202B"/>
          <w:sz w:val="22"/>
          <w:szCs w:val="22"/>
        </w:rPr>
        <w:t xml:space="preserve">The discipline here is simple to state and easy to skip: build the launch calendar backward from the longest binding approval, then start the marketing engine only when supply is legally live. Get the sequence wrong and every other part of the plan waits on it.</w:t>
      </w:r>
    </w:p>
    <w:p>
      <w:pPr>
        <w:spacing w:after="40" w:before="340"/>
      </w:pPr>
      <w:r>
        <w:rPr>
          <w:rFonts w:ascii="Arial" w:cs="Arial" w:eastAsia="Arial" w:hAnsi="Arial"/>
          <w:b/>
          <w:bCs/>
          <w:color w:val="9C5E12"/>
          <w:spacing w:val="30"/>
          <w:sz w:val="15"/>
          <w:szCs w:val="15"/>
        </w:rPr>
        <w:t xml:space="preserve">DIFFERENCE 04 · TRUST</w:t>
      </w:r>
    </w:p>
    <w:p>
      <w:pPr>
        <w:pStyle w:val="Heading1"/>
        <w:spacing w:after="140" w:before="60"/>
      </w:pPr>
      <w:r>
        <w:rPr>
          <w:rFonts w:ascii="Arial" w:cs="Arial" w:eastAsia="Arial" w:hAnsi="Arial"/>
          <w:b/>
          <w:bCs/>
          <w:color w:val="16202B"/>
          <w:sz w:val="30"/>
          <w:szCs w:val="30"/>
        </w:rPr>
        <w:t xml:space="preserve">Reference customers carry more weight than marketing</w:t>
      </w:r>
    </w:p>
    <w:p>
      <w:pPr>
        <w:spacing w:after="160" w:before="0" w:line="300"/>
      </w:pPr>
      <w:r>
        <w:rPr>
          <w:rFonts w:ascii="Georgia" w:cs="Georgia" w:eastAsia="Georgia" w:hAnsi="Georgia"/>
          <w:b w:val="false"/>
          <w:bCs w:val="false"/>
          <w:i w:val="false"/>
          <w:iCs w:val="false"/>
          <w:color w:val="16202B"/>
          <w:sz w:val="22"/>
          <w:szCs w:val="22"/>
        </w:rPr>
        <w:t xml:space="preserve">Marketing builds trust at scale by broadcasting a consistent message to many buyers at once. That works best where buyers already assume a baseline of institutional reliability. In emerging markets, where that baseline is thinner and the cost of a wrong vendor choice is higher, trust is transferred person to person. The reference customer, the peer who has already bought and can vouch, does the work a campaign does elsewhere.</w:t>
      </w:r>
    </w:p>
    <w:p>
      <w:pPr>
        <w:spacing w:after="160" w:before="0" w:line="300"/>
      </w:pPr>
      <w:r>
        <w:rPr>
          <w:rFonts w:ascii="Georgia" w:cs="Georgia" w:eastAsia="Georgia" w:hAnsi="Georgia"/>
          <w:b w:val="false"/>
          <w:bCs w:val="false"/>
          <w:i w:val="false"/>
          <w:iCs w:val="false"/>
          <w:color w:val="16202B"/>
          <w:sz w:val="22"/>
          <w:szCs w:val="22"/>
        </w:rPr>
        <w:t xml:space="preserve">The buyer research points the same way even in mature B2B, and the effect is amplified where institutions are less established. In the </w:t>
      </w:r>
      <w:hyperlink w:history="1" r:id="rId23">
        <w:r>
          <w:rPr>
            <w:rFonts w:ascii="Georgia" w:cs="Georgia" w:eastAsia="Georgia" w:hAnsi="Georgia"/>
            <w:b w:val="false"/>
            <w:bCs w:val="false"/>
            <w:color w:val="1F5C4D"/>
            <w:sz w:val="22"/>
            <w:szCs w:val="22"/>
            <w:u w:val="single"/>
          </w:rPr>
          <w:t xml:space="preserve">SurveyMonkey and Reddit Hidden B2B Journey study</w:t>
        </w:r>
      </w:hyperlink>
      <w:r>
        <w:rPr>
          <w:rFonts w:ascii="Georgia" w:cs="Georgia" w:eastAsia="Georgia" w:hAnsi="Georgia"/>
          <w:b w:val="false"/>
          <w:bCs w:val="false"/>
          <w:i w:val="false"/>
          <w:iCs w:val="false"/>
          <w:color w:val="16202B"/>
          <w:sz w:val="22"/>
          <w:szCs w:val="22"/>
        </w:rPr>
        <w:t xml:space="preserve">, peer recommendations were the single most trusted information source, cited by 73 percent of decision-makers, ahead of vendor websites at 55 percent and review sites at 46 percent. </w:t>
      </w:r>
      <w:hyperlink w:history="1" r:id="rId24">
        <w:r>
          <w:rPr>
            <w:rFonts w:ascii="Georgia" w:cs="Georgia" w:eastAsia="Georgia" w:hAnsi="Georgia"/>
            <w:b w:val="false"/>
            <w:bCs w:val="false"/>
            <w:color w:val="1F5C4D"/>
            <w:sz w:val="22"/>
            <w:szCs w:val="22"/>
            <w:u w:val="single"/>
          </w:rPr>
          <w:t xml:space="preserve">Forrester's 2023 trust survey</w:t>
        </w:r>
      </w:hyperlink>
      <w:r>
        <w:rPr>
          <w:rFonts w:ascii="Georgia" w:cs="Georgia" w:eastAsia="Georgia" w:hAnsi="Georgia"/>
          <w:b w:val="false"/>
          <w:bCs w:val="false"/>
          <w:i w:val="false"/>
          <w:iCs w:val="false"/>
          <w:color w:val="16202B"/>
          <w:sz w:val="22"/>
          <w:szCs w:val="22"/>
        </w:rPr>
        <w:t xml:space="preserve"> found more than 90 percent of respondents trust peers in their industry over vendor content. </w:t>
      </w:r>
      <w:hyperlink w:history="1" r:id="rId25">
        <w:r>
          <w:rPr>
            <w:rFonts w:ascii="Georgia" w:cs="Georgia" w:eastAsia="Georgia" w:hAnsi="Georgia"/>
            <w:b w:val="false"/>
            <w:bCs w:val="false"/>
            <w:color w:val="1F5C4D"/>
            <w:sz w:val="22"/>
            <w:szCs w:val="22"/>
            <w:u w:val="single"/>
          </w:rPr>
          <w:t xml:space="preserve">Sopro's 2025 data</w:t>
        </w:r>
      </w:hyperlink>
      <w:r>
        <w:rPr>
          <w:rFonts w:ascii="Georgia" w:cs="Georgia" w:eastAsia="Georgia" w:hAnsi="Georgia"/>
          <w:b w:val="false"/>
          <w:bCs w:val="false"/>
          <w:i w:val="false"/>
          <w:iCs w:val="false"/>
          <w:color w:val="16202B"/>
          <w:sz w:val="22"/>
          <w:szCs w:val="22"/>
        </w:rPr>
        <w:t xml:space="preserve"> shows 54 percent of B2B buyers speak directly with current users before deciding, while reliance on analyst reports has fallen to roughly 14 to 16 percent. </w:t>
      </w:r>
      <w:hyperlink w:history="1" r:id="rId26">
        <w:r>
          <w:rPr>
            <w:rFonts w:ascii="Georgia" w:cs="Georgia" w:eastAsia="Georgia" w:hAnsi="Georgia"/>
            <w:b w:val="false"/>
            <w:bCs w:val="false"/>
            <w:color w:val="1F5C4D"/>
            <w:sz w:val="22"/>
            <w:szCs w:val="22"/>
            <w:u w:val="single"/>
          </w:rPr>
          <w:t xml:space="preserve">McKinsey has estimated</w:t>
        </w:r>
      </w:hyperlink>
      <w:r>
        <w:rPr>
          <w:rFonts w:ascii="Georgia" w:cs="Georgia" w:eastAsia="Georgia" w:hAnsi="Georgia"/>
          <w:b w:val="false"/>
          <w:bCs w:val="false"/>
          <w:i w:val="false"/>
          <w:iCs w:val="false"/>
          <w:color w:val="16202B"/>
          <w:sz w:val="22"/>
          <w:szCs w:val="22"/>
        </w:rPr>
        <w:t xml:space="preserve"> word of mouth drives 20 to 50 percent of all purchasing decisions.</w:t>
      </w:r>
    </w:p>
    <w:p>
      <w:pPr>
        <w:spacing w:after="60" w:before="120"/>
      </w:pPr>
      <w:r>
        <w:rPr>
          <w:rFonts w:ascii="Arial" w:cs="Arial" w:eastAsia="Arial" w:hAnsi="Arial"/>
          <w:b/>
          <w:bCs/>
          <w:color w:val="16202B"/>
          <w:sz w:val="20"/>
          <w:szCs w:val="20"/>
        </w:rPr>
        <w:t xml:space="preserve">Who buyers actually trust</w:t>
      </w:r>
    </w:p>
    <w:p>
      <w:pPr>
        <w:spacing w:after="120"/>
      </w:pPr>
      <w:r>
        <w:rPr>
          <w:rFonts w:ascii="Consolas" w:cs="Consolas" w:eastAsia="Consolas" w:hAnsi="Consolas"/>
          <w:color w:val="1F5C4D"/>
          <w:spacing w:val="20"/>
          <w:sz w:val="14"/>
          <w:szCs w:val="14"/>
        </w:rPr>
        <w:t xml:space="preserve">MOST TRUSTED INFORMATION SOURCE, SHARE OF B2B DECISION-MAKERS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5160"/>
        <w:gridCol w:w="1400"/>
        <w:gridCol w:w="2800"/>
      </w:tblGrid>
      <w:tr>
        <w:trPr>
          <w:tblHeader/>
        </w:trPr>
        <w:tc>
          <w:tcPr>
            <w:tcW w:type="dxa" w:w="516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jc w:val="left"/>
            </w:pPr>
            <w:r>
              <w:rPr>
                <w:rFonts w:ascii="Arial" w:cs="Arial" w:eastAsia="Arial" w:hAnsi="Arial"/>
                <w:b/>
                <w:bCs/>
                <w:color w:val="FFFFFF"/>
                <w:sz w:val="18"/>
                <w:szCs w:val="18"/>
              </w:rPr>
              <w:t xml:space="preserve">Information source</w:t>
            </w:r>
          </w:p>
        </w:tc>
        <w:tc>
          <w:tcPr>
            <w:tcW w:type="dxa" w:w="140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jc w:val="left"/>
            </w:pPr>
            <w:r>
              <w:rPr>
                <w:rFonts w:ascii="Arial" w:cs="Arial" w:eastAsia="Arial" w:hAnsi="Arial"/>
                <w:b/>
                <w:bCs/>
                <w:color w:val="FFFFFF"/>
                <w:sz w:val="18"/>
                <w:szCs w:val="18"/>
              </w:rPr>
              <w:t xml:space="preserve">Share</w:t>
            </w:r>
          </w:p>
        </w:tc>
        <w:tc>
          <w:tcPr>
            <w:tcW w:type="dxa" w:w="2800"/>
            <w:tcBorders>
              <w:top w:val="single" w:color="D8D1C3" w:sz="2"/>
              <w:left w:val="single" w:color="D8D1C3" w:sz="2"/>
              <w:bottom w:val="single" w:color="D8D1C3" w:sz="2"/>
              <w:right w:val="single" w:color="D8D1C3" w:sz="2"/>
            </w:tcBorders>
            <w:shd w:fill="1F5C4D" w:val="clear"/>
            <w:tcMar>
              <w:top w:type="dxa" w:w="60"/>
              <w:left w:type="dxa" w:w="120"/>
              <w:bottom w:type="dxa" w:w="60"/>
              <w:right w:type="dxa" w:w="120"/>
            </w:tcMar>
            <w:vAlign w:val="center"/>
          </w:tcPr>
          <w:p>
            <w:pPr>
              <w:spacing w:after="0" w:line="260"/>
              <w:jc w:val="left"/>
            </w:pPr>
            <w:r>
              <w:rPr>
                <w:rFonts w:ascii="Arial" w:cs="Arial" w:eastAsia="Arial" w:hAnsi="Arial"/>
                <w:b/>
                <w:bCs/>
                <w:color w:val="FFFFFF"/>
                <w:sz w:val="18"/>
                <w:szCs w:val="18"/>
              </w:rPr>
              <w:t xml:space="preserve">Source</w:t>
            </w:r>
          </w:p>
        </w:tc>
      </w:tr>
      <w:tr>
        <w:tc>
          <w:tcPr>
            <w:tcW w:type="dxa" w:w="516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Peer recommendations</w:t>
            </w:r>
          </w:p>
        </w:tc>
        <w:tc>
          <w:tcPr>
            <w:tcW w:type="dxa" w:w="14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73%</w:t>
            </w:r>
          </w:p>
        </w:tc>
        <w:tc>
          <w:tcPr>
            <w:tcW w:type="dxa" w:w="28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Consolas" w:cs="Consolas" w:eastAsia="Consolas" w:hAnsi="Consolas"/>
                <w:color w:val="44505F"/>
                <w:sz w:val="16"/>
                <w:szCs w:val="16"/>
              </w:rPr>
              <w:t xml:space="preserve">SurveyMonkey / Reddit</w:t>
            </w:r>
          </w:p>
        </w:tc>
      </w:tr>
      <w:tr>
        <w:tc>
          <w:tcPr>
            <w:tcW w:type="dxa" w:w="516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Vendor websites</w:t>
            </w:r>
          </w:p>
        </w:tc>
        <w:tc>
          <w:tcPr>
            <w:tcW w:type="dxa" w:w="14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55%</w:t>
            </w:r>
          </w:p>
        </w:tc>
        <w:tc>
          <w:tcPr>
            <w:tcW w:type="dxa" w:w="28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Consolas" w:cs="Consolas" w:eastAsia="Consolas" w:hAnsi="Consolas"/>
                <w:color w:val="44505F"/>
                <w:sz w:val="16"/>
                <w:szCs w:val="16"/>
              </w:rPr>
              <w:t xml:space="preserve">SurveyMonkey / Reddit</w:t>
            </w:r>
          </w:p>
        </w:tc>
      </w:tr>
      <w:tr>
        <w:tc>
          <w:tcPr>
            <w:tcW w:type="dxa" w:w="516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Search engines</w:t>
            </w:r>
          </w:p>
        </w:tc>
        <w:tc>
          <w:tcPr>
            <w:tcW w:type="dxa" w:w="14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54%</w:t>
            </w:r>
          </w:p>
        </w:tc>
        <w:tc>
          <w:tcPr>
            <w:tcW w:type="dxa" w:w="28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Consolas" w:cs="Consolas" w:eastAsia="Consolas" w:hAnsi="Consolas"/>
                <w:color w:val="44505F"/>
                <w:sz w:val="16"/>
                <w:szCs w:val="16"/>
              </w:rPr>
              <w:t xml:space="preserve">SurveyMonkey / Reddit</w:t>
            </w:r>
          </w:p>
        </w:tc>
      </w:tr>
      <w:tr>
        <w:tc>
          <w:tcPr>
            <w:tcW w:type="dxa" w:w="516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Review sites</w:t>
            </w:r>
          </w:p>
        </w:tc>
        <w:tc>
          <w:tcPr>
            <w:tcW w:type="dxa" w:w="14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46%</w:t>
            </w:r>
          </w:p>
        </w:tc>
        <w:tc>
          <w:tcPr>
            <w:tcW w:type="dxa" w:w="2800"/>
            <w:tcBorders>
              <w:top w:val="single" w:color="D8D1C3" w:sz="2"/>
              <w:left w:val="single" w:color="D8D1C3" w:sz="2"/>
              <w:bottom w:val="single" w:color="D8D1C3" w:sz="2"/>
              <w:right w:val="single" w:color="D8D1C3" w:sz="2"/>
            </w:tcBorders>
            <w:shd w:fill="FBFAF6" w:val="clear"/>
            <w:tcMar>
              <w:top w:type="dxa" w:w="60"/>
              <w:left w:type="dxa" w:w="120"/>
              <w:bottom w:type="dxa" w:w="60"/>
              <w:right w:type="dxa" w:w="120"/>
            </w:tcMar>
            <w:vAlign w:val="center"/>
          </w:tcPr>
          <w:p>
            <w:pPr>
              <w:spacing w:after="0" w:line="260"/>
              <w:jc w:val="left"/>
            </w:pPr>
            <w:r>
              <w:rPr>
                <w:rFonts w:ascii="Consolas" w:cs="Consolas" w:eastAsia="Consolas" w:hAnsi="Consolas"/>
                <w:color w:val="44505F"/>
                <w:sz w:val="16"/>
                <w:szCs w:val="16"/>
              </w:rPr>
              <w:t xml:space="preserve">SurveyMonkey / Reddit</w:t>
            </w:r>
          </w:p>
        </w:tc>
      </w:tr>
      <w:tr>
        <w:tc>
          <w:tcPr>
            <w:tcW w:type="dxa" w:w="516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val="false"/>
                <w:bCs w:val="false"/>
                <w:i w:val="false"/>
                <w:iCs w:val="false"/>
                <w:color w:val="16202B"/>
                <w:sz w:val="22"/>
                <w:szCs w:val="22"/>
              </w:rPr>
              <w:t xml:space="preserve">Analyst reports</w:t>
            </w:r>
          </w:p>
        </w:tc>
        <w:tc>
          <w:tcPr>
            <w:tcW w:type="dxa" w:w="14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Georgia" w:cs="Georgia" w:eastAsia="Georgia" w:hAnsi="Georgia"/>
                <w:b/>
                <w:bCs/>
                <w:i w:val="false"/>
                <w:iCs w:val="false"/>
                <w:color w:val="16202B"/>
                <w:sz w:val="22"/>
                <w:szCs w:val="22"/>
              </w:rPr>
              <w:t xml:space="preserve">~15%</w:t>
            </w:r>
          </w:p>
        </w:tc>
        <w:tc>
          <w:tcPr>
            <w:tcW w:type="dxa" w:w="2800"/>
            <w:tcBorders>
              <w:top w:val="single" w:color="D8D1C3" w:sz="2"/>
              <w:left w:val="single" w:color="D8D1C3" w:sz="2"/>
              <w:bottom w:val="single" w:color="D8D1C3" w:sz="2"/>
              <w:right w:val="single" w:color="D8D1C3" w:sz="2"/>
            </w:tcBorders>
            <w:shd w:fill="FFFFFF" w:val="clear"/>
            <w:tcMar>
              <w:top w:type="dxa" w:w="60"/>
              <w:left w:type="dxa" w:w="120"/>
              <w:bottom w:type="dxa" w:w="60"/>
              <w:right w:type="dxa" w:w="120"/>
            </w:tcMar>
            <w:vAlign w:val="center"/>
          </w:tcPr>
          <w:p>
            <w:pPr>
              <w:spacing w:after="0" w:line="260"/>
              <w:jc w:val="left"/>
            </w:pPr>
            <w:r>
              <w:rPr>
                <w:rFonts w:ascii="Consolas" w:cs="Consolas" w:eastAsia="Consolas" w:hAnsi="Consolas"/>
                <w:color w:val="44505F"/>
                <w:sz w:val="16"/>
                <w:szCs w:val="16"/>
              </w:rPr>
              <w:t xml:space="preserve">Sopro 2025</w:t>
            </w:r>
          </w:p>
        </w:tc>
      </w:tr>
    </w:tbl>
    <w:p>
      <w:pPr>
        <w:spacing w:after="60" w:before="0" w:line="300"/>
      </w:pPr>
    </w:p>
    <w:p>
      <w:pPr>
        <w:pBdr>
          <w:top w:val="single" w:color="D8D1C3" w:sz="4" w:space="8"/>
          <w:left w:val="single" w:color="1F5C4D" w:sz="18" w:space="12"/>
          <w:bottom w:val="single" w:color="D8D1C3" w:sz="4" w:space="8"/>
          <w:right w:val="single" w:color="D8D1C3" w:sz="4" w:space="8"/>
        </w:pBdr>
        <w:shd w:fill="EEE9DF" w:val="clear"/>
        <w:spacing w:after="220" w:before="60" w:line="290"/>
        <w:ind w:left="160" w:right="160"/>
      </w:pPr>
      <w:r>
        <w:rPr>
          <w:rFonts w:ascii="Arial" w:cs="Arial" w:eastAsia="Arial" w:hAnsi="Arial"/>
          <w:b/>
          <w:bCs/>
          <w:color w:val="1F5C4D"/>
          <w:sz w:val="19"/>
          <w:szCs w:val="19"/>
        </w:rPr>
        <w:t xml:space="preserve">What it means for GTM:  </w:t>
      </w:r>
      <w:r>
        <w:rPr>
          <w:rFonts w:ascii="Georgia" w:cs="Georgia" w:eastAsia="Georgia" w:hAnsi="Georgia"/>
          <w:b w:val="false"/>
          <w:bCs w:val="false"/>
          <w:i w:val="false"/>
          <w:iCs w:val="false"/>
          <w:color w:val="16202B"/>
          <w:sz w:val="19"/>
          <w:szCs w:val="19"/>
        </w:rPr>
        <w:t xml:space="preserve">your first three to five reference customers are a GTM asset, not just a sales outcome. Win, document and mobilise them deliberately before you scale spend.</w:t>
      </w:r>
    </w:p>
    <w:p>
      <w:pPr>
        <w:spacing w:after="160" w:before="0" w:line="300"/>
      </w:pPr>
      <w:r>
        <w:rPr>
          <w:rFonts w:ascii="Georgia" w:cs="Georgia" w:eastAsia="Georgia" w:hAnsi="Georgia"/>
          <w:b w:val="false"/>
          <w:bCs w:val="false"/>
          <w:i w:val="false"/>
          <w:iCs w:val="false"/>
          <w:color w:val="16202B"/>
          <w:sz w:val="22"/>
          <w:szCs w:val="22"/>
        </w:rPr>
        <w:t xml:space="preserve">The operational takeaway is to treat the earliest customers as infrastructure. A handful of visible, credible, articulate reference accounts in-market will move more pipeline than a broad campaign to strangers. In emerging market GTM execution, the reference base is often the highest-return investment you make in the first two quarters.</w:t>
      </w:r>
    </w:p>
    <w:p>
      <w:r>
        <w:br w:type="page"/>
      </w:r>
    </w:p>
    <w:p>
      <w:pPr>
        <w:spacing w:after="40" w:before="340"/>
      </w:pPr>
      <w:r>
        <w:rPr>
          <w:rFonts w:ascii="Arial" w:cs="Arial" w:eastAsia="Arial" w:hAnsi="Arial"/>
          <w:b/>
          <w:bCs/>
          <w:color w:val="9C5E12"/>
          <w:spacing w:val="30"/>
          <w:sz w:val="15"/>
          <w:szCs w:val="15"/>
        </w:rPr>
        <w:t xml:space="preserve">READINESS CHECK</w:t>
      </w:r>
    </w:p>
    <w:p>
      <w:pPr>
        <w:pStyle w:val="Heading1"/>
        <w:spacing w:after="140" w:before="60"/>
      </w:pPr>
      <w:r>
        <w:rPr>
          <w:rFonts w:ascii="Arial" w:cs="Arial" w:eastAsia="Arial" w:hAnsi="Arial"/>
          <w:b/>
          <w:bCs/>
          <w:color w:val="16202B"/>
          <w:sz w:val="30"/>
          <w:szCs w:val="30"/>
        </w:rPr>
        <w:t xml:space="preserve">Five questions before you enter a new market</w:t>
      </w:r>
    </w:p>
    <w:p>
      <w:pPr>
        <w:spacing w:after="160" w:before="0" w:line="300"/>
      </w:pPr>
      <w:r>
        <w:rPr>
          <w:rFonts w:ascii="Georgia" w:cs="Georgia" w:eastAsia="Georgia" w:hAnsi="Georgia"/>
          <w:b w:val="false"/>
          <w:bCs w:val="false"/>
          <w:i w:val="false"/>
          <w:iCs w:val="false"/>
          <w:color w:val="16202B"/>
          <w:sz w:val="22"/>
          <w:szCs w:val="22"/>
        </w:rPr>
        <w:t xml:space="preserve">Answer each honestly. This is the same diagnostic we run at the start of a GreyRadius market entry engagement. Give yourself one point for every clear yes.</w:t>
      </w:r>
    </w:p>
    <w:p>
      <w:pPr>
        <w:pBdr>
          <w:top w:val="single" w:color="D8D1C3" w:sz="2" w:space="8"/>
        </w:pBdr>
        <w:spacing w:after="140" w:before="60" w:line="290"/>
      </w:pPr>
      <w:r>
        <w:rPr>
          <w:rFonts w:ascii="Arial" w:cs="Arial" w:eastAsia="Arial" w:hAnsi="Arial"/>
          <w:b/>
          <w:bCs/>
          <w:color w:val="1F5C4D"/>
          <w:sz w:val="20"/>
          <w:szCs w:val="20"/>
        </w:rPr>
        <w:t xml:space="preserve">Q1   </w:t>
      </w:r>
      <w:r>
        <w:rPr>
          <w:rFonts w:ascii="Georgia" w:cs="Georgia" w:eastAsia="Georgia" w:hAnsi="Georgia"/>
          <w:color w:val="16202B"/>
          <w:sz w:val="22"/>
          <w:szCs w:val="22"/>
        </w:rPr>
        <w:t xml:space="preserve">Have you mapped every channel layer between you and the end customer, and named who owns the relationship at each layer?</w:t>
      </w:r>
      <w:r>
        <w:rPr>
          <w:rFonts w:ascii="Georgia" w:cs="Georgia" w:eastAsia="Georgia" w:hAnsi="Georgia"/>
          <w:color w:val="44505F"/>
          <w:sz w:val="20"/>
          <w:szCs w:val="20"/>
        </w:rPr>
        <w:t xml:space="preserve">        ☐ Yes    ☐ No</w:t>
      </w:r>
    </w:p>
    <w:p>
      <w:pPr>
        <w:pBdr>
          <w:top w:val="single" w:color="D8D1C3" w:sz="2" w:space="8"/>
        </w:pBdr>
        <w:spacing w:after="140" w:before="60" w:line="290"/>
      </w:pPr>
      <w:r>
        <w:rPr>
          <w:rFonts w:ascii="Arial" w:cs="Arial" w:eastAsia="Arial" w:hAnsi="Arial"/>
          <w:b/>
          <w:bCs/>
          <w:color w:val="1F5C4D"/>
          <w:sz w:val="20"/>
          <w:szCs w:val="20"/>
        </w:rPr>
        <w:t xml:space="preserve">Q2   </w:t>
      </w:r>
      <w:r>
        <w:rPr>
          <w:rFonts w:ascii="Georgia" w:cs="Georgia" w:eastAsia="Georgia" w:hAnsi="Georgia"/>
          <w:color w:val="16202B"/>
          <w:sz w:val="22"/>
          <w:szCs w:val="22"/>
        </w:rPr>
        <w:t xml:space="preserve">Have you set price from a researched willingness-to-pay threshold, and chosen a product format that survives at that price?</w:t>
      </w:r>
      <w:r>
        <w:rPr>
          <w:rFonts w:ascii="Georgia" w:cs="Georgia" w:eastAsia="Georgia" w:hAnsi="Georgia"/>
          <w:color w:val="44505F"/>
          <w:sz w:val="20"/>
          <w:szCs w:val="20"/>
        </w:rPr>
        <w:t xml:space="preserve">        ☐ Yes    ☐ No</w:t>
      </w:r>
    </w:p>
    <w:p>
      <w:pPr>
        <w:pBdr>
          <w:top w:val="single" w:color="D8D1C3" w:sz="2" w:space="8"/>
        </w:pBdr>
        <w:spacing w:after="140" w:before="60" w:line="290"/>
      </w:pPr>
      <w:r>
        <w:rPr>
          <w:rFonts w:ascii="Arial" w:cs="Arial" w:eastAsia="Arial" w:hAnsi="Arial"/>
          <w:b/>
          <w:bCs/>
          <w:color w:val="1F5C4D"/>
          <w:sz w:val="20"/>
          <w:szCs w:val="20"/>
        </w:rPr>
        <w:t xml:space="preserve">Q3   </w:t>
      </w:r>
      <w:r>
        <w:rPr>
          <w:rFonts w:ascii="Georgia" w:cs="Georgia" w:eastAsia="Georgia" w:hAnsi="Georgia"/>
          <w:color w:val="16202B"/>
          <w:sz w:val="22"/>
          <w:szCs w:val="22"/>
        </w:rPr>
        <w:t xml:space="preserve">Do you know your longest binding regulatory approval, and is the launch calendar sequenced backward from it?</w:t>
      </w:r>
      <w:r>
        <w:rPr>
          <w:rFonts w:ascii="Georgia" w:cs="Georgia" w:eastAsia="Georgia" w:hAnsi="Georgia"/>
          <w:color w:val="44505F"/>
          <w:sz w:val="20"/>
          <w:szCs w:val="20"/>
        </w:rPr>
        <w:t xml:space="preserve">        ☐ Yes    ☐ No</w:t>
      </w:r>
    </w:p>
    <w:p>
      <w:pPr>
        <w:pBdr>
          <w:top w:val="single" w:color="D8D1C3" w:sz="2" w:space="8"/>
        </w:pBdr>
        <w:spacing w:after="140" w:before="60" w:line="290"/>
      </w:pPr>
      <w:r>
        <w:rPr>
          <w:rFonts w:ascii="Arial" w:cs="Arial" w:eastAsia="Arial" w:hAnsi="Arial"/>
          <w:b/>
          <w:bCs/>
          <w:color w:val="1F5C4D"/>
          <w:sz w:val="20"/>
          <w:szCs w:val="20"/>
        </w:rPr>
        <w:t xml:space="preserve">Q4   </w:t>
      </w:r>
      <w:r>
        <w:rPr>
          <w:rFonts w:ascii="Georgia" w:cs="Georgia" w:eastAsia="Georgia" w:hAnsi="Georgia"/>
          <w:color w:val="16202B"/>
          <w:sz w:val="22"/>
          <w:szCs w:val="22"/>
        </w:rPr>
        <w:t xml:space="preserve">Do you have a named plan to win and mobilise your first three to five reference customers before scaling spend?</w:t>
      </w:r>
      <w:r>
        <w:rPr>
          <w:rFonts w:ascii="Georgia" w:cs="Georgia" w:eastAsia="Georgia" w:hAnsi="Georgia"/>
          <w:color w:val="44505F"/>
          <w:sz w:val="20"/>
          <w:szCs w:val="20"/>
        </w:rPr>
        <w:t xml:space="preserve">        ☐ Yes    ☐ No</w:t>
      </w:r>
    </w:p>
    <w:p>
      <w:pPr>
        <w:pBdr>
          <w:top w:val="single" w:color="D8D1C3" w:sz="2" w:space="8"/>
        </w:pBdr>
        <w:spacing w:after="140" w:before="60" w:line="290"/>
      </w:pPr>
      <w:r>
        <w:rPr>
          <w:rFonts w:ascii="Arial" w:cs="Arial" w:eastAsia="Arial" w:hAnsi="Arial"/>
          <w:b/>
          <w:bCs/>
          <w:color w:val="1F5C4D"/>
          <w:sz w:val="20"/>
          <w:szCs w:val="20"/>
        </w:rPr>
        <w:t xml:space="preserve">Q5   </w:t>
      </w:r>
      <w:r>
        <w:rPr>
          <w:rFonts w:ascii="Georgia" w:cs="Georgia" w:eastAsia="Georgia" w:hAnsi="Georgia"/>
          <w:color w:val="16202B"/>
          <w:sz w:val="22"/>
          <w:szCs w:val="22"/>
        </w:rPr>
        <w:t xml:space="preserve">Is there someone accountable on the ground in-market for execution, not just a plan owned from headquarters?</w:t>
      </w:r>
      <w:r>
        <w:rPr>
          <w:rFonts w:ascii="Georgia" w:cs="Georgia" w:eastAsia="Georgia" w:hAnsi="Georgia"/>
          <w:color w:val="44505F"/>
          <w:sz w:val="20"/>
          <w:szCs w:val="20"/>
        </w:rPr>
        <w:t xml:space="preserve">        ☐ Yes    ☐ No</w:t>
      </w:r>
    </w:p>
    <w:p>
      <w:pPr>
        <w:spacing w:after="160" w:before="120" w:line="300"/>
      </w:pPr>
      <w:r>
        <w:rPr>
          <w:rFonts w:ascii="Georgia" w:cs="Georgia" w:eastAsia="Georgia" w:hAnsi="Georgia"/>
          <w:b w:val="false"/>
          <w:bCs w:val="false"/>
          <w:i w:val="false"/>
          <w:iCs w:val="false"/>
          <w:color w:val="16202B"/>
          <w:sz w:val="22"/>
          <w:szCs w:val="22"/>
        </w:rPr>
        <w:t xml:space="preserve">A score of four or five means your plan is built for the market rather than imported into it. Three or below usually points to the same root cause: a plan designed at headquarters, in Western defaults, that has not yet met the channel, the price point, the regulator and the reference customer on their own terms.</w:t>
      </w:r>
    </w:p>
    <w:p>
      <w:pPr>
        <w:pBdr>
          <w:top w:val="single" w:color="D8D1C3" w:sz="3" w:space="10"/>
          <w:left w:val="single" w:color="D8D1C3" w:sz="3" w:space="10"/>
          <w:bottom w:val="single" w:color="D8D1C3" w:sz="3" w:space="4"/>
          <w:right w:val="single" w:color="D8D1C3" w:sz="3" w:space="10"/>
        </w:pBdr>
        <w:shd w:fill="EEE9DF" w:val="clear"/>
        <w:spacing w:after="80" w:before="160"/>
        <w:ind w:left="160" w:right="160"/>
      </w:pPr>
      <w:r>
        <w:rPr>
          <w:rFonts w:ascii="Arial" w:cs="Arial" w:eastAsia="Arial" w:hAnsi="Arial"/>
          <w:b/>
          <w:bCs/>
          <w:color w:val="16202B"/>
          <w:sz w:val="22"/>
          <w:szCs w:val="22"/>
        </w:rPr>
        <w:t xml:space="preserve">Where GreyRadius fits</w:t>
      </w:r>
    </w:p>
    <w:p>
      <w:pPr>
        <w:pBdr>
          <w:left w:val="single" w:color="D8D1C3" w:sz="3" w:space="10"/>
          <w:bottom w:val="single" w:color="D8D1C3" w:sz="3" w:space="10"/>
          <w:right w:val="single" w:color="D8D1C3" w:sz="3" w:space="10"/>
        </w:pBdr>
        <w:shd w:fill="EEE9DF" w:val="clear"/>
        <w:spacing w:after="260" w:line="300"/>
        <w:ind w:left="160" w:right="160"/>
      </w:pPr>
      <w:r>
        <w:rPr>
          <w:rFonts w:ascii="Georgia" w:cs="Georgia" w:eastAsia="Georgia" w:hAnsi="Georgia"/>
          <w:color w:val="44505F"/>
          <w:sz w:val="21"/>
          <w:szCs w:val="21"/>
        </w:rPr>
        <w:t xml:space="preserve">We build and run market entry GTM plans across India, the Gulf and Africa, from channel and distributor mapping to pricing calibration, regulatory sequencing and reference-customer development. If you are weighing a new market and want the readiness check run against your specific plan, that is where a conversation usually starts.</w:t>
      </w:r>
    </w:p>
    <w:p>
      <w:pPr>
        <w:pStyle w:val="Heading1"/>
        <w:spacing w:after="140" w:before="60"/>
      </w:pPr>
      <w:r>
        <w:rPr>
          <w:rFonts w:ascii="Arial" w:cs="Arial" w:eastAsia="Arial" w:hAnsi="Arial"/>
          <w:b/>
          <w:bCs/>
          <w:color w:val="16202B"/>
          <w:sz w:val="30"/>
          <w:szCs w:val="30"/>
        </w:rPr>
        <w:t xml:space="preserve">Frequently asked questions</w:t>
      </w:r>
    </w:p>
    <w:p>
      <w:pPr>
        <w:spacing w:after="40" w:before="140"/>
      </w:pPr>
      <w:r>
        <w:rPr>
          <w:rFonts w:ascii="Arial" w:cs="Arial" w:eastAsia="Arial" w:hAnsi="Arial"/>
          <w:b/>
          <w:bCs/>
          <w:color w:val="1F5C4D"/>
          <w:sz w:val="21"/>
          <w:szCs w:val="21"/>
        </w:rPr>
        <w:t xml:space="preserve">What is GTM strategy for emerging markets?</w:t>
      </w:r>
    </w:p>
    <w:p>
      <w:pPr>
        <w:spacing w:after="120" w:before="0" w:line="300"/>
      </w:pPr>
      <w:r>
        <w:rPr>
          <w:rFonts w:ascii="Georgia" w:cs="Georgia" w:eastAsia="Georgia" w:hAnsi="Georgia"/>
          <w:b w:val="false"/>
          <w:bCs w:val="false"/>
          <w:i w:val="false"/>
          <w:iCs w:val="false"/>
          <w:color w:val="44505F"/>
          <w:sz w:val="22"/>
          <w:szCs w:val="22"/>
        </w:rPr>
        <w:t xml:space="preserve">It is the plan for how a company reaches, sells to and retains customers in developing economies such as India, the Gulf states and Africa. It differs from a Western playbook because these markets run on higher channel dependency, affordability-led pricing, longer and sequence-sensitive regulatory timelines, and reference customers that carry more weight than broadcast marketing.</w:t>
      </w:r>
    </w:p>
    <w:p>
      <w:pPr>
        <w:spacing w:after="40" w:before="140"/>
      </w:pPr>
      <w:r>
        <w:rPr>
          <w:rFonts w:ascii="Arial" w:cs="Arial" w:eastAsia="Arial" w:hAnsi="Arial"/>
          <w:b/>
          <w:bCs/>
          <w:color w:val="1F5C4D"/>
          <w:sz w:val="21"/>
          <w:szCs w:val="21"/>
        </w:rPr>
        <w:t xml:space="preserve">How is GTM different in India versus Western markets?</w:t>
      </w:r>
    </w:p>
    <w:p>
      <w:pPr>
        <w:spacing w:after="120" w:before="0" w:line="300"/>
      </w:pPr>
      <w:r>
        <w:rPr>
          <w:rFonts w:ascii="Georgia" w:cs="Georgia" w:eastAsia="Georgia" w:hAnsi="Georgia"/>
          <w:b w:val="false"/>
          <w:bCs w:val="false"/>
          <w:i w:val="false"/>
          <w:iCs w:val="false"/>
          <w:color w:val="44505F"/>
          <w:sz w:val="22"/>
          <w:szCs w:val="22"/>
        </w:rPr>
        <w:t xml:space="preserve">In India, roughly three-quarters of consumer goods sales still move through traditional kirana stores and unorganized retail, so distributor access decides reach more than a brand campaign does. Pricing is built back from an affordability threshold rather than cost plus margin, product certification such as BIS can take three to four months, and buyers weigh peer references and existing users heavily before they commit.</w:t>
      </w:r>
    </w:p>
    <w:p>
      <w:pPr>
        <w:spacing w:after="40" w:before="140"/>
      </w:pPr>
      <w:r>
        <w:rPr>
          <w:rFonts w:ascii="Arial" w:cs="Arial" w:eastAsia="Arial" w:hAnsi="Arial"/>
          <w:b/>
          <w:bCs/>
          <w:color w:val="1F5C4D"/>
          <w:sz w:val="21"/>
          <w:szCs w:val="21"/>
        </w:rPr>
        <w:t xml:space="preserve">How long does GTM execution take in Gulf markets?</w:t>
      </w:r>
    </w:p>
    <w:p>
      <w:pPr>
        <w:spacing w:after="120" w:before="0" w:line="300"/>
      </w:pPr>
      <w:r>
        <w:rPr>
          <w:rFonts w:ascii="Georgia" w:cs="Georgia" w:eastAsia="Georgia" w:hAnsi="Georgia"/>
          <w:b w:val="false"/>
          <w:bCs w:val="false"/>
          <w:i w:val="false"/>
          <w:iCs w:val="false"/>
          <w:color w:val="44505F"/>
          <w:sz w:val="22"/>
          <w:szCs w:val="22"/>
        </w:rPr>
        <w:t xml:space="preserve">In Saudi Arabia, investor registration through MISA can clear in around five business days for straightforward files, while full entity setup covering commercial registration, tax and banking usually runs six to twelve weeks. Sector approvals from regulators such as SFDA or SAMA extend that further, so most B2B teams should plan a first-revenue horizon of one to two quarters rather than a few weeks.</w:t>
      </w:r>
    </w:p>
    <w:p>
      <w:pPr>
        <w:spacing w:after="40" w:before="140"/>
      </w:pPr>
      <w:r>
        <w:rPr>
          <w:rFonts w:ascii="Arial" w:cs="Arial" w:eastAsia="Arial" w:hAnsi="Arial"/>
          <w:b/>
          <w:bCs/>
          <w:color w:val="1F5C4D"/>
          <w:sz w:val="21"/>
          <w:szCs w:val="21"/>
        </w:rPr>
        <w:t xml:space="preserve">What is GTM execution-as-a-service?</w:t>
      </w:r>
    </w:p>
    <w:p>
      <w:pPr>
        <w:spacing w:after="120" w:before="0" w:line="300"/>
      </w:pPr>
      <w:r>
        <w:rPr>
          <w:rFonts w:ascii="Georgia" w:cs="Georgia" w:eastAsia="Georgia" w:hAnsi="Georgia"/>
          <w:b w:val="false"/>
          <w:bCs w:val="false"/>
          <w:i w:val="false"/>
          <w:iCs w:val="false"/>
          <w:color w:val="44505F"/>
          <w:sz w:val="22"/>
          <w:szCs w:val="22"/>
        </w:rPr>
        <w:t xml:space="preserve">It is a model in which an external advisory partner runs the on-the-ground work of market entry: channel and distributor mapping, pricing calibration, regulatory sequencing and reference-customer development, and hands over a working pipeline rather than a slide deck. It suits companies that need presence in a new emerging market before they are ready to hire and build a local team.</w:t>
      </w:r>
    </w:p>
    <w:p>
      <w:pPr>
        <w:pBdr>
          <w:top w:val="single" w:color="D8D1C3" w:sz="4" w:space="8"/>
        </w:pBdr>
        <w:spacing w:before="240"/>
      </w:pPr>
      <w:r>
        <w:rPr>
          <w:rFonts w:ascii="Consolas" w:cs="Consolas" w:eastAsia="Consolas" w:hAnsi="Consolas"/>
          <w:color w:val="44505F"/>
          <w:sz w:val="15"/>
          <w:szCs w:val="15"/>
        </w:rPr>
        <w:t xml:space="preserve">GreyRadius Consulting · Strategy &amp; Advisory · Market intelligence for India, the Gulf and Africa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620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yperlink" Target="https://www.cbinsights.com/research/kirana-store-india-retail/" TargetMode="External"/><Relationship Id="rId8" Type="http://schemas.openxmlformats.org/officeDocument/2006/relationships/hyperlink" Target="https://businesschief.asia/leadership-and-strategy/kearney-how-indias-booming-retail-market-is-developing" TargetMode="External"/><Relationship Id="rId9" Type="http://schemas.openxmlformats.org/officeDocument/2006/relationships/hyperlink" Target="https://northafricapost.com/96624-africas-informal-economy-employs-83-of-workforce-in-2024-un-data.html" TargetMode="External"/><Relationship Id="rId10" Type="http://schemas.openxmlformats.org/officeDocument/2006/relationships/hyperlink" Target="https://www.worldbank.org/en/news/press-release/2021/05/11/widespread-informality-likely-to-slow-recovery-from-covid-19-in-developing-economies" TargetMode="External"/><Relationship Id="rId11" Type="http://schemas.openxmlformats.org/officeDocument/2006/relationships/hyperlink" Target="https://www.indexbox.io/blog/sachet-packaging-market-growth-to-accelerate-by-2035-driven-by-rising-demand-for-single-use-convenience-in-emerging-economies/" TargetMode="External"/><Relationship Id="rId12" Type="http://schemas.openxmlformats.org/officeDocument/2006/relationships/hyperlink" Target="https://kadence.com/en-us/knowledge/the-allure-and-challenges-of-emerging-markets/" TargetMode="External"/><Relationship Id="rId13" Type="http://schemas.openxmlformats.org/officeDocument/2006/relationships/hyperlink" Target="https://www.philomathresearch.com/blog/2025/10/01/how-to-leverage-primary-market-research-for-pricing-strategy-in-emerging-markets/" TargetMode="External"/><Relationship Id="rId14" Type="http://schemas.openxmlformats.org/officeDocument/2006/relationships/hyperlink" Target="https://www.europeanbusinessreview.com/the-complete-guide-to-business-setup-in-saudi-arabia-2026-what-foreign-investors-need-to-know/" TargetMode="External"/><Relationship Id="rId15" Type="http://schemas.openxmlformats.org/officeDocument/2006/relationships/hyperlink" Target="https://vision2030.ai/investment/guides/market-entry/" TargetMode="External"/><Relationship Id="rId16" Type="http://schemas.openxmlformats.org/officeDocument/2006/relationships/hyperlink" Target="https://iskanco.com/starting-a-business-in-saudi-arabia/" TargetMode="External"/><Relationship Id="rId17" Type="http://schemas.openxmlformats.org/officeDocument/2006/relationships/hyperlink" Target="https://www.india-briefing.com/news/gst-registration-india-auto-approval-system-2025-40478.html/" TargetMode="External"/><Relationship Id="rId18" Type="http://schemas.openxmlformats.org/officeDocument/2006/relationships/hyperlink" Target="https://www.professionalutilities.com/bis-registration-online/for-importers.php" TargetMode="External"/><Relationship Id="rId19" Type="http://schemas.openxmlformats.org/officeDocument/2006/relationships/hyperlink" Target="https://www.standphillindia.in/bis-registration.php" TargetMode="External"/><Relationship Id="rId20" Type="http://schemas.openxmlformats.org/officeDocument/2006/relationships/hyperlink" Target="https://vision2030.ai/investment/guides/market-entry/" TargetMode="External"/><Relationship Id="rId21" Type="http://schemas.openxmlformats.org/officeDocument/2006/relationships/hyperlink" Target="https://www.india-briefing.com/news/gst-registration-india-auto-approval-system-2025-40478.html/" TargetMode="External"/><Relationship Id="rId22" Type="http://schemas.openxmlformats.org/officeDocument/2006/relationships/hyperlink" Target="https://www.professionalutilities.com/bis-registration-online/for-importers.php" TargetMode="External"/><Relationship Id="rId23" Type="http://schemas.openxmlformats.org/officeDocument/2006/relationships/hyperlink" Target="https://cxm.world/customer-experience/data-confirms-b2b-buyers-trust-peers-over-vendors/" TargetMode="External"/><Relationship Id="rId24" Type="http://schemas.openxmlformats.org/officeDocument/2006/relationships/hyperlink" Target="https://trustmary.com/social-proof/how-trust-elements-impact-b2b-buying-decisions/" TargetMode="External"/><Relationship Id="rId25" Type="http://schemas.openxmlformats.org/officeDocument/2006/relationships/hyperlink" Target="https://www.hausadvisors.com/blog/b2b-referral-marketing-statistics" TargetMode="External"/><Relationship Id="rId26" Type="http://schemas.openxmlformats.org/officeDocument/2006/relationships/hyperlink" Target="https://www.hausadvisors.com/blog/b2b-referral-marketing-statistics"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GTM strategy for emerging markets: the framework that actually scales</dc:title>
  <dc:creator>GreyRadius Consulting</dc:creator>
  <cp:lastModifiedBy>Un-named</cp:lastModifiedBy>
  <cp:revision>1</cp:revision>
  <dcterms:created xsi:type="dcterms:W3CDTF">2026-08-13T04:59:28.021Z</dcterms:created>
  <dcterms:modified xsi:type="dcterms:W3CDTF">2026-08-13T04:59:28.021Z</dcterms:modified>
</cp:coreProperties>
</file>

<file path=docProps/custom.xml><?xml version="1.0" encoding="utf-8"?>
<Properties xmlns="http://schemas.openxmlformats.org/officeDocument/2006/custom-properties" xmlns:vt="http://schemas.openxmlformats.org/officeDocument/2006/docPropsVTypes"/>
</file>