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Charged</w:t>
      </w:r>
    </w:p>
    <w:p>
      <w:pPr>
        <w:pStyle w:val="Heading2"/>
      </w:pPr>
      <w:r>
        <w:t>Executive Highlights</w:t>
      </w:r>
    </w:p>
    <w:p>
      <w:pPr>
        <w:pStyle w:val="Heading2"/>
      </w:pPr>
      <w:r>
        <w:t>African Development Bank Approves $113.9 Million for Gotion’s Morocco Battery Gigafactory</w:t>
      </w:r>
    </w:p>
    <w:p>
      <w:pPr>
        <w:pStyle w:val="Heading3"/>
      </w:pPr>
      <w:r>
        <w:t>Strategic Watch</w:t>
      </w:r>
    </w:p>
    <w:p>
      <w:r>
        <w:t>Europe’s battery strategy is increasingly extending beyond its borders. Morocco is emerging as a strategic manufacturing gateway by combining competitive production costs, critical-mineral access, renewable-energy potential and preferential trade access to Europe. Battery supply chains are becoming regional rather than national.</w:t>
      </w:r>
    </w:p>
    <w:p>
      <w:pPr>
        <w:pStyle w:val="Heading3"/>
      </w:pPr>
      <w:r>
        <w:t>GreyRadius Insight</w:t>
      </w:r>
    </w:p>
    <w:p>
      <w:r>
        <w:t>The next competitive advantage will not come from battery-cell technology alone—it will come from controlling regional manufacturing ecosystems. Companies that establish integrated production, local supplier networks and export logistics today will be better positioned to serve European EV demand while reducing geopolitical and supply-chain risks.</w:t>
      </w:r>
    </w:p>
    <w:p>
      <w:pPr>
        <w:pStyle w:val="Heading2"/>
      </w:pPr>
      <w:r>
        <w:t>CATL Reports 42% First-Half Profit Growth as Energy-Storage Business Expands</w:t>
      </w:r>
    </w:p>
    <w:p>
      <w:pPr>
        <w:pStyle w:val="Heading3"/>
      </w:pPr>
      <w:r>
        <w:t>Strategic Watch</w:t>
      </w:r>
    </w:p>
    <w:p>
      <w:r>
        <w:t>Energy storage is rapidly becoming a second growth engine for global battery manufacturers. Revenue diversification across mobility and stationary storage is strengthening profitability while enabling companies to invest aggressively in overseas manufacturing, next-generation chemistries and global supply chains.</w:t>
      </w:r>
    </w:p>
    <w:p>
      <w:pPr>
        <w:pStyle w:val="Heading3"/>
      </w:pPr>
      <w:r>
        <w:t>GreyRadius Insight</w:t>
      </w:r>
    </w:p>
    <w:p>
      <w:r>
        <w:t>Battery leaders are evolving into integrated energy companies rather than automotive suppliers. Future market leadership will depend on balancing EV demand with grid-scale storage, creating more resilient revenue streams and improving capital allocation across multiple end markets.</w:t>
      </w:r>
    </w:p>
    <w:p>
      <w:pPr>
        <w:pStyle w:val="Heading2"/>
      </w:pPr>
      <w:r>
        <w:t>Spain Approves $455.7 Million Auto+ Electric-Vehicle Incentive Programme</w:t>
      </w:r>
    </w:p>
    <w:p>
      <w:pPr>
        <w:pStyle w:val="Heading3"/>
      </w:pPr>
      <w:r>
        <w:t>Strategic Watch</w:t>
      </w:r>
    </w:p>
    <w:p>
      <w:r>
        <w:t>Governments are shifting from temporary consumer subsidies toward industrial policies that stimulate both EV adoption and domestic manufacturing. Incentives are increasingly designed to strengthen local value creation rather than simply increase vehicle sales.</w:t>
      </w:r>
    </w:p>
    <w:p>
      <w:pPr>
        <w:pStyle w:val="Heading3"/>
      </w:pPr>
      <w:r>
        <w:t>GreyRadius Insight</w:t>
      </w:r>
    </w:p>
    <w:p>
      <w:r>
        <w:t>The most effective EV policies now combine consumer affordability with industrial competitiveness. Businesses should evaluate incentive programmes not only for their impact on demand, but also for how they reshape manufacturing footprints, supplier ecosystems and long-term market access.</w:t>
      </w:r>
    </w:p>
    <w:p>
      <w:pPr>
        <w:pStyle w:val="Heading2"/>
      </w:pPr>
      <w:r>
        <w:t>CATL and Solarpro Sign 2 GWh Sodium-Ion Battery-Storage Agreement</w:t>
      </w:r>
    </w:p>
    <w:p>
      <w:pPr>
        <w:pStyle w:val="Heading3"/>
      </w:pPr>
      <w:r>
        <w:t>Strategic Watch</w:t>
      </w:r>
    </w:p>
    <w:p>
      <w:r>
        <w:t>Commercial deployment of sodium-ion batteries is moving beyond pilot projects into utility-scale applications. As deployment expands, battery-chemistry selection will become increasingly application-specific rather than dominated by lithium-ion across every use case.</w:t>
      </w:r>
    </w:p>
    <w:p>
      <w:pPr>
        <w:pStyle w:val="Heading3"/>
      </w:pPr>
      <w:r>
        <w:t>GreyRadius Insight</w:t>
      </w:r>
    </w:p>
    <w:p>
      <w:r>
        <w:t>The battery industry is entering a multi-chemistry era. Organizations that build flexible product strategies around lithium-ion, sodium-ion and other emerging technologies will be better positioned to address varying cost, performance and supply-chain requirements across mobility and energy-storage markets.</w:t>
      </w:r>
    </w:p>
    <w:p>
      <w:pPr>
        <w:pStyle w:val="Heading2"/>
      </w:pPr>
      <w:r>
        <w:t>Market Data &amp; Intelligence</w:t>
      </w:r>
    </w:p>
    <w:p>
      <w:pPr>
        <w:pStyle w:val="Heading2"/>
      </w:pPr>
      <w:r>
        <w:t>Turn Market Intelligence Into Execution</w:t>
      </w:r>
    </w:p>
    <w:p>
      <w:r>
        <w:t>GreyRadius helps leadership teams translate EV, battery and clean-mobility signals into market-entry priorities, investment cases, partnership strategies and execution-ready growth 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