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Wafer</w:t>
      </w:r>
    </w:p>
    <w:p>
      <w:pPr>
        <w:pStyle w:val="Heading2"/>
      </w:pPr>
      <w:r>
        <w:t>Executive Highlights</w:t>
      </w:r>
    </w:p>
    <w:p>
      <w:pPr>
        <w:pStyle w:val="Heading2"/>
      </w:pPr>
      <w:r>
        <w:t>Samsung Electronics and Broadcom Expand Strategic Collaboration Across Memory and Foundry Technologies</w:t>
      </w:r>
    </w:p>
    <w:p>
      <w:r>
        <w:t>Samsung and Broadcom signed a strategic agreement expected to exceed $200 billion through 2030 . Samsung will supply HBM , manufacture Broadcom AI chips using its 2nm and more advanced processes , and provide advanced packaging. The partnership gives Broadcom integrated access to memory, foundry manufacturing and packaging for next-generation AI infrastructure.</w:t>
      </w:r>
    </w:p>
    <w:p>
      <w:r>
        <w:t>Sources: Samsung Global Newsroom | Reuters</w:t>
      </w:r>
    </w:p>
    <w:p>
      <w:pPr>
        <w:pStyle w:val="Heading3"/>
      </w:pPr>
      <w:r>
        <w:t>Strategic Watch</w:t>
      </w:r>
    </w:p>
    <w:p>
      <w:r>
        <w:t>Track how the estimated value converts into firm orders, product qualifications, HBM generations, wafer allocations and package capacity. The commercial effect will depend on the timing and enforceability of individual programmes beneath the memorandum of understanding.</w:t>
      </w:r>
    </w:p>
    <w:p>
      <w:pPr>
        <w:pStyle w:val="Heading3"/>
      </w:pPr>
      <w:r>
        <w:t>GreyRadius Insight</w:t>
      </w:r>
    </w:p>
    <w:p>
      <w:r>
        <w:t>The agreement positions integrated supply as a competitive differentiator. Samsung can offer memory, leading-edge logic manufacturing and packaging through one relationship, while Broadcom may reduce coordination risk across critical AI-chip production stages.</w:t>
      </w:r>
    </w:p>
    <w:p>
      <w:pPr>
        <w:pStyle w:val="Heading2"/>
      </w:pPr>
      <w:r>
        <w:t>Intel and Lens Technology Collaborate on Glass-Based Advanced Semiconductor Packaging</w:t>
      </w:r>
    </w:p>
    <w:p>
      <w:r>
        <w:t>Intel and Lens Technology will collaborate on glass-substrate semiconductor packaging for future AI and data-center chips. Intel will provide advanced-packaging and process-integration expertise, while Lens Technology will contribute precision glass manufacturing. No investment amount or commercial production timeline was announced.</w:t>
      </w:r>
    </w:p>
    <w:p>
      <w:r>
        <w:t>Sources: Intel Newsroom | DigiTimes</w:t>
      </w:r>
    </w:p>
    <w:p>
      <w:pPr>
        <w:pStyle w:val="Heading3"/>
      </w:pPr>
      <w:r>
        <w:t>Strategic Watch</w:t>
      </w:r>
    </w:p>
    <w:p>
      <w:r>
        <w:t>The key milestones will be technical validation, manufacturability, panel or substrate dimensions, via density, warpage control, yield and customer qualification. Without those data, the collaboration remains an R&amp;D signal rather than a production-capacity commitment.</w:t>
      </w:r>
    </w:p>
    <w:p>
      <w:pPr>
        <w:pStyle w:val="Heading3"/>
      </w:pPr>
      <w:r>
        <w:t>GreyRadius Insight</w:t>
      </w:r>
    </w:p>
    <w:p>
      <w:r>
        <w:t>Glass substrates could become a new control point in AI packaging as package dimensions and interconnect requirements increase. Commercial advantage will depend less on laboratory performance alone and more on scalable processing, yield consistency and supply-chain readiness.</w:t>
      </w:r>
    </w:p>
    <w:p>
      <w:pPr>
        <w:pStyle w:val="Heading2"/>
      </w:pPr>
      <w:r>
        <w:t>Amkor and NVIDIA Sign $1.5 Billion U.S. Advanced-Packaging Agreement</w:t>
      </w:r>
    </w:p>
    <w:p>
      <w:r>
        <w:t>Amkor and NVIDIA signed a $1.5 billion multi-year agreement to expand advanced packaging and testing capacity in the United States. NVIDIA will provide a prepayment supporting Amkor’s Arizona expansion, strengthening domestic AI-chip packaging capacity and semiconductor supply-chain resilience.</w:t>
      </w:r>
    </w:p>
    <w:p>
      <w:r>
        <w:t>Sources: Amkor Technology | Reuters</w:t>
      </w:r>
    </w:p>
    <w:p>
      <w:pPr>
        <w:pStyle w:val="Heading3"/>
      </w:pPr>
      <w:r>
        <w:t>Strategic Watch</w:t>
      </w:r>
    </w:p>
    <w:p>
      <w:r>
        <w:t>Watch the conversion of NVIDIA’s prepayment into installed equipment, qualified processes, cleanroom capacity and production ramps. Arizona execution, tool lead times and workforce readiness will determine how quickly the agreement reduces packaging constraints.</w:t>
      </w:r>
    </w:p>
    <w:p>
      <w:pPr>
        <w:pStyle w:val="Heading3"/>
      </w:pPr>
      <w:r>
        <w:t>GreyRadius Insight</w:t>
      </w:r>
    </w:p>
    <w:p>
      <w:r>
        <w:t>The deal demonstrates that advanced packaging capacity is now strategic enough to justify customer financing. AI leaders are increasingly securing downstream capacity directly rather than treating packaging and test as interchangeable outsourced services.</w:t>
      </w:r>
    </w:p>
    <w:p>
      <w:pPr>
        <w:pStyle w:val="Heading2"/>
      </w:pPr>
      <w:r>
        <w:t>Intel and Fortinet Collaborate on Next-Generation SP6 Security Processor</w:t>
      </w:r>
    </w:p>
    <w:p>
      <w:r>
        <w:t>Intel and Fortinet will jointly develop Fortinet’s SP6 security processor , with Intel providing design support, manufacturing and advanced packaging. Technical reporting identified Intel 4 as the selected process. The agreement expands Intel’s external foundry business, although no financial value or production timeline was disclosed.</w:t>
      </w:r>
    </w:p>
    <w:p>
      <w:r>
        <w:t>Sources: Intel Newsroom | EE Times Asia | Tom’s Hardware</w:t>
      </w:r>
    </w:p>
    <w:p>
      <w:pPr>
        <w:pStyle w:val="Heading3"/>
      </w:pPr>
      <w:r>
        <w:t>Strategic Watch</w:t>
      </w:r>
    </w:p>
    <w:p>
      <w:r>
        <w:t>The programme’s significance will depend on tape-out timing, process qualification, package architecture, volume commitments and the extent to which Intel 4 is used for external manufacturing. These details were not included in the company announcement.</w:t>
      </w:r>
    </w:p>
    <w:p>
      <w:pPr>
        <w:pStyle w:val="Heading3"/>
      </w:pPr>
      <w:r>
        <w:t>GreyRadius Insight</w:t>
      </w:r>
    </w:p>
    <w:p>
      <w:r>
        <w:t>SP6 links foundry strategy to a specialised end market where performance and supply continuity are both critical. For Intel, a named external customer can help demonstrate foundry relevance; for Fortinet, the partnership may diversify access to custom security silicon.</w:t>
      </w:r>
    </w:p>
    <w:p>
      <w:pPr>
        <w:pStyle w:val="Heading2"/>
      </w:pPr>
      <w:r>
        <w:t>Market Data &amp; Intelligence</w:t>
      </w:r>
    </w:p>
    <w:p>
      <w:pPr>
        <w:pStyle w:val="Heading2"/>
      </w:pPr>
      <w:r>
        <w:t>Turn Semiconductor Strategy Into Execution</w:t>
      </w:r>
    </w:p>
    <w:p>
      <w:r>
        <w:t>GreyRadius helps leadership teams translate semiconductor market shifts into opportunity assessment, market-entry priorities, investment decisions and execution-ready growth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